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交卫字〔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2024〕48号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8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3"/>
        </w:rPr>
        <w:t>关于进一步做好脊髓灰质炎灭活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800" w:lineRule="exact"/>
        <w:ind w:right="0"/>
        <w:jc w:val="center"/>
        <w:textAlignment w:val="auto"/>
        <w:rPr>
          <w:rFonts w:hint="eastAsia" w:ascii="宋体" w:hAnsi="宋体" w:eastAsia="宋体"/>
          <w:b w:val="0"/>
          <w:i w:val="0"/>
          <w:color w:val="000000"/>
          <w:sz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3"/>
        </w:rPr>
        <w:t>疫苗补种工作的通知</w:t>
      </w:r>
    </w:p>
    <w:p>
      <w:pPr>
        <w:wordWrap w:val="0"/>
        <w:spacing w:after="0" w:line="240" w:lineRule="auto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</w:p>
    <w:p>
      <w:pPr>
        <w:wordWrap w:val="0"/>
        <w:spacing w:after="0" w:line="240" w:lineRule="auto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县医疗集团、县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疾控中心、各乡镇中心校、县直各小学、幼儿园（包括民办园）：</w:t>
      </w:r>
    </w:p>
    <w:p>
      <w:pPr>
        <w:wordWrap w:val="0"/>
        <w:spacing w:before="0" w:after="0" w:line="560" w:lineRule="atLeast"/>
        <w:ind w:left="0" w:right="120" w:firstLine="62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为提高我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适龄儿童针对Ⅱ型脊灰病毒保护效果，维持全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无脊灰状态，根据山西省疾控局等4部门印发《关于进一步做好全省脊髓灰质炎灭活疫苗补种工作的通知》(晋疾控卫免发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1号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安排，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卫健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决定联合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教育局、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市场监督管理局在全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继续开展适龄儿童(出生日期在2016年3月1日至2019年9月30日之间，仅接种过1剂次脊灰灭活疫苗)脊髓灰质炎灭活疫苗(IPV)补种工作。现就有关事宜通知如下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一、进一步提高思想认识</w:t>
      </w:r>
    </w:p>
    <w:p>
      <w:pPr>
        <w:wordWrap w:val="0"/>
        <w:spacing w:before="0" w:after="0" w:line="56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近年来，全球脊灰流行形势发生变化，我国持续面临脊灰相关病毒输入及传播风险。开展有关人群脊灰灭活疫苗补种工作是提升有关人群免疫水平、筑牢人群免疫屏障的重要措施。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各有关单位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要高度重视，按照职责做好补种工作的组织实施、医疗保障、入学接种证查验、疫苗质量监督管理、经费保障等工作，补种工作补助经费由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财政通过基本公共卫生服务补助资金统筹解决。各有关部门要密切配合，在工作中形成合力，将补种工作落实落细。</w:t>
      </w:r>
    </w:p>
    <w:p>
      <w:pPr>
        <w:wordWrap w:val="0"/>
        <w:spacing w:before="0" w:after="0" w:line="56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二、进一步明确目标任务</w:t>
      </w:r>
    </w:p>
    <w:p>
      <w:pPr>
        <w:wordWrap w:val="0"/>
        <w:spacing w:before="0" w:after="0" w:line="560" w:lineRule="atLeast"/>
        <w:ind w:right="12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按照稳妥有序的原则，积极推进相关人群第二剂次IPV疫苗补种工作(具体要求见附件1)。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教育部门要全面掌握目标儿童人数，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结合前期摸底、已补种情况等，对需补种对象进行再次摸底核实，合理安排工作进度，确保于2024年6月30日前完成补种目标。本次补种所用IPV疫苗由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疾控中心统一分发，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疾控中心要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提前做好疫苗的分配使用计划，保证人苗匹配，避免浪费。疫苗的接收、储存、分发和运输要严格按照《疫苗管理法》《疫苗储存和运输管理规范(2017年版)》要求执行。</w:t>
      </w:r>
    </w:p>
    <w:p>
      <w:pPr>
        <w:wordWrap w:val="0"/>
        <w:spacing w:before="0" w:after="0" w:line="56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三、进一步加强接种规范</w:t>
      </w:r>
    </w:p>
    <w:p>
      <w:pPr>
        <w:wordWrap w:val="0"/>
        <w:spacing w:before="0" w:after="0" w:line="560" w:lineRule="atLeast"/>
        <w:ind w:right="18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疾控中心和接种单位要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坚守接种安全底线，按照《预防接种工作规范(2023年版)》要求，严格落实“三查七对一验证”，“四有”等医疗保障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措施，规范开展补种工作，补种后及时在儿童预防接种证、全省免疫规划信息系统中记录接种疫苗品种、规格、批号、追溯码、接种时间等并及时上传。要按照《全国疑似预防接种异常反应监测方案》开展AEFI监测报告，及时、规范做好处置工作。要加强人员培训，确保相关人员准确掌握补种政策和技术要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，规范做好补种，确保接种安全。</w:t>
      </w:r>
    </w:p>
    <w:p>
      <w:pPr>
        <w:wordWrap w:val="0"/>
        <w:spacing w:before="0" w:after="0" w:line="52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四、进一步加强宣传动员</w:t>
      </w:r>
    </w:p>
    <w:p>
      <w:pPr>
        <w:wordWrap w:val="0"/>
        <w:spacing w:before="0" w:after="0" w:line="520" w:lineRule="atLeast"/>
        <w:ind w:right="4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相关单位要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充分利用多种宣传媒介，围绕IPV疫苗补种的目的意义、必要性、补种人群范围等政策内容，开展形式多样的宣传动员活动。要用通俗易懂的语言进行宣传和解读，引导群众消除疑虑，形成合理预期，支持和配合补种工作。要加强舆情监测和分析研判，及时回应社会关切。</w:t>
      </w:r>
    </w:p>
    <w:p>
      <w:pPr>
        <w:wordWrap w:val="0"/>
        <w:spacing w:before="0" w:after="0" w:line="52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五、进一步加强指导评估</w:t>
      </w:r>
    </w:p>
    <w:p>
      <w:pPr>
        <w:wordWrap w:val="0"/>
        <w:spacing w:before="0" w:after="0" w:line="520" w:lineRule="atLeast"/>
        <w:ind w:right="6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各相关单位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要以确保补种质量为原则，对补种工作及时开展评估，对发现的问题加强指导、及时整改，确保补种工作的各项措施落到实处。补种工作结束后，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疾控中心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要认真总结并形成书面材料，在8月1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日前，将总结材料报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县卫健局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，内容包括：补种工作的组织实施、疫苗的领取(接收)、补种儿童数、AEFI监测处置情况、评估情况等。</w:t>
      </w:r>
    </w:p>
    <w:p>
      <w:pPr>
        <w:wordWrap w:val="0"/>
        <w:spacing w:before="0" w:after="0" w:line="52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附件：有关人群第二剂次脊髓灰质炎灭活疫苗补种具体要求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交城县卫生健康局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交城县教育科技局</w:t>
      </w: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</w:p>
    <w:p>
      <w:pPr>
        <w:wordWrap w:val="0"/>
        <w:spacing w:before="0" w:after="0" w:line="520" w:lineRule="atLeast"/>
        <w:ind w:right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</w:p>
    <w:p>
      <w:pPr>
        <w:wordWrap w:val="0"/>
        <w:spacing w:before="0" w:after="0" w:line="520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交城县市场监督管理局</w:t>
      </w:r>
    </w:p>
    <w:p>
      <w:pPr>
        <w:wordWrap w:val="0"/>
        <w:spacing w:before="0" w:after="0" w:line="520" w:lineRule="atLeast"/>
        <w:ind w:right="0"/>
        <w:jc w:val="center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 xml:space="preserve">                                  2024年6月4日</w:t>
      </w:r>
    </w:p>
    <w:p>
      <w:pPr>
        <w:wordWrap w:val="0"/>
        <w:spacing w:before="660" w:after="0" w:line="400" w:lineRule="atLeast"/>
        <w:ind w:left="22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</w:pPr>
    </w:p>
    <w:p>
      <w:pPr>
        <w:wordWrap w:val="0"/>
        <w:spacing w:before="660" w:after="0" w:line="400" w:lineRule="atLeast"/>
        <w:ind w:left="22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</w:pPr>
    </w:p>
    <w:p>
      <w:pPr>
        <w:wordWrap w:val="0"/>
        <w:spacing w:before="660" w:after="0" w:line="400" w:lineRule="atLeast"/>
        <w:ind w:left="220"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</w:pPr>
    </w:p>
    <w:p>
      <w:pPr>
        <w:wordWrap w:val="0"/>
        <w:spacing w:before="660" w:after="0" w:line="400" w:lineRule="atLeast"/>
        <w:ind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</w:pPr>
    </w:p>
    <w:p>
      <w:pPr>
        <w:wordWrap w:val="0"/>
        <w:spacing w:before="660" w:after="0" w:line="400" w:lineRule="atLeast"/>
        <w:ind w:right="0"/>
        <w:jc w:val="both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</w:pPr>
    </w:p>
    <w:p>
      <w:pPr>
        <w:wordWrap w:val="0"/>
        <w:spacing w:before="660" w:after="0" w:line="400" w:lineRule="atLeast"/>
        <w:ind w:right="0"/>
        <w:jc w:val="both"/>
        <w:textAlignment w:val="baseline"/>
        <w:rPr>
          <w:rFonts w:hint="eastAsia" w:eastAsia="宋体"/>
          <w:sz w:val="29"/>
          <w:lang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 xml:space="preserve">附件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9"/>
          <w:lang w:eastAsia="zh-CN"/>
        </w:rPr>
        <w:t>：</w:t>
      </w:r>
    </w:p>
    <w:p>
      <w:pPr>
        <w:wordWrap w:val="0"/>
        <w:spacing w:before="0" w:after="0" w:line="380" w:lineRule="exact"/>
        <w:ind w:left="0" w:right="0"/>
        <w:jc w:val="both"/>
        <w:textAlignment w:val="baseline"/>
        <w:rPr>
          <w:sz w:val="29"/>
        </w:rPr>
      </w:pPr>
    </w:p>
    <w:p>
      <w:pPr>
        <w:wordWrap w:val="0"/>
        <w:spacing w:before="0" w:after="0" w:line="580" w:lineRule="atLeast"/>
        <w:ind w:left="166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3"/>
        </w:rPr>
        <w:t>有关人群第二剂次脊髓灰质炎</w:t>
      </w:r>
    </w:p>
    <w:p>
      <w:pPr>
        <w:wordWrap w:val="0"/>
        <w:spacing w:before="240" w:after="0" w:line="580" w:lineRule="atLeast"/>
        <w:ind w:left="0" w:right="0"/>
        <w:jc w:val="center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3"/>
        </w:rPr>
        <w:t>灭活疫苗补种具体要求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640"/>
        <w:gridCol w:w="1580"/>
        <w:gridCol w:w="166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接种情况分类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第一剂次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第二剂次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第三剂次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第四剂次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第五剂次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 w:hanging="8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 w:hanging="8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—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 w:hanging="8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 w:hanging="8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补种二价脊灰减毒活疫苗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6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已接种二价脊灰减毒活疫苗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补种脊灰灭活疫苗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一</w:t>
            </w:r>
          </w:p>
        </w:tc>
      </w:tr>
    </w:tbl>
    <w:p/>
    <w:sectPr>
      <w:pgSz w:w="11906" w:h="16838"/>
      <w:pgMar w:top="2120" w:right="1519" w:bottom="200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DIxNzBiNmY0M2MxM2ViOWZiMjc3YjM2NGFiODkifQ=="/>
  </w:docVars>
  <w:rsids>
    <w:rsidRoot w:val="35484B35"/>
    <w:rsid w:val="0134430B"/>
    <w:rsid w:val="0DA6583B"/>
    <w:rsid w:val="0FDB5D8F"/>
    <w:rsid w:val="11BD13A5"/>
    <w:rsid w:val="20AB72FF"/>
    <w:rsid w:val="28573B25"/>
    <w:rsid w:val="2D5E4CD1"/>
    <w:rsid w:val="2EAE40F8"/>
    <w:rsid w:val="35484B35"/>
    <w:rsid w:val="3FA4757D"/>
    <w:rsid w:val="434F77FF"/>
    <w:rsid w:val="4CEC16C8"/>
    <w:rsid w:val="4CEF5BAF"/>
    <w:rsid w:val="4DCB03CA"/>
    <w:rsid w:val="4E881E17"/>
    <w:rsid w:val="53BD07B5"/>
    <w:rsid w:val="5B811EE9"/>
    <w:rsid w:val="6264142C"/>
    <w:rsid w:val="62A3326C"/>
    <w:rsid w:val="651421FF"/>
    <w:rsid w:val="6F5F32E5"/>
    <w:rsid w:val="785C0313"/>
    <w:rsid w:val="79A92B2C"/>
    <w:rsid w:val="7B1E128A"/>
    <w:rsid w:val="7E2E6264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387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2024-06-04T02:03:00Z</dcterms:created>
  <dc:creator>YatinG</dc:creator>
  <cp:lastModifiedBy>YatinG</cp:lastModifiedBy>
  <cp:lastPrinted>2024-06-04T10:16:28Z</cp:lastPrinted>
  <dcterms:modified xsi:type="dcterms:W3CDTF">2024-06-04T10:17:22Z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7C0125B2535D4930A241B0271D5F2BA0_11</vt:lpwstr>
  </property>
</Properties>
</file>