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托幼机构卫生评价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6"/>
          <w:szCs w:val="36"/>
        </w:rPr>
        <w:t>廉政风险防控图</w:t>
      </w:r>
    </w:p>
    <w:p>
      <w:pPr>
        <w:ind w:left="31680" w:hanging="2880" w:hangingChars="900"/>
        <w:rPr>
          <w:rStyle w:val="6"/>
          <w:szCs w:val="21"/>
          <w:shd w:val="clear" w:color="auto" w:fill="FBFFFE"/>
        </w:rPr>
      </w:pPr>
      <w:r>
        <w:rPr>
          <w:rFonts w:ascii="宋体" w:hAnsi="宋体" w:cs="宋体"/>
          <w:kern w:val="0"/>
          <w:sz w:val="32"/>
          <w:szCs w:val="32"/>
        </w:rPr>
        <w:t xml:space="preserve">  </w:t>
      </w:r>
      <w:r>
        <w:pict>
          <v:shape id="_x0000_s1026" o:spid="_x0000_s1026" o:spt="32" type="#_x0000_t32" style="position:absolute;left:0pt;margin-left:239.9pt;margin-top:77.65pt;height:36.3pt;width:0pt;z-index:251665408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</w:p>
    <w:p>
      <w:pPr>
        <w:ind w:left="31680" w:hanging="1890" w:hangingChars="900"/>
        <w:rPr>
          <w:rStyle w:val="6"/>
          <w:szCs w:val="21"/>
          <w:shd w:val="clear" w:color="auto" w:fill="FBFFFE"/>
        </w:rPr>
      </w:pPr>
    </w:p>
    <w:p>
      <w:pPr>
        <w:ind w:left="31680" w:hanging="1890" w:hangingChars="900"/>
        <w:rPr>
          <w:rStyle w:val="6"/>
          <w:szCs w:val="21"/>
          <w:shd w:val="clear" w:color="auto" w:fill="FBFFFE"/>
        </w:rPr>
      </w:pPr>
      <w:r>
        <w:pict>
          <v:group id="_x0000_s1027" o:spid="_x0000_s1027" o:spt="203" style="position:absolute;left:0pt;margin-left:-6.85pt;margin-top:8.55pt;height:514.6pt;width:486.7pt;z-index:251667456;mso-width-relative:page;mso-height-relative:page;" coordorigin="1663,3483" coordsize="9734,10292">
            <o:lock v:ext="edit"/>
            <v:shape id="_x0000_s1028" o:spid="_x0000_s1028" o:spt="109" type="#_x0000_t109" style="position:absolute;left:1663;top:3492;height:3465;width:2848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、对符合条件的不予受理或拖延受理，对不符合条件的人员放宽条件；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、擅自增设行政审批条件，违规增加；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、未一次性告知、刁难、拖延、谋取不正当得益；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</w:rPr>
                      <w:t>、协助申请人隐瞒实情；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  <w:r>
                      <w:rPr>
                        <w:rFonts w:hint="eastAsia"/>
                        <w:sz w:val="24"/>
                      </w:rPr>
                      <w:t>、未按规定时间及程序进行公示。</w:t>
                    </w:r>
                  </w:p>
                </w:txbxContent>
              </v:textbox>
            </v:shape>
            <v:shape id="_x0000_s1029" o:spid="_x0000_s1029" o:spt="109" type="#_x0000_t109" style="position:absolute;left:1678;top:7520;height:2467;width:2864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、违规审批，对不符合条件的申请人准予行政确认的，对符合条件的申请人不予行政确认；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、刁难申请人，徇私谋利；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、审批超时。</w:t>
                    </w:r>
                  </w:p>
                </w:txbxContent>
              </v:textbox>
            </v:shape>
            <v:shape id="_x0000_s1030" o:spid="_x0000_s1030" o:spt="176" type="#_x0000_t176" style="position:absolute;left:5893;top:3563;height:693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提出申请</w:t>
                    </w:r>
                  </w:p>
                </w:txbxContent>
              </v:textbox>
            </v:shape>
            <v:shape id="_x0000_s1031" o:spid="_x0000_s1031" o:spt="109" type="#_x0000_t109" style="position:absolute;left:5863;top:5081;height:453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受理</w:t>
                    </w:r>
                  </w:p>
                </w:txbxContent>
              </v:textbox>
            </v:shape>
            <v:shape id="_x0000_s1032" o:spid="_x0000_s1032" o:spt="109" type="#_x0000_t109" style="position:absolute;left:5983;top:8426;height:453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审查</w:t>
                    </w:r>
                  </w:p>
                </w:txbxContent>
              </v:textbox>
            </v:shape>
            <v:shape id="_x0000_s1033" o:spid="_x0000_s1033" o:spt="109" type="#_x0000_t109" style="position:absolute;left:5923;top:10925;height:453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决定</w:t>
                    </w:r>
                  </w:p>
                </w:txbxContent>
              </v:textbox>
            </v:shape>
            <v:shape id="_x0000_s1034" o:spid="_x0000_s1034" o:spt="109" type="#_x0000_t109" style="position:absolute;left:5938;top:12179;height:453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送达</w:t>
                    </w:r>
                  </w:p>
                </w:txbxContent>
              </v:textbox>
            </v:shape>
            <v:shape id="_x0000_s1035" o:spid="_x0000_s1035" o:spt="176" type="#_x0000_t176" style="position:absolute;left:5953;top:13231;height:544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办结</w:t>
                    </w:r>
                  </w:p>
                </w:txbxContent>
              </v:textbox>
            </v:shape>
            <v:shape id="_x0000_s1036" o:spid="_x0000_s1036" o:spt="109" type="#_x0000_t109" style="position:absolute;left:1693;top:10541;height:2446;width:2834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r>
                      <w:t>1</w:t>
                    </w:r>
                    <w:r>
                      <w:rPr>
                        <w:rFonts w:hint="eastAsia"/>
                      </w:rPr>
                      <w:t>、未及时办结，未及时建档上报；增加办结条件，谋取非法利益。</w:t>
                    </w:r>
                  </w:p>
                </w:txbxContent>
              </v:textbox>
            </v:shape>
            <v:shape id="_x0000_s1037" o:spid="_x0000_s1037" o:spt="109" type="#_x0000_t109" style="position:absolute;left:8623;top:3483;height:3420;width:2728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、实行受理单制；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、严格履行服务承诺制度，做到首问责任和一次性告知；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、政务公开，明确工作程序、时限等，按照规定办理；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</w:rPr>
                      <w:t>、内部监督检查，投诉举报受理。</w:t>
                    </w:r>
                  </w:p>
                </w:txbxContent>
              </v:textbox>
            </v:shape>
            <v:shape id="_x0000_s1038" o:spid="_x0000_s1038" o:spt="109" type="#_x0000_t109" style="position:absolute;left:8608;top:7460;height:2467;width:2759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、严格落实责任追究制度；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、对问题轻微者予以诫勉谈话，限期办结或限期纠正弥补；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、对重大违规违纪问题，按有关规定严肃查处。</w:t>
                    </w:r>
                  </w:p>
                </w:txbxContent>
              </v:textbox>
            </v:shape>
            <v:shape id="_x0000_s1039" o:spid="_x0000_s1039" o:spt="109" type="#_x0000_t109" style="position:absolute;left:8578;top:10592;height:2467;width:2819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、严格执行许可证制作操作规范；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、落实文件制作限时制；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、加强内部监管，严格执行行政法责任追究制度。</w:t>
                    </w:r>
                  </w:p>
                </w:txbxContent>
              </v:textbox>
            </v:shape>
          </v:group>
        </w:pict>
      </w:r>
    </w:p>
    <w:p>
      <w:pPr>
        <w:ind w:left="31680" w:hanging="1890" w:hangingChars="900"/>
        <w:rPr>
          <w:rStyle w:val="6"/>
          <w:szCs w:val="21"/>
          <w:shd w:val="clear" w:color="auto" w:fill="FBFFFE"/>
        </w:rPr>
      </w:pPr>
      <w:r>
        <w:pict>
          <v:shape id="_x0000_s1040" o:spid="_x0000_s1040" o:spt="32" type="#_x0000_t32" style="position:absolute;left:0pt;margin-left:240.65pt;margin-top:451.9pt;height:23.55pt;width:0.05pt;z-index:251676672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1" o:spid="_x0000_s1041" o:spt="32" type="#_x0000_t32" style="position:absolute;left:0pt;margin-left:239.9pt;margin-top:389.35pt;height:36.3pt;width:0pt;z-index:251675648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2" o:spid="_x0000_s1042" o:spt="202" type="#_x0000_t202" style="position:absolute;left:0pt;margin-left:284.15pt;margin-top:347.1pt;height:23.2pt;width:64.5pt;z-index:251661312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防控措施</w:t>
                  </w:r>
                </w:p>
              </w:txbxContent>
            </v:textbox>
          </v:shape>
        </w:pict>
      </w:r>
      <w:r>
        <w:pict>
          <v:shape id="_x0000_s1043" o:spid="_x0000_s1043" o:spt="32" type="#_x0000_t32" style="position:absolute;left:0pt;margin-left:281.9pt;margin-top:378.2pt;height:0.1pt;width:58.15pt;z-index:251674624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4" o:spid="_x0000_s1044" o:spt="32" type="#_x0000_t32" style="position:absolute;left:0pt;margin-left:279.65pt;margin-top:252.35pt;height:0.1pt;width:58.15pt;z-index:251673600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5" o:spid="_x0000_s1045" o:spt="32" type="#_x0000_t32" style="position:absolute;left:0pt;flip:x y;margin-left:140.15pt;margin-top:375.9pt;height:0.05pt;width:65.25pt;z-index:251672576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6" o:spid="_x0000_s1046" o:spt="32" type="#_x0000_t32" style="position:absolute;left:0pt;flip:x y;margin-left:143.15pt;margin-top:253.2pt;height:0.05pt;width:65.25pt;z-index:251671552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7" o:spid="_x0000_s1047" o:spt="32" type="#_x0000_t32" style="position:absolute;left:0pt;flip:x;margin-left:239.55pt;margin-top:264.1pt;height:97.25pt;width:1.1pt;z-index:251670528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8" o:spid="_x0000_s1048" o:spt="202" type="#_x0000_t202" style="position:absolute;left:0pt;margin-left:146.15pt;margin-top:350.35pt;height:22.5pt;width:51.75pt;z-index:25166438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风险点</w:t>
                  </w:r>
                </w:p>
              </w:txbxContent>
            </v:textbox>
          </v:shape>
        </w:pict>
      </w:r>
      <w:r>
        <w:pict>
          <v:shape id="_x0000_s1049" o:spid="_x0000_s1049" o:spt="32" type="#_x0000_t32" style="position:absolute;left:0pt;flip:x;margin-left:240.3pt;margin-top:99.85pt;height:139.4pt;width:0.35pt;z-index:251666432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50" o:spid="_x0000_s1050" o:spt="202" type="#_x0000_t202" style="position:absolute;left:0pt;margin-left:281.95pt;margin-top:233.65pt;height:23.2pt;width:57.7pt;z-index:251663360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防控措施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146.2pt;margin-top:234.35pt;height:21pt;width:47.95pt;z-index:251662336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风险点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277.45pt;margin-top:57.1pt;height:24.75pt;width:58.5pt;z-index:251660288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防控措施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143.9pt;margin-top:60.1pt;height:22.5pt;width:50.25pt;z-index:251659264;mso-width-relative:page;mso-height-relative:page;" filled="f" stroked="f" coordsize="21600,21600">
            <v:path/>
            <v:fill on="f" focussize="0,0"/>
            <v:stroke on="f" weight="1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风险点</w:t>
                  </w:r>
                </w:p>
              </w:txbxContent>
            </v:textbox>
          </v:shape>
        </w:pict>
      </w:r>
      <w:r>
        <w:pict>
          <v:shape id="_x0000_s1054" o:spid="_x0000_s1054" o:spt="32" type="#_x0000_t32" style="position:absolute;left:0pt;margin-left:275.15pt;margin-top:83.9pt;height:0.1pt;width:65.65pt;z-index:251669504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55" o:spid="_x0000_s1055" o:spt="32" type="#_x0000_t32" style="position:absolute;left:0pt;flip:x y;margin-left:137.15pt;margin-top:85.2pt;height:0.05pt;width:65.25pt;z-index:251668480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1FB"/>
    <w:rsid w:val="004801FB"/>
    <w:rsid w:val="00567D82"/>
    <w:rsid w:val="005A772E"/>
    <w:rsid w:val="005C7331"/>
    <w:rsid w:val="008D5D10"/>
    <w:rsid w:val="00A57F4E"/>
    <w:rsid w:val="00CB70F8"/>
    <w:rsid w:val="010358F8"/>
    <w:rsid w:val="03617717"/>
    <w:rsid w:val="210C5C31"/>
    <w:rsid w:val="474B22F3"/>
    <w:rsid w:val="5E1C5875"/>
    <w:rsid w:val="5EE8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40"/>
        <o:r id="V:Rule3" type="connector" idref="#_x0000_s1041"/>
        <o:r id="V:Rule4" type="connector" idref="#_x0000_s1043"/>
        <o:r id="V:Rule5" type="connector" idref="#_x0000_s1044"/>
        <o:r id="V:Rule6" type="connector" idref="#_x0000_s1045"/>
        <o:r id="V:Rule7" type="connector" idref="#_x0000_s1046"/>
        <o:r id="V:Rule8" type="connector" idref="#_x0000_s1047"/>
        <o:r id="V:Rule9" type="connector" idref="#_x0000_s1049"/>
        <o:r id="V:Rule10" type="connector" idref="#_x0000_s1054"/>
        <o:r id="V:Rule11" type="connector" idref="#_x0000_s10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99"/>
    <w:rPr>
      <w:rFonts w:cs="Times New Roman"/>
    </w:rPr>
  </w:style>
  <w:style w:type="character" w:customStyle="1" w:styleId="7">
    <w:name w:val="Head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Footer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27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</Words>
  <Characters>36</Characters>
  <Lines>0</Lines>
  <Paragraphs>0</Paragraphs>
  <TotalTime>33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</dc:creator>
  <cp:lastModifiedBy>Administrator</cp:lastModifiedBy>
  <dcterms:modified xsi:type="dcterms:W3CDTF">2021-05-23T06:27:50Z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F68BB59EEB5549B18D0760ABCDD7944C</vt:lpwstr>
  </property>
</Properties>
</file>