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4E" w:rsidRDefault="00A57F4E" w:rsidP="005A772E">
      <w:pPr>
        <w:jc w:val="center"/>
        <w:rPr>
          <w:rFonts w:ascii="宋体" w:cs="宋体"/>
          <w:kern w:val="0"/>
          <w:sz w:val="32"/>
          <w:szCs w:val="32"/>
          <w:lang/>
        </w:rPr>
      </w:pPr>
    </w:p>
    <w:p w:rsidR="00A57F4E" w:rsidRPr="005A772E" w:rsidRDefault="00A57F4E" w:rsidP="005A772E">
      <w:pPr>
        <w:jc w:val="center"/>
        <w:rPr>
          <w:rFonts w:ascii="黑体" w:eastAsia="黑体" w:hAnsi="黑体" w:cs="宋体"/>
          <w:kern w:val="0"/>
          <w:sz w:val="36"/>
          <w:szCs w:val="36"/>
          <w:lang/>
        </w:rPr>
      </w:pPr>
      <w:r w:rsidRPr="005A772E">
        <w:rPr>
          <w:rFonts w:ascii="黑体" w:eastAsia="黑体" w:hAnsi="黑体" w:cs="宋体" w:hint="eastAsia"/>
          <w:kern w:val="0"/>
          <w:sz w:val="36"/>
          <w:szCs w:val="36"/>
          <w:lang/>
        </w:rPr>
        <w:t>计划生育手术并发症廉政风险防控图</w:t>
      </w:r>
    </w:p>
    <w:p w:rsidR="00A57F4E" w:rsidRDefault="00A57F4E" w:rsidP="00CB70F8">
      <w:pPr>
        <w:ind w:left="31680" w:hangingChars="900" w:firstLine="31680"/>
        <w:rPr>
          <w:rStyle w:val="Emphasis"/>
          <w:szCs w:val="21"/>
          <w:shd w:val="clear" w:color="auto" w:fill="FBFFFE"/>
        </w:rPr>
      </w:pPr>
      <w:r>
        <w:rPr>
          <w:rFonts w:ascii="宋体" w:hAnsi="宋体" w:cs="宋体"/>
          <w:kern w:val="0"/>
          <w:sz w:val="32"/>
          <w:szCs w:val="32"/>
          <w:lang/>
        </w:rPr>
        <w:t xml:space="preserve"> 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9.9pt;margin-top:77.65pt;width:0;height:36.3pt;z-index:251655168;mso-position-horizontal-relative:text;mso-position-vertical-relative:text" strokeweight=".5pt">
            <v:stroke endarrow="open" joinstyle="miter"/>
          </v:shape>
        </w:pict>
      </w:r>
      <w:bookmarkStart w:id="0" w:name="_GoBack"/>
      <w:bookmarkEnd w:id="0"/>
    </w:p>
    <w:p w:rsidR="00A57F4E" w:rsidRDefault="00A57F4E" w:rsidP="008D5D10">
      <w:pPr>
        <w:ind w:left="31680" w:hangingChars="900" w:firstLine="31680"/>
        <w:rPr>
          <w:rStyle w:val="Emphasis"/>
          <w:szCs w:val="21"/>
          <w:shd w:val="clear" w:color="auto" w:fill="FBFFFE"/>
        </w:rPr>
      </w:pPr>
    </w:p>
    <w:p w:rsidR="00A57F4E" w:rsidRDefault="00A57F4E" w:rsidP="008D5D10">
      <w:pPr>
        <w:ind w:left="31680" w:hangingChars="900" w:firstLine="31680"/>
        <w:rPr>
          <w:rStyle w:val="Emphasis"/>
          <w:szCs w:val="21"/>
          <w:shd w:val="clear" w:color="auto" w:fill="FBFFFE"/>
        </w:rPr>
      </w:pPr>
      <w:r>
        <w:rPr>
          <w:noProof/>
        </w:rPr>
        <w:pict>
          <v:group id="_x0000_s1027" style="position:absolute;left:0;text-align:left;margin-left:-6.85pt;margin-top:8.55pt;width:486.7pt;height:514.6pt;z-index:251657216" coordorigin="1663,3483" coordsize="9734,10292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1663;top:3492;width:2848;height:3465;v-text-anchor:middle" strokeweight="1pt">
              <v:textbox style="mso-next-textbox:#_x0000_s1028">
                <w:txbxContent>
                  <w:p w:rsidR="00A57F4E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1</w:t>
                    </w:r>
                    <w:r w:rsidRPr="00CB70F8">
                      <w:rPr>
                        <w:rFonts w:hint="eastAsia"/>
                        <w:sz w:val="24"/>
                      </w:rPr>
                      <w:t>、对符合条件的不予受理或拖延受理，对不符合条件的人员放宽条件</w:t>
                    </w:r>
                    <w:r>
                      <w:rPr>
                        <w:rFonts w:hint="eastAsia"/>
                        <w:sz w:val="24"/>
                      </w:rPr>
                      <w:t>；</w:t>
                    </w:r>
                  </w:p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、擅自增设行政审批条件，违规增加；</w:t>
                    </w:r>
                  </w:p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、未一次性告知、刁难、拖延、谋取不正当得益；</w:t>
                    </w:r>
                  </w:p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、协助申请人隐瞒实情；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</w:rPr>
                      <w:t>、未按规定时间及程序进行公示。</w:t>
                    </w:r>
                  </w:p>
                </w:txbxContent>
              </v:textbox>
            </v:shape>
            <v:shape id="_x0000_s1029" type="#_x0000_t109" style="position:absolute;left:1678;top:7520;width:2864;height:2467;v-text-anchor:middle" strokeweight="1pt">
              <v:textbox style="mso-next-textbox:#_x0000_s1029">
                <w:txbxContent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1</w:t>
                    </w:r>
                    <w:r w:rsidRPr="00CB70F8">
                      <w:rPr>
                        <w:rFonts w:hint="eastAsia"/>
                        <w:sz w:val="24"/>
                      </w:rPr>
                      <w:t>、违规审批，对不符合条件的申请人准予行政确认的，对符合条件的申请人不予行政确认；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2</w:t>
                    </w:r>
                    <w:r w:rsidRPr="00CB70F8">
                      <w:rPr>
                        <w:rFonts w:hint="eastAsia"/>
                        <w:sz w:val="24"/>
                      </w:rPr>
                      <w:t>、刁难申请人，徇私谋利；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3</w:t>
                    </w:r>
                    <w:r w:rsidRPr="00CB70F8">
                      <w:rPr>
                        <w:rFonts w:hint="eastAsia"/>
                        <w:sz w:val="24"/>
                      </w:rPr>
                      <w:t>、审批超时。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0" type="#_x0000_t176" style="position:absolute;left:5893;top:3563;width:1440;height:693;v-text-anchor:middle" strokeweight="1pt">
              <v:textbox style="mso-next-textbox:#_x0000_s1030">
                <w:txbxContent>
                  <w:p w:rsidR="00A57F4E" w:rsidRPr="00CB70F8" w:rsidRDefault="00A57F4E">
                    <w:pPr>
                      <w:jc w:val="center"/>
                      <w:rPr>
                        <w:sz w:val="24"/>
                      </w:rPr>
                    </w:pPr>
                    <w:r w:rsidRPr="00CB70F8">
                      <w:rPr>
                        <w:rFonts w:hint="eastAsia"/>
                        <w:sz w:val="24"/>
                      </w:rPr>
                      <w:t>提出申请</w:t>
                    </w:r>
                  </w:p>
                </w:txbxContent>
              </v:textbox>
            </v:shape>
            <v:shape id="_x0000_s1031" type="#_x0000_t109" style="position:absolute;left:5863;top:5081;width:1440;height:453;v-text-anchor:middle" strokeweight="1pt">
              <v:textbox style="mso-next-textbox:#_x0000_s1031">
                <w:txbxContent>
                  <w:p w:rsidR="00A57F4E" w:rsidRPr="00CB70F8" w:rsidRDefault="00A57F4E">
                    <w:pPr>
                      <w:jc w:val="center"/>
                      <w:rPr>
                        <w:sz w:val="24"/>
                      </w:rPr>
                    </w:pPr>
                    <w:r w:rsidRPr="00CB70F8">
                      <w:rPr>
                        <w:rFonts w:hint="eastAsia"/>
                        <w:sz w:val="24"/>
                      </w:rPr>
                      <w:t>受理</w:t>
                    </w:r>
                  </w:p>
                </w:txbxContent>
              </v:textbox>
            </v:shape>
            <v:shape id="_x0000_s1032" type="#_x0000_t109" style="position:absolute;left:5983;top:8426;width:1440;height:453;v-text-anchor:middle" strokeweight="1pt">
              <v:textbox style="mso-next-textbox:#_x0000_s1032">
                <w:txbxContent>
                  <w:p w:rsidR="00A57F4E" w:rsidRDefault="00A57F4E">
                    <w:pPr>
                      <w:jc w:val="center"/>
                    </w:pPr>
                    <w:r>
                      <w:rPr>
                        <w:rFonts w:hint="eastAsia"/>
                      </w:rPr>
                      <w:t>审查</w:t>
                    </w:r>
                  </w:p>
                </w:txbxContent>
              </v:textbox>
            </v:shape>
            <v:shape id="_x0000_s1033" type="#_x0000_t109" style="position:absolute;left:5923;top:10925;width:1440;height:453;v-text-anchor:middle" strokeweight="1pt">
              <v:textbox style="mso-next-textbox:#_x0000_s1033">
                <w:txbxContent>
                  <w:p w:rsidR="00A57F4E" w:rsidRDefault="00A57F4E">
                    <w:pPr>
                      <w:jc w:val="center"/>
                    </w:pPr>
                    <w:r>
                      <w:rPr>
                        <w:rFonts w:hint="eastAsia"/>
                      </w:rPr>
                      <w:t>决定</w:t>
                    </w:r>
                  </w:p>
                </w:txbxContent>
              </v:textbox>
            </v:shape>
            <v:shape id="_x0000_s1034" type="#_x0000_t109" style="position:absolute;left:5938;top:12179;width:1440;height:453;v-text-anchor:middle" strokeweight="1pt">
              <v:textbox style="mso-next-textbox:#_x0000_s1034">
                <w:txbxContent>
                  <w:p w:rsidR="00A57F4E" w:rsidRPr="00CB70F8" w:rsidRDefault="00A57F4E">
                    <w:pPr>
                      <w:jc w:val="center"/>
                      <w:rPr>
                        <w:sz w:val="24"/>
                      </w:rPr>
                    </w:pPr>
                    <w:r w:rsidRPr="00CB70F8">
                      <w:rPr>
                        <w:rFonts w:hint="eastAsia"/>
                        <w:sz w:val="24"/>
                      </w:rPr>
                      <w:t>送达</w:t>
                    </w:r>
                  </w:p>
                </w:txbxContent>
              </v:textbox>
            </v:shape>
            <v:shape id="_x0000_s1035" type="#_x0000_t176" style="position:absolute;left:5953;top:13231;width:1440;height:544;v-text-anchor:middle" strokeweight="1pt">
              <v:textbox style="mso-next-textbox:#_x0000_s1035">
                <w:txbxContent>
                  <w:p w:rsidR="00A57F4E" w:rsidRPr="00CB70F8" w:rsidRDefault="00A57F4E" w:rsidP="00CB70F8">
                    <w:pPr>
                      <w:jc w:val="center"/>
                      <w:rPr>
                        <w:sz w:val="24"/>
                      </w:rPr>
                    </w:pPr>
                    <w:r w:rsidRPr="00CB70F8">
                      <w:rPr>
                        <w:rFonts w:hint="eastAsia"/>
                        <w:sz w:val="24"/>
                      </w:rPr>
                      <w:t>办结</w:t>
                    </w:r>
                  </w:p>
                </w:txbxContent>
              </v:textbox>
            </v:shape>
            <v:shape id="_x0000_s1036" type="#_x0000_t109" style="position:absolute;left:1693;top:10541;width:2834;height:2446;v-text-anchor:middle" strokeweight="1pt">
              <v:textbox style="mso-next-textbox:#_x0000_s1036">
                <w:txbxContent>
                  <w:p w:rsidR="00A57F4E" w:rsidRPr="00CB70F8" w:rsidRDefault="00A57F4E" w:rsidP="00CB70F8">
                    <w:r w:rsidRPr="00CB70F8">
                      <w:t>1</w:t>
                    </w:r>
                    <w:r w:rsidRPr="00CB70F8">
                      <w:rPr>
                        <w:rFonts w:hint="eastAsia"/>
                      </w:rPr>
                      <w:t>、</w:t>
                    </w:r>
                    <w:r>
                      <w:rPr>
                        <w:rFonts w:hint="eastAsia"/>
                      </w:rPr>
                      <w:t>未及时办结，未及时建档上报；增加办结条件，谋取非法利益。</w:t>
                    </w:r>
                  </w:p>
                </w:txbxContent>
              </v:textbox>
            </v:shape>
            <v:shape id="_x0000_s1037" type="#_x0000_t109" style="position:absolute;left:8623;top:3483;width:2728;height:3420;v-text-anchor:middle" strokeweight="1pt">
              <v:textbox style="mso-next-textbox:#_x0000_s1037">
                <w:txbxContent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、实行受理单制；</w:t>
                    </w:r>
                  </w:p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、严格履行服务承诺制度，做到首问责任和一次性告知；</w:t>
                    </w:r>
                  </w:p>
                  <w:p w:rsidR="00A57F4E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、政务公开，明确工作程序、时限等，按照规定办理；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、内部监督检查，投诉举报受理。</w:t>
                    </w:r>
                  </w:p>
                </w:txbxContent>
              </v:textbox>
            </v:shape>
            <v:shape id="_x0000_s1038" type="#_x0000_t109" style="position:absolute;left:8608;top:7460;width:2759;height:2467;v-text-anchor:middle" strokeweight="1pt">
              <v:textbox style="mso-next-textbox:#_x0000_s1038">
                <w:txbxContent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1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严格落实责任追究制度；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2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对问题轻微者予以诫勉谈话，限期办结或限期纠正弥补；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3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对重大违规违纪问题，按有关规定严肃查处。</w:t>
                    </w:r>
                  </w:p>
                </w:txbxContent>
              </v:textbox>
            </v:shape>
            <v:shape id="_x0000_s1039" type="#_x0000_t109" style="position:absolute;left:8578;top:10592;width:2819;height:2467;v-text-anchor:middle" strokeweight="1pt">
              <v:textbox style="mso-next-textbox:#_x0000_s1039">
                <w:txbxContent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1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严格执行许可证制作操作规范；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2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落实文件制作限时制；</w:t>
                    </w:r>
                  </w:p>
                  <w:p w:rsidR="00A57F4E" w:rsidRPr="00CB70F8" w:rsidRDefault="00A57F4E" w:rsidP="00CB70F8">
                    <w:pPr>
                      <w:rPr>
                        <w:sz w:val="24"/>
                      </w:rPr>
                    </w:pPr>
                    <w:r w:rsidRPr="00CB70F8">
                      <w:rPr>
                        <w:sz w:val="24"/>
                      </w:rPr>
                      <w:t>3</w:t>
                    </w:r>
                    <w:r w:rsidRPr="00CB70F8">
                      <w:rPr>
                        <w:rFonts w:hint="eastAsia"/>
                        <w:sz w:val="24"/>
                      </w:rPr>
                      <w:t>、</w:t>
                    </w:r>
                    <w:r>
                      <w:rPr>
                        <w:rFonts w:hint="eastAsia"/>
                        <w:sz w:val="24"/>
                      </w:rPr>
                      <w:t>加强内部监管，严格执行行政法责任追究制度。</w:t>
                    </w:r>
                  </w:p>
                </w:txbxContent>
              </v:textbox>
            </v:shape>
          </v:group>
        </w:pict>
      </w:r>
    </w:p>
    <w:p w:rsidR="00A57F4E" w:rsidRDefault="00A57F4E" w:rsidP="008D5D10">
      <w:pPr>
        <w:ind w:left="31680" w:hangingChars="900" w:firstLine="31680"/>
        <w:rPr>
          <w:rStyle w:val="Emphasis"/>
          <w:szCs w:val="21"/>
          <w:shd w:val="clear" w:color="auto" w:fill="FBFFFE"/>
        </w:rPr>
      </w:pPr>
      <w:r>
        <w:rPr>
          <w:noProof/>
        </w:rPr>
        <w:pict>
          <v:shape id="_x0000_s1040" type="#_x0000_t32" style="position:absolute;left:0;text-align:left;margin-left:240.65pt;margin-top:451.9pt;width:.05pt;height:23.55pt;z-index:251666432" strokeweight=".5pt">
            <v:stroke endarrow="open" joinstyle="miter"/>
          </v:shape>
        </w:pict>
      </w:r>
      <w:r>
        <w:rPr>
          <w:noProof/>
        </w:rPr>
        <w:pict>
          <v:shape id="_x0000_s1041" type="#_x0000_t32" style="position:absolute;left:0;text-align:left;margin-left:239.9pt;margin-top:389.35pt;width:0;height:36.3pt;z-index:251665408" strokeweight=".5pt">
            <v:stroke endarrow="open" joinstyle="miter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84.15pt;margin-top:347.1pt;width:64.5pt;height:23.2pt;z-index:251651072" stroked="f" strokeweight=".5pt">
            <v:textbox style="mso-next-textbox:#_x0000_s1042">
              <w:txbxContent>
                <w:p w:rsidR="00A57F4E" w:rsidRDefault="00A57F4E"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left:0;text-align:left;margin-left:281.9pt;margin-top:378.2pt;width:58.15pt;height:.1pt;z-index:251664384" strokeweight=".5pt">
            <v:stroke endarrow="open" joinstyle="miter"/>
          </v:shape>
        </w:pict>
      </w:r>
      <w:r>
        <w:rPr>
          <w:noProof/>
        </w:rPr>
        <w:pict>
          <v:shape id="_x0000_s1044" type="#_x0000_t32" style="position:absolute;left:0;text-align:left;margin-left:279.65pt;margin-top:252.35pt;width:58.15pt;height:.1pt;z-index:251663360" strokeweight=".5pt">
            <v:stroke endarrow="open" joinstyle="miter"/>
          </v:shape>
        </w:pict>
      </w:r>
      <w:r>
        <w:rPr>
          <w:noProof/>
        </w:rPr>
        <w:pict>
          <v:shape id="_x0000_s1045" type="#_x0000_t32" style="position:absolute;left:0;text-align:left;margin-left:140.15pt;margin-top:375.9pt;width:65.25pt;height:.05pt;flip:x y;z-index:251662336" strokeweight=".5pt">
            <v:stroke endarrow="open" joinstyle="miter"/>
          </v:shape>
        </w:pict>
      </w:r>
      <w:r>
        <w:rPr>
          <w:noProof/>
        </w:rPr>
        <w:pict>
          <v:shape id="_x0000_s1046" type="#_x0000_t32" style="position:absolute;left:0;text-align:left;margin-left:143.15pt;margin-top:253.2pt;width:65.25pt;height:.05pt;flip:x y;z-index:251661312" strokeweight=".5pt">
            <v:stroke endarrow="open" joinstyle="miter"/>
          </v:shape>
        </w:pict>
      </w:r>
      <w:r>
        <w:rPr>
          <w:noProof/>
        </w:rPr>
        <w:pict>
          <v:shape id="_x0000_s1047" type="#_x0000_t32" style="position:absolute;left:0;text-align:left;margin-left:239.55pt;margin-top:264.1pt;width:1.1pt;height:97.25pt;flip:x;z-index:251660288" strokeweight=".5pt">
            <v:stroke endarrow="open" joinstyle="miter"/>
          </v:shape>
        </w:pict>
      </w:r>
      <w:r>
        <w:rPr>
          <w:noProof/>
        </w:rPr>
        <w:pict>
          <v:shape id="_x0000_s1048" type="#_x0000_t202" style="position:absolute;left:0;text-align:left;margin-left:146.15pt;margin-top:350.35pt;width:51.75pt;height:22.5pt;z-index:251654144" stroked="f" strokeweight=".5pt">
            <v:textbox style="mso-next-textbox:#_x0000_s1048">
              <w:txbxContent>
                <w:p w:rsidR="00A57F4E" w:rsidRDefault="00A57F4E"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left:0;text-align:left;margin-left:240.3pt;margin-top:99.85pt;width:.35pt;height:139.4pt;flip:x;z-index:251656192" strokeweight=".5pt">
            <v:stroke endarrow="open" joinstyle="miter"/>
          </v:shape>
        </w:pict>
      </w:r>
      <w:r>
        <w:rPr>
          <w:noProof/>
        </w:rPr>
        <w:pict>
          <v:shape id="_x0000_s1050" type="#_x0000_t202" style="position:absolute;left:0;text-align:left;margin-left:281.95pt;margin-top:233.65pt;width:57.7pt;height:23.2pt;z-index:251653120" stroked="f" strokeweight=".5pt">
            <v:textbox style="mso-next-textbox:#_x0000_s1050">
              <w:txbxContent>
                <w:p w:rsidR="00A57F4E" w:rsidRDefault="00A57F4E"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46.2pt;margin-top:234.35pt;width:47.95pt;height:21pt;z-index:251652096" stroked="f" strokeweight=".5pt">
            <v:textbox style="mso-next-textbox:#_x0000_s1051">
              <w:txbxContent>
                <w:p w:rsidR="00A57F4E" w:rsidRDefault="00A57F4E"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277.45pt;margin-top:57.1pt;width:58.5pt;height:24.75pt;z-index:251650048" stroked="f" strokeweight=".5pt">
            <v:textbox style="mso-next-textbox:#_x0000_s1052">
              <w:txbxContent>
                <w:p w:rsidR="00A57F4E" w:rsidRDefault="00A57F4E"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143.9pt;margin-top:60.1pt;width:50.25pt;height:22.5pt;z-index:251649024" filled="f" stroked="f" strokeweight="1pt">
            <v:textbox style="mso-next-textbox:#_x0000_s1053">
              <w:txbxContent>
                <w:p w:rsidR="00A57F4E" w:rsidRDefault="00A57F4E"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left:0;text-align:left;margin-left:275.15pt;margin-top:83.9pt;width:65.65pt;height:.1pt;z-index:251659264" strokeweight=".5pt">
            <v:stroke endarrow="open" joinstyle="miter"/>
          </v:shape>
        </w:pict>
      </w:r>
      <w:r>
        <w:rPr>
          <w:noProof/>
        </w:rPr>
        <w:pict>
          <v:shape id="_x0000_s1055" type="#_x0000_t32" style="position:absolute;left:0;text-align:left;margin-left:137.15pt;margin-top:85.2pt;width:65.25pt;height:.05pt;flip:x y;z-index:251658240" strokeweight=".5pt">
            <v:stroke endarrow="open" joinstyle="miter"/>
          </v:shape>
        </w:pict>
      </w:r>
    </w:p>
    <w:sectPr w:rsidR="00A57F4E" w:rsidSect="00567D82">
      <w:pgSz w:w="11906" w:h="16838"/>
      <w:pgMar w:top="1440" w:right="1701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4E" w:rsidRDefault="00A57F4E">
      <w:r>
        <w:separator/>
      </w:r>
    </w:p>
  </w:endnote>
  <w:endnote w:type="continuationSeparator" w:id="0">
    <w:p w:rsidR="00A57F4E" w:rsidRDefault="00A57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4E" w:rsidRDefault="00A57F4E">
      <w:r>
        <w:separator/>
      </w:r>
    </w:p>
  </w:footnote>
  <w:footnote w:type="continuationSeparator" w:id="0">
    <w:p w:rsidR="00A57F4E" w:rsidRDefault="00A57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AD8"/>
    <w:multiLevelType w:val="hybridMultilevel"/>
    <w:tmpl w:val="9E546290"/>
    <w:lvl w:ilvl="0" w:tplc="4DB814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1FB"/>
    <w:rsid w:val="004801FB"/>
    <w:rsid w:val="00567D82"/>
    <w:rsid w:val="005A772E"/>
    <w:rsid w:val="005C7331"/>
    <w:rsid w:val="008D5D10"/>
    <w:rsid w:val="00A57F4E"/>
    <w:rsid w:val="00CB70F8"/>
    <w:rsid w:val="010358F8"/>
    <w:rsid w:val="03617717"/>
    <w:rsid w:val="474B22F3"/>
    <w:rsid w:val="5E1C5875"/>
    <w:rsid w:val="5EE8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F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4801F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55E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55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6</Words>
  <Characters>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Users</cp:lastModifiedBy>
  <cp:revision>3</cp:revision>
  <dcterms:created xsi:type="dcterms:W3CDTF">2014-10-29T12:08:00Z</dcterms:created>
  <dcterms:modified xsi:type="dcterms:W3CDTF">2021-05-19T10:16:00Z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