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color w:val="222222"/>
          <w:kern w:val="0"/>
          <w:sz w:val="43"/>
          <w:szCs w:val="43"/>
          <w:lang w:val="en-US" w:eastAsia="zh-CN" w:bidi="ar"/>
        </w:rPr>
        <w:t>养老服务设施建设规范</w:t>
      </w:r>
    </w:p>
    <w:bookmarkEnd w:id="0"/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>总体要求: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县政府负责农村养老服务设施建设规划及业务指导，各乡镇政府负责运行指导及运营监督，村民委员会负责设施建设及日常运营管理。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 xml:space="preserve">一、老年人日间照料中心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1.利用和整合农村闲置的学校、医院、村委会等设施建设或改造，经村民委员会或村民代表会议讨论通过；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2.建筑面积 150-500 ㎡，一般要求为建筑物底屋部分；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3.至少设置四室一厅（日间休息室、休闲娱乐室、图书阅览室、健身康复室和餐厅），并根据实际需要设置相应床位；配备必要的就餐、娱乐、健身、食品安全、消防取暖、洗衣等相关设备；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4.服务事项：为老年人提供日间休息、饮食、娱乐、洗衣等基本服务。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 xml:space="preserve">二、农村幸福小院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1.利用和整合农村闲置的学校、医院、村委会、村民屋舍等设施建设或改造，经村民委员会或村民代表会议讨论通过；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2.建筑面积 150-200 ㎡，并根据实际需要设置相应床位；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3.设置日间休息室、餐厅及小型菜园，配备必要的就餐、洗衣、食品安全、消防取暖等相关设备;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4.服务事项：为老年人提供日间休息、饮食、洗衣等基本服务。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 xml:space="preserve">三、农村互助小院建设要求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1.建筑面积 100 ㎡左右，配备必要的就餐、洗衣、食品安全、消防取暖等相关设备。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2.由村民利用自家闲置房屋开办，采取个人申报、村民议定的方式确定。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33F8"/>
    <w:rsid w:val="75B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2021-12-22T08:08:00Z</dcterms:created>
  <dc:creator>蜡笔小新</dc:creator>
  <cp:lastModifiedBy>蜡笔小新</cp:lastModifiedBy>
  <dcterms:modified xsi:type="dcterms:W3CDTF">2021-12-22T08:08:40Z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1982C4CC49464295BCE9995FACB9446C</vt:lpwstr>
  </property>
</Properties>
</file>