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831"/>
        <w:gridCol w:w="871"/>
        <w:gridCol w:w="1439"/>
        <w:gridCol w:w="1660"/>
        <w:gridCol w:w="2135"/>
        <w:gridCol w:w="2372"/>
        <w:gridCol w:w="1960"/>
        <w:gridCol w:w="1785"/>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1"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31"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71"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99"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52"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2"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1" w:type="dxa"/>
            <w:vMerge w:val="continue"/>
            <w:noWrap w:val="0"/>
            <w:vAlign w:val="center"/>
          </w:tcPr>
          <w:p>
            <w:pPr>
              <w:jc w:val="center"/>
              <w:rPr>
                <w:rFonts w:hint="eastAsia" w:ascii="黑体" w:hAnsi="黑体" w:eastAsia="黑体" w:cs="黑体"/>
                <w:b w:val="0"/>
                <w:bCs w:val="0"/>
                <w:sz w:val="28"/>
                <w:szCs w:val="28"/>
                <w:vertAlign w:val="baseline"/>
              </w:rPr>
            </w:pPr>
          </w:p>
        </w:tc>
        <w:tc>
          <w:tcPr>
            <w:tcW w:w="831" w:type="dxa"/>
            <w:vMerge w:val="continue"/>
            <w:noWrap w:val="0"/>
            <w:vAlign w:val="center"/>
          </w:tcPr>
          <w:p>
            <w:pPr>
              <w:jc w:val="center"/>
              <w:rPr>
                <w:rFonts w:hint="eastAsia" w:ascii="黑体" w:hAnsi="黑体" w:eastAsia="黑体" w:cs="黑体"/>
                <w:b w:val="0"/>
                <w:bCs w:val="0"/>
                <w:sz w:val="28"/>
                <w:szCs w:val="28"/>
                <w:vertAlign w:val="baseline"/>
              </w:rPr>
            </w:pPr>
          </w:p>
        </w:tc>
        <w:tc>
          <w:tcPr>
            <w:tcW w:w="871" w:type="dxa"/>
            <w:vMerge w:val="continue"/>
            <w:noWrap w:val="0"/>
            <w:vAlign w:val="center"/>
          </w:tcPr>
          <w:p>
            <w:pPr>
              <w:jc w:val="center"/>
              <w:rPr>
                <w:rFonts w:hint="eastAsia" w:ascii="黑体" w:hAnsi="黑体" w:eastAsia="黑体" w:cs="黑体"/>
                <w:b w:val="0"/>
                <w:bCs w:val="0"/>
                <w:sz w:val="28"/>
                <w:szCs w:val="28"/>
                <w:vertAlign w:val="baseline"/>
              </w:rPr>
            </w:pPr>
          </w:p>
        </w:tc>
        <w:tc>
          <w:tcPr>
            <w:tcW w:w="143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6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35"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7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6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85"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2"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7" w:hRule="atLeast"/>
        </w:trPr>
        <w:tc>
          <w:tcPr>
            <w:tcW w:w="481" w:type="dxa"/>
            <w:noWrap w:val="0"/>
            <w:vAlign w:val="center"/>
          </w:tcPr>
          <w:p>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1</w:t>
            </w:r>
          </w:p>
        </w:tc>
        <w:tc>
          <w:tcPr>
            <w:tcW w:w="831"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行政给付</w:t>
            </w:r>
          </w:p>
        </w:tc>
        <w:tc>
          <w:tcPr>
            <w:tcW w:w="871" w:type="dxa"/>
            <w:noWrap w:val="0"/>
            <w:vAlign w:val="center"/>
          </w:tcPr>
          <w:p>
            <w:pPr>
              <w:spacing w:line="300" w:lineRule="exact"/>
              <w:jc w:val="left"/>
              <w:rPr>
                <w:rFonts w:hint="eastAsia" w:ascii="宋体" w:hAnsi="宋体" w:eastAsia="宋体" w:cs="宋体"/>
                <w:kern w:val="2"/>
                <w:sz w:val="18"/>
                <w:szCs w:val="18"/>
                <w:lang w:val="en-US" w:eastAsia="zh-CN" w:bidi="ar-SA"/>
              </w:rPr>
            </w:pPr>
            <w:r>
              <w:rPr>
                <w:rFonts w:hint="eastAsia" w:ascii="仿宋_GB2312" w:eastAsia="仿宋_GB2312" w:cs="Times New Roman"/>
                <w:kern w:val="2"/>
                <w:sz w:val="18"/>
                <w:szCs w:val="18"/>
                <w:lang w:val="en-US" w:eastAsia="zh-CN" w:bidi="ar-SA"/>
              </w:rPr>
              <w:t>0500-G-00200-141122</w:t>
            </w:r>
          </w:p>
        </w:tc>
        <w:tc>
          <w:tcPr>
            <w:tcW w:w="1439"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大学生生源地信用助学贷款发放</w:t>
            </w:r>
          </w:p>
        </w:tc>
        <w:tc>
          <w:tcPr>
            <w:tcW w:w="166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【法律】 《中华人民共和国教育法 》 ；         【法规】 （中华人民共和国主席令第45号）第42条；                    《社会救助暂行办法》 （国务院令第649号，自2014年5月1日起施行）第33条；            《国务院关于建立健全普通本科高校高等职业学校和中等职业学校家庭经济困难学生资助政策体系的意见》 （国发〔2007〕13号）。</w:t>
            </w:r>
          </w:p>
        </w:tc>
        <w:tc>
          <w:tcPr>
            <w:tcW w:w="2135" w:type="dxa"/>
            <w:noWrap w:val="0"/>
            <w:vAlign w:val="center"/>
          </w:tcPr>
          <w:p>
            <w:pPr>
              <w:numPr>
                <w:ilvl w:val="0"/>
                <w:numId w:val="2"/>
              </w:num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受理审查责任：在规定时间内，对符合条件的申请人及时受理；严格按照借贷款人申请条件和家庭经济困难标准进行审查，严格把关。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2.办理合同责任：审查贷款信息管理系统录入的数据与原始申请一致；对符合条件者，及时打印贷款合同和受理证明；严格按规定指导签订合同。                        3.复核责任：对符合条件的申请人准予签订合同、办理网上批准；严格按照规程认真审核相关信息；按时审核确认回执；按时汇总上报。                      4.其他法律法规规章规定应履行的责任。</w:t>
            </w:r>
          </w:p>
        </w:tc>
        <w:tc>
          <w:tcPr>
            <w:tcW w:w="2372"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【法律】《中华人民共和国公务员法》第五十三条至五十五条。                 【行政法规】《行政机关公务员处分条例（国务院第495令）；【规章】《事业单位工作人员处分暂行规定》（人社部、监察部18号令）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pPr>
              <w:jc w:val="center"/>
              <w:rPr>
                <w:rFonts w:hint="eastAsia" w:ascii="仿宋" w:hAnsi="仿宋" w:eastAsia="仿宋" w:cs="仿宋"/>
                <w:b/>
                <w:bCs/>
                <w:sz w:val="22"/>
                <w:szCs w:val="22"/>
              </w:rPr>
            </w:pPr>
            <w:r>
              <w:rPr>
                <w:rFonts w:hint="eastAsia" w:ascii="宋体" w:hAnsi="宋体" w:cs="宋体"/>
                <w:sz w:val="18"/>
                <w:szCs w:val="18"/>
                <w:shd w:val="clear" w:color="auto" w:fill="FFFFFF"/>
              </w:rPr>
              <w:t>【规范性文件】《山西省行政机关及其工作人员行政过错责任追究暂行办法 》；《吕梁市行政执法责任追究暂行办法》第八条、第二十三条、第二十四条、第二十五条。</w:t>
            </w:r>
          </w:p>
        </w:tc>
        <w:tc>
          <w:tcPr>
            <w:tcW w:w="1960" w:type="dxa"/>
            <w:noWrap w:val="0"/>
            <w:vAlign w:val="center"/>
          </w:tcPr>
          <w:p>
            <w:pPr>
              <w:jc w:val="center"/>
              <w:rPr>
                <w:rFonts w:hint="eastAsia" w:ascii="仿宋" w:hAnsi="仿宋" w:eastAsia="仿宋" w:cs="仿宋"/>
                <w:b/>
                <w:bCs/>
                <w:sz w:val="22"/>
                <w:szCs w:val="22"/>
              </w:rPr>
            </w:pPr>
            <w:r>
              <w:rPr>
                <w:rFonts w:hint="eastAsia" w:ascii="宋体" w:hAnsi="宋体" w:cs="宋体"/>
                <w:sz w:val="18"/>
                <w:szCs w:val="18"/>
              </w:rPr>
              <w:t>1.未严把资格审查关，因材料或证件原因造成不良后果者。                     2.未严格按要求和规定程序操作导致产生不良后果者。                                  3.其他违反法律法规规章规定的行为。</w:t>
            </w:r>
          </w:p>
        </w:tc>
        <w:tc>
          <w:tcPr>
            <w:tcW w:w="1785"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center"/>
              <w:rPr>
                <w:rFonts w:hint="eastAsia" w:ascii="仿宋" w:hAnsi="仿宋" w:eastAsia="仿宋" w:cs="仿宋"/>
                <w:b/>
                <w:bCs/>
                <w:sz w:val="22"/>
                <w:szCs w:val="22"/>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702" w:type="dxa"/>
            <w:noWrap w:val="0"/>
            <w:vAlign w:val="center"/>
          </w:tcPr>
          <w:p>
            <w:pPr>
              <w:jc w:val="center"/>
              <w:rPr>
                <w:rFonts w:hint="eastAsia" w:ascii="仿宋" w:hAnsi="仿宋" w:eastAsia="仿宋" w:cs="仿宋"/>
                <w:b/>
                <w:bCs/>
                <w:sz w:val="22"/>
                <w:szCs w:val="22"/>
              </w:rPr>
            </w:pPr>
          </w:p>
        </w:tc>
      </w:tr>
    </w:tbl>
    <w:p>
      <w:pPr>
        <w:ind w:firstLine="5060" w:firstLineChars="1400"/>
        <w:jc w:val="both"/>
        <w:rPr>
          <w:rFonts w:hint="eastAsia" w:ascii="仿宋" w:hAnsi="仿宋" w:eastAsia="仿宋" w:cs="仿宋"/>
          <w:b/>
          <w:bCs/>
          <w:sz w:val="36"/>
          <w:szCs w:val="36"/>
        </w:rPr>
      </w:pPr>
      <w:r>
        <w:rPr>
          <w:rFonts w:hint="eastAsia" w:ascii="宋体" w:hAnsi="宋体" w:eastAsia="宋体" w:cs="宋体"/>
          <w:b/>
          <w:bCs/>
          <w:sz w:val="36"/>
          <w:szCs w:val="36"/>
        </w:rPr>
        <w:t>权责清单梳理调整填报表</w:t>
      </w:r>
    </w:p>
    <w:tbl>
      <w:tblPr>
        <w:tblStyle w:val="3"/>
        <w:tblW w:w="14978"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068"/>
        <w:gridCol w:w="891"/>
        <w:gridCol w:w="715"/>
        <w:gridCol w:w="892"/>
        <w:gridCol w:w="4462"/>
        <w:gridCol w:w="1247"/>
        <w:gridCol w:w="1247"/>
        <w:gridCol w:w="1604"/>
        <w:gridCol w:w="1788"/>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531" w:type="dxa"/>
            <w:vMerge w:val="restart"/>
            <w:noWrap w:val="0"/>
            <w:vAlign w:val="center"/>
          </w:tcPr>
          <w:p>
            <w:pPr>
              <w:jc w:val="center"/>
              <w:rPr>
                <w:rFonts w:hint="eastAsia" w:ascii="宋体" w:hAnsi="宋体" w:cs="宋体"/>
                <w:b/>
                <w:bCs/>
                <w:kern w:val="0"/>
                <w:sz w:val="18"/>
                <w:szCs w:val="18"/>
              </w:rPr>
            </w:pPr>
            <w:r>
              <w:rPr>
                <w:rFonts w:hint="eastAsia" w:ascii="宋体" w:hAnsi="宋体" w:cs="宋体"/>
                <w:b/>
                <w:bCs/>
                <w:kern w:val="0"/>
                <w:sz w:val="18"/>
                <w:szCs w:val="18"/>
              </w:rPr>
              <w:t>序号</w:t>
            </w:r>
          </w:p>
        </w:tc>
        <w:tc>
          <w:tcPr>
            <w:tcW w:w="8028" w:type="dxa"/>
            <w:gridSpan w:val="5"/>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权力清单</w:t>
            </w:r>
          </w:p>
        </w:tc>
        <w:tc>
          <w:tcPr>
            <w:tcW w:w="5886" w:type="dxa"/>
            <w:gridSpan w:val="4"/>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责任清单</w:t>
            </w:r>
          </w:p>
        </w:tc>
        <w:tc>
          <w:tcPr>
            <w:tcW w:w="533"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exact"/>
        </w:trPr>
        <w:tc>
          <w:tcPr>
            <w:tcW w:w="531" w:type="dxa"/>
            <w:vMerge w:val="continue"/>
            <w:noWrap w:val="0"/>
            <w:vAlign w:val="center"/>
          </w:tcPr>
          <w:p>
            <w:pPr>
              <w:jc w:val="center"/>
              <w:rPr>
                <w:rFonts w:ascii="宋体" w:hAnsi="宋体" w:cs="宋体"/>
                <w:b/>
                <w:bCs/>
                <w:kern w:val="0"/>
                <w:sz w:val="18"/>
                <w:szCs w:val="18"/>
              </w:rPr>
            </w:pPr>
          </w:p>
        </w:tc>
        <w:tc>
          <w:tcPr>
            <w:tcW w:w="1068" w:type="dxa"/>
            <w:vMerge w:val="restart"/>
            <w:noWrap w:val="0"/>
            <w:vAlign w:val="center"/>
          </w:tcPr>
          <w:p>
            <w:pPr>
              <w:jc w:val="center"/>
              <w:rPr>
                <w:rFonts w:hint="eastAsia"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w:t>
            </w:r>
          </w:p>
          <w:p>
            <w:pPr>
              <w:jc w:val="center"/>
              <w:rPr>
                <w:rFonts w:ascii="宋体" w:hAnsi="宋体" w:cs="宋体"/>
                <w:b/>
                <w:bCs/>
                <w:kern w:val="0"/>
                <w:sz w:val="18"/>
                <w:szCs w:val="18"/>
              </w:rPr>
            </w:pPr>
            <w:r>
              <w:rPr>
                <w:rFonts w:hint="eastAsia" w:ascii="宋体" w:hAnsi="宋体" w:cs="宋体"/>
                <w:b/>
                <w:bCs/>
                <w:kern w:val="0"/>
                <w:sz w:val="18"/>
                <w:szCs w:val="18"/>
              </w:rPr>
              <w:t>类别</w:t>
            </w:r>
          </w:p>
        </w:tc>
        <w:tc>
          <w:tcPr>
            <w:tcW w:w="891" w:type="dxa"/>
            <w:vMerge w:val="restart"/>
            <w:noWrap w:val="0"/>
            <w:vAlign w:val="center"/>
          </w:tcPr>
          <w:p>
            <w:pPr>
              <w:jc w:val="center"/>
              <w:rPr>
                <w:rFonts w:hint="eastAsia"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w:t>
            </w:r>
          </w:p>
          <w:p>
            <w:pPr>
              <w:jc w:val="center"/>
              <w:rPr>
                <w:rFonts w:ascii="宋体" w:hAnsi="宋体" w:cs="宋体"/>
                <w:b/>
                <w:bCs/>
                <w:kern w:val="0"/>
                <w:sz w:val="18"/>
                <w:szCs w:val="18"/>
              </w:rPr>
            </w:pPr>
            <w:r>
              <w:rPr>
                <w:rFonts w:hint="eastAsia" w:ascii="宋体" w:hAnsi="宋体" w:cs="宋体"/>
                <w:b/>
                <w:bCs/>
                <w:kern w:val="0"/>
                <w:sz w:val="18"/>
                <w:szCs w:val="18"/>
              </w:rPr>
              <w:t>编码</w:t>
            </w:r>
          </w:p>
        </w:tc>
        <w:tc>
          <w:tcPr>
            <w:tcW w:w="1607" w:type="dxa"/>
            <w:gridSpan w:val="2"/>
            <w:noWrap w:val="0"/>
            <w:vAlign w:val="center"/>
          </w:tcPr>
          <w:p>
            <w:pPr>
              <w:jc w:val="center"/>
              <w:rPr>
                <w:rFonts w:hint="default"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事项名称</w:t>
            </w:r>
          </w:p>
        </w:tc>
        <w:tc>
          <w:tcPr>
            <w:tcW w:w="4462"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lang w:val="en-US" w:eastAsia="zh-CN"/>
              </w:rPr>
              <w:t>事项</w:t>
            </w:r>
            <w:r>
              <w:rPr>
                <w:rFonts w:hint="eastAsia" w:ascii="宋体" w:hAnsi="宋体" w:cs="宋体"/>
                <w:b/>
                <w:bCs/>
                <w:kern w:val="0"/>
                <w:sz w:val="18"/>
                <w:szCs w:val="18"/>
              </w:rPr>
              <w:t>依据</w:t>
            </w:r>
          </w:p>
        </w:tc>
        <w:tc>
          <w:tcPr>
            <w:tcW w:w="1247"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责任事项</w:t>
            </w:r>
          </w:p>
        </w:tc>
        <w:tc>
          <w:tcPr>
            <w:tcW w:w="1247"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追责情形</w:t>
            </w:r>
          </w:p>
        </w:tc>
        <w:tc>
          <w:tcPr>
            <w:tcW w:w="1604"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追责依据</w:t>
            </w:r>
          </w:p>
        </w:tc>
        <w:tc>
          <w:tcPr>
            <w:tcW w:w="1788" w:type="dxa"/>
            <w:vMerge w:val="restart"/>
            <w:noWrap w:val="0"/>
            <w:vAlign w:val="center"/>
          </w:tcPr>
          <w:p>
            <w:pPr>
              <w:jc w:val="center"/>
              <w:rPr>
                <w:rFonts w:ascii="宋体" w:hAnsi="宋体" w:cs="宋体"/>
                <w:b/>
                <w:bCs/>
                <w:kern w:val="0"/>
                <w:sz w:val="18"/>
                <w:szCs w:val="18"/>
              </w:rPr>
            </w:pPr>
            <w:r>
              <w:rPr>
                <w:rFonts w:hint="eastAsia" w:ascii="宋体" w:hAnsi="宋体" w:cs="宋体"/>
                <w:b/>
                <w:bCs/>
                <w:kern w:val="0"/>
                <w:sz w:val="18"/>
                <w:szCs w:val="18"/>
              </w:rPr>
              <w:t>追责形式</w:t>
            </w:r>
          </w:p>
        </w:tc>
        <w:tc>
          <w:tcPr>
            <w:tcW w:w="533" w:type="dxa"/>
            <w:vMerge w:val="continue"/>
            <w:noWrap w:val="0"/>
            <w:vAlign w:val="center"/>
          </w:tcPr>
          <w:p>
            <w:pPr>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exact"/>
        </w:trPr>
        <w:tc>
          <w:tcPr>
            <w:tcW w:w="531" w:type="dxa"/>
            <w:vMerge w:val="continue"/>
            <w:noWrap w:val="0"/>
            <w:vAlign w:val="center"/>
          </w:tcPr>
          <w:p>
            <w:pPr>
              <w:spacing w:line="540" w:lineRule="exact"/>
              <w:jc w:val="center"/>
              <w:rPr>
                <w:rFonts w:ascii="宋体" w:hAnsi="宋体" w:cs="宋体"/>
                <w:kern w:val="0"/>
                <w:sz w:val="18"/>
                <w:szCs w:val="18"/>
              </w:rPr>
            </w:pPr>
          </w:p>
        </w:tc>
        <w:tc>
          <w:tcPr>
            <w:tcW w:w="1068" w:type="dxa"/>
            <w:vMerge w:val="continue"/>
            <w:noWrap w:val="0"/>
            <w:vAlign w:val="center"/>
          </w:tcPr>
          <w:p>
            <w:pPr>
              <w:spacing w:line="540" w:lineRule="exact"/>
              <w:jc w:val="center"/>
              <w:rPr>
                <w:rFonts w:ascii="宋体" w:hAnsi="宋体" w:cs="宋体"/>
                <w:kern w:val="0"/>
                <w:sz w:val="18"/>
                <w:szCs w:val="18"/>
              </w:rPr>
            </w:pPr>
          </w:p>
        </w:tc>
        <w:tc>
          <w:tcPr>
            <w:tcW w:w="891" w:type="dxa"/>
            <w:vMerge w:val="continue"/>
            <w:noWrap w:val="0"/>
            <w:vAlign w:val="center"/>
          </w:tcPr>
          <w:p>
            <w:pPr>
              <w:spacing w:line="540" w:lineRule="exact"/>
              <w:jc w:val="center"/>
              <w:rPr>
                <w:rFonts w:ascii="宋体" w:hAnsi="宋体" w:cs="宋体"/>
                <w:kern w:val="0"/>
                <w:sz w:val="18"/>
                <w:szCs w:val="18"/>
              </w:rPr>
            </w:pPr>
          </w:p>
        </w:tc>
        <w:tc>
          <w:tcPr>
            <w:tcW w:w="715" w:type="dxa"/>
            <w:noWrap w:val="0"/>
            <w:vAlign w:val="center"/>
          </w:tcPr>
          <w:p>
            <w:pPr>
              <w:jc w:val="center"/>
              <w:rPr>
                <w:rFonts w:hint="eastAsia" w:ascii="宋体" w:hAnsi="宋体" w:cs="宋体"/>
                <w:b/>
                <w:bCs/>
                <w:kern w:val="0"/>
                <w:sz w:val="18"/>
                <w:szCs w:val="18"/>
              </w:rPr>
            </w:pPr>
            <w:r>
              <w:rPr>
                <w:rFonts w:hint="eastAsia" w:ascii="宋体" w:hAnsi="宋体" w:cs="宋体"/>
                <w:b/>
                <w:bCs/>
                <w:kern w:val="0"/>
                <w:sz w:val="18"/>
                <w:szCs w:val="18"/>
              </w:rPr>
              <w:t>项目</w:t>
            </w:r>
          </w:p>
        </w:tc>
        <w:tc>
          <w:tcPr>
            <w:tcW w:w="892" w:type="dxa"/>
            <w:noWrap w:val="0"/>
            <w:vAlign w:val="center"/>
          </w:tcPr>
          <w:p>
            <w:pPr>
              <w:jc w:val="center"/>
              <w:rPr>
                <w:rFonts w:hint="eastAsia" w:ascii="宋体" w:hAnsi="宋体" w:cs="宋体"/>
                <w:b/>
                <w:bCs/>
                <w:kern w:val="0"/>
                <w:sz w:val="18"/>
                <w:szCs w:val="18"/>
              </w:rPr>
            </w:pPr>
            <w:r>
              <w:rPr>
                <w:rFonts w:hint="eastAsia" w:ascii="宋体" w:hAnsi="宋体" w:cs="宋体"/>
                <w:b/>
                <w:bCs/>
                <w:kern w:val="0"/>
                <w:sz w:val="18"/>
                <w:szCs w:val="18"/>
              </w:rPr>
              <w:t>子项</w:t>
            </w:r>
          </w:p>
        </w:tc>
        <w:tc>
          <w:tcPr>
            <w:tcW w:w="4462" w:type="dxa"/>
            <w:vMerge w:val="continue"/>
            <w:noWrap w:val="0"/>
            <w:vAlign w:val="center"/>
          </w:tcPr>
          <w:p>
            <w:pPr>
              <w:spacing w:line="540" w:lineRule="exact"/>
              <w:jc w:val="center"/>
              <w:rPr>
                <w:rFonts w:ascii="宋体" w:hAnsi="宋体" w:cs="宋体"/>
                <w:kern w:val="0"/>
                <w:sz w:val="18"/>
                <w:szCs w:val="18"/>
              </w:rPr>
            </w:pPr>
          </w:p>
        </w:tc>
        <w:tc>
          <w:tcPr>
            <w:tcW w:w="1247" w:type="dxa"/>
            <w:vMerge w:val="continue"/>
            <w:noWrap w:val="0"/>
            <w:vAlign w:val="center"/>
          </w:tcPr>
          <w:p>
            <w:pPr>
              <w:spacing w:line="540" w:lineRule="exact"/>
              <w:jc w:val="center"/>
              <w:rPr>
                <w:rFonts w:ascii="宋体" w:hAnsi="宋体" w:cs="宋体"/>
                <w:kern w:val="0"/>
                <w:sz w:val="18"/>
                <w:szCs w:val="18"/>
              </w:rPr>
            </w:pPr>
          </w:p>
        </w:tc>
        <w:tc>
          <w:tcPr>
            <w:tcW w:w="1247" w:type="dxa"/>
            <w:vMerge w:val="continue"/>
            <w:noWrap w:val="0"/>
            <w:vAlign w:val="center"/>
          </w:tcPr>
          <w:p>
            <w:pPr>
              <w:spacing w:line="540" w:lineRule="exact"/>
              <w:jc w:val="center"/>
              <w:rPr>
                <w:rFonts w:ascii="宋体" w:hAnsi="宋体" w:cs="宋体"/>
                <w:kern w:val="0"/>
                <w:sz w:val="18"/>
                <w:szCs w:val="18"/>
              </w:rPr>
            </w:pPr>
          </w:p>
        </w:tc>
        <w:tc>
          <w:tcPr>
            <w:tcW w:w="1604" w:type="dxa"/>
            <w:vMerge w:val="continue"/>
            <w:noWrap w:val="0"/>
            <w:vAlign w:val="center"/>
          </w:tcPr>
          <w:p>
            <w:pPr>
              <w:spacing w:line="540" w:lineRule="exact"/>
              <w:jc w:val="center"/>
              <w:rPr>
                <w:rFonts w:ascii="宋体" w:hAnsi="宋体" w:cs="宋体"/>
                <w:kern w:val="0"/>
                <w:sz w:val="18"/>
                <w:szCs w:val="18"/>
              </w:rPr>
            </w:pPr>
          </w:p>
        </w:tc>
        <w:tc>
          <w:tcPr>
            <w:tcW w:w="1788" w:type="dxa"/>
            <w:vMerge w:val="continue"/>
            <w:noWrap w:val="0"/>
            <w:vAlign w:val="center"/>
          </w:tcPr>
          <w:p>
            <w:pPr>
              <w:spacing w:line="540" w:lineRule="exact"/>
              <w:jc w:val="center"/>
              <w:rPr>
                <w:rFonts w:ascii="宋体" w:hAnsi="宋体" w:cs="宋体"/>
                <w:kern w:val="0"/>
                <w:sz w:val="18"/>
                <w:szCs w:val="18"/>
              </w:rPr>
            </w:pPr>
          </w:p>
        </w:tc>
        <w:tc>
          <w:tcPr>
            <w:tcW w:w="533" w:type="dxa"/>
            <w:vMerge w:val="continue"/>
            <w:noWrap w:val="0"/>
            <w:vAlign w:val="center"/>
          </w:tcPr>
          <w:p>
            <w:pPr>
              <w:spacing w:line="540" w:lineRule="exact"/>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exact"/>
        </w:trPr>
        <w:tc>
          <w:tcPr>
            <w:tcW w:w="531" w:type="dxa"/>
            <w:vMerge w:val="restart"/>
            <w:noWrap w:val="0"/>
            <w:vAlign w:val="center"/>
          </w:tcPr>
          <w:p>
            <w:pPr>
              <w:spacing w:line="300" w:lineRule="exact"/>
              <w:jc w:val="center"/>
              <w:rPr>
                <w:rFonts w:hint="default" w:ascii="宋体" w:hAnsi="宋体" w:eastAsia="宋体" w:cs="宋体"/>
                <w:b/>
                <w:kern w:val="0"/>
                <w:sz w:val="18"/>
                <w:szCs w:val="18"/>
                <w:lang w:val="en-US" w:eastAsia="zh-CN"/>
              </w:rPr>
            </w:pPr>
            <w:r>
              <w:rPr>
                <w:rFonts w:hint="eastAsia" w:ascii="宋体" w:hAnsi="宋体" w:cs="宋体"/>
                <w:b/>
                <w:kern w:val="0"/>
                <w:sz w:val="18"/>
                <w:szCs w:val="18"/>
                <w:lang w:val="en-US" w:eastAsia="zh-CN"/>
              </w:rPr>
              <w:t>1</w:t>
            </w:r>
          </w:p>
        </w:tc>
        <w:tc>
          <w:tcPr>
            <w:tcW w:w="1068" w:type="dxa"/>
            <w:vMerge w:val="restart"/>
            <w:noWrap w:val="0"/>
            <w:vAlign w:val="center"/>
          </w:tcPr>
          <w:p>
            <w:pPr>
              <w:spacing w:line="300" w:lineRule="exact"/>
              <w:jc w:val="center"/>
              <w:rPr>
                <w:rFonts w:hint="eastAsia" w:ascii="宋体" w:hAnsi="宋体" w:cs="宋体"/>
                <w:kern w:val="0"/>
                <w:sz w:val="18"/>
                <w:szCs w:val="18"/>
              </w:rPr>
            </w:pPr>
            <w:r>
              <w:rPr>
                <w:rFonts w:hint="eastAsia" w:ascii="宋体" w:hAnsi="宋体" w:cs="宋体"/>
                <w:kern w:val="0"/>
                <w:sz w:val="18"/>
                <w:szCs w:val="18"/>
              </w:rPr>
              <w:t>行政给付</w:t>
            </w:r>
          </w:p>
        </w:tc>
        <w:tc>
          <w:tcPr>
            <w:tcW w:w="891" w:type="dxa"/>
            <w:vMerge w:val="restart"/>
            <w:noWrap w:val="0"/>
            <w:vAlign w:val="center"/>
          </w:tcPr>
          <w:p>
            <w:pPr>
              <w:jc w:val="both"/>
              <w:rPr>
                <w:rFonts w:hint="eastAsia" w:ascii="宋体" w:hAnsi="宋体" w:cs="宋体"/>
                <w:sz w:val="18"/>
                <w:szCs w:val="18"/>
              </w:rPr>
            </w:pPr>
            <w:r>
              <w:rPr>
                <w:rFonts w:hint="eastAsia" w:ascii="仿宋_GB2312" w:eastAsia="仿宋_GB2312" w:cs="Times New Roman"/>
                <w:kern w:val="2"/>
                <w:sz w:val="18"/>
                <w:szCs w:val="18"/>
                <w:lang w:val="en-US" w:eastAsia="zh-CN" w:bidi="ar-SA"/>
              </w:rPr>
              <w:t>0500-G-00100-141122</w:t>
            </w:r>
          </w:p>
        </w:tc>
        <w:tc>
          <w:tcPr>
            <w:tcW w:w="715" w:type="dxa"/>
            <w:vMerge w:val="restart"/>
            <w:noWrap w:val="0"/>
            <w:vAlign w:val="center"/>
          </w:tcPr>
          <w:p>
            <w:pPr>
              <w:jc w:val="center"/>
              <w:rPr>
                <w:rFonts w:hint="eastAsia" w:ascii="宋体" w:hAnsi="宋体" w:cs="宋体"/>
                <w:kern w:val="0"/>
                <w:sz w:val="18"/>
                <w:szCs w:val="18"/>
              </w:rPr>
            </w:pPr>
            <w:r>
              <w:rPr>
                <w:rFonts w:hint="eastAsia" w:ascii="宋体" w:hAnsi="宋体" w:cs="宋体"/>
                <w:kern w:val="0"/>
                <w:sz w:val="18"/>
                <w:szCs w:val="18"/>
              </w:rPr>
              <w:t>各学段学生资助</w:t>
            </w:r>
          </w:p>
        </w:tc>
        <w:tc>
          <w:tcPr>
            <w:tcW w:w="892" w:type="dxa"/>
            <w:noWrap w:val="0"/>
            <w:vAlign w:val="center"/>
          </w:tcPr>
          <w:p>
            <w:pPr>
              <w:spacing w:line="260" w:lineRule="exact"/>
              <w:jc w:val="center"/>
              <w:rPr>
                <w:rFonts w:hint="eastAsia" w:ascii="宋体" w:hAnsi="宋体" w:cs="宋体"/>
                <w:kern w:val="0"/>
                <w:sz w:val="18"/>
                <w:szCs w:val="18"/>
              </w:rPr>
            </w:pPr>
            <w:r>
              <w:rPr>
                <w:rFonts w:hint="eastAsia" w:ascii="宋体" w:hAnsi="宋体" w:cs="宋体"/>
                <w:kern w:val="0"/>
                <w:sz w:val="18"/>
                <w:szCs w:val="18"/>
              </w:rPr>
              <w:t>中等职业学校国家助学金给付</w:t>
            </w:r>
          </w:p>
        </w:tc>
        <w:tc>
          <w:tcPr>
            <w:tcW w:w="4462" w:type="dxa"/>
            <w:noWrap w:val="0"/>
            <w:vAlign w:val="center"/>
          </w:tcPr>
          <w:p>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第二十八条；【法规】《社会救助暂行办法》（国务院令第649号）；【规范性文件】财政部、教育部、人力资源社会保障部关于印发《中等职业学校国家助学金管理办法》的通知（财教〔2013〕110号）；财政部、国家发展改革委、教育部、人力资源社会保障部《关于扩大中等职业教育免学费政策范围进一步完善国家助学金制度的意见》（财教〔2012〕376号）；《国务院关于建立健全普通本科高校高等职业学校和中等职业学校家庭经济困难学生资助政策体系的意见》（国发〔2007〕13号）；财政部、教育部《关于完善中等职业教育贫困家庭学生资助体系的若干意见》（财教〔2006〕74号</w:t>
            </w:r>
          </w:p>
        </w:tc>
        <w:tc>
          <w:tcPr>
            <w:tcW w:w="1247" w:type="dxa"/>
            <w:vMerge w:val="restart"/>
            <w:noWrap w:val="0"/>
            <w:vAlign w:val="center"/>
          </w:tcPr>
          <w:p>
            <w:pPr>
              <w:spacing w:line="26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1.受理评审责任：公开奖助资金文件和方案；按规定受理符合资助条件人的申请；严格把关，按照规定审查；公开公正评审；公示评审结果。                   2.复核责任：严格按照文件规定的条件、指标、程序审批；及时汇总上报。                    3.资金发放责任：按照规定时间把奖资助金拨付到受助人（或监护人）银行储蓄卡或手中。                                          4.其他法律法规规章规定应履行的责任。</w:t>
            </w:r>
          </w:p>
        </w:tc>
        <w:tc>
          <w:tcPr>
            <w:tcW w:w="1247" w:type="dxa"/>
            <w:vMerge w:val="restart"/>
            <w:noWrap w:val="0"/>
            <w:vAlign w:val="center"/>
          </w:tcPr>
          <w:p>
            <w:pPr>
              <w:spacing w:line="260" w:lineRule="exact"/>
              <w:jc w:val="left"/>
              <w:rPr>
                <w:rFonts w:hint="eastAsia" w:ascii="宋体" w:hAnsi="宋体" w:cs="宋体"/>
                <w:sz w:val="18"/>
                <w:szCs w:val="18"/>
              </w:rPr>
            </w:pPr>
            <w:r>
              <w:rPr>
                <w:rFonts w:hint="eastAsia" w:ascii="宋体" w:hAnsi="宋体" w:cs="宋体"/>
                <w:sz w:val="18"/>
                <w:szCs w:val="18"/>
              </w:rPr>
              <w:t>1.未按照公开、公平、公正的原则，认真评审，造成不良后果者。               2.未严格按照文件规定的条件、指标、程序审批。           3.未按照规定时间把奖资助金拨付到受助人（或监护人）银行储蓄卡或手中。                              4.挤占挪用资金、弄虚作假套取奖助资金等行为。              5.其他违反法律法规规章规定的行为。</w:t>
            </w:r>
          </w:p>
        </w:tc>
        <w:tc>
          <w:tcPr>
            <w:tcW w:w="1604" w:type="dxa"/>
            <w:vMerge w:val="restart"/>
            <w:noWrap w:val="0"/>
            <w:vAlign w:val="center"/>
          </w:tcPr>
          <w:p>
            <w:pPr>
              <w:spacing w:line="240" w:lineRule="exact"/>
              <w:jc w:val="left"/>
              <w:rPr>
                <w:rFonts w:hint="eastAsia" w:ascii="宋体" w:hAnsi="宋体" w:cs="宋体"/>
                <w:kern w:val="0"/>
                <w:sz w:val="18"/>
                <w:szCs w:val="18"/>
              </w:rPr>
            </w:pPr>
            <w:r>
              <w:rPr>
                <w:rFonts w:hint="eastAsia" w:ascii="宋体" w:hAnsi="宋体" w:cs="宋体"/>
                <w:kern w:val="0"/>
                <w:sz w:val="18"/>
                <w:szCs w:val="18"/>
              </w:rPr>
              <w:t>【法律】《中华人民共和国公务员法》第五十三条至五十五条。                 【行政法规】《行政机关公务员处分条例（国务院第495令）；</w:t>
            </w: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kern w:val="0"/>
                <w:sz w:val="18"/>
                <w:szCs w:val="18"/>
              </w:rPr>
              <w:t xml:space="preserve">                                                 </w:t>
            </w:r>
          </w:p>
          <w:p>
            <w:pPr>
              <w:spacing w:line="240" w:lineRule="exact"/>
              <w:jc w:val="left"/>
              <w:rPr>
                <w:rFonts w:hint="eastAsia" w:ascii="宋体" w:hAnsi="宋体" w:cs="宋体"/>
                <w:kern w:val="0"/>
                <w:sz w:val="18"/>
                <w:szCs w:val="18"/>
              </w:rPr>
            </w:pPr>
            <w:r>
              <w:rPr>
                <w:rFonts w:hint="eastAsia" w:ascii="宋体" w:hAnsi="宋体" w:cs="宋体"/>
                <w:kern w:val="0"/>
                <w:sz w:val="18"/>
                <w:szCs w:val="18"/>
              </w:rPr>
              <w:t>【地方性法规】《山西省行政执法条例》第十三条、第四十至四十二条；</w:t>
            </w:r>
          </w:p>
          <w:p>
            <w:pPr>
              <w:spacing w:line="240" w:lineRule="exact"/>
              <w:jc w:val="left"/>
              <w:rPr>
                <w:rFonts w:hint="eastAsia" w:ascii="宋体" w:hAnsi="宋体" w:cs="宋体"/>
                <w:kern w:val="0"/>
                <w:sz w:val="18"/>
                <w:szCs w:val="18"/>
              </w:rPr>
            </w:pPr>
            <w:r>
              <w:rPr>
                <w:rFonts w:hint="eastAsia" w:ascii="宋体" w:hAnsi="宋体" w:cs="宋体"/>
                <w:kern w:val="0"/>
                <w:sz w:val="18"/>
                <w:szCs w:val="18"/>
              </w:rPr>
              <w:t xml:space="preserve">【党内法规】《中国共产党纪律处分条例》；  </w:t>
            </w:r>
          </w:p>
          <w:p>
            <w:pPr>
              <w:spacing w:line="240" w:lineRule="exact"/>
              <w:jc w:val="left"/>
              <w:rPr>
                <w:rFonts w:hint="eastAsia" w:ascii="宋体" w:hAnsi="宋体" w:cs="宋体"/>
                <w:sz w:val="18"/>
                <w:szCs w:val="18"/>
                <w:shd w:val="clear" w:color="auto" w:fill="FFFFFF"/>
              </w:rPr>
            </w:pPr>
            <w:r>
              <w:rPr>
                <w:rFonts w:hint="eastAsia" w:ascii="宋体" w:hAnsi="宋体" w:cs="宋体"/>
                <w:kern w:val="0"/>
                <w:sz w:val="18"/>
                <w:szCs w:val="18"/>
              </w:rPr>
              <w:t>【规范性文件】《山西省行政机关及其工作人员行政过错责任追究暂行办法 》；《吕梁市行政执法责任追究暂行办法》第八条、第二十三条、第二十四条、第二十五条。</w:t>
            </w:r>
          </w:p>
        </w:tc>
        <w:tc>
          <w:tcPr>
            <w:tcW w:w="1788" w:type="dxa"/>
            <w:vMerge w:val="restart"/>
            <w:noWrap w:val="0"/>
            <w:vAlign w:val="center"/>
          </w:tcPr>
          <w:p>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533" w:type="dxa"/>
            <w:vMerge w:val="restart"/>
            <w:noWrap w:val="0"/>
            <w:vAlign w:val="center"/>
          </w:tcPr>
          <w:p>
            <w:pPr>
              <w:jc w:val="left"/>
              <w:rPr>
                <w:rFonts w:hint="eastAsia" w:ascii="宋体" w:hAnsi="宋体" w:cs="宋体"/>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exact"/>
        </w:trPr>
        <w:tc>
          <w:tcPr>
            <w:tcW w:w="531" w:type="dxa"/>
            <w:vMerge w:val="continue"/>
            <w:noWrap w:val="0"/>
            <w:vAlign w:val="center"/>
          </w:tcPr>
          <w:p>
            <w:pPr>
              <w:spacing w:line="540" w:lineRule="exact"/>
              <w:jc w:val="center"/>
              <w:rPr>
                <w:rFonts w:hint="eastAsia" w:ascii="宋体" w:hAnsi="宋体" w:cs="宋体"/>
                <w:kern w:val="0"/>
                <w:sz w:val="18"/>
                <w:szCs w:val="18"/>
              </w:rPr>
            </w:pPr>
          </w:p>
        </w:tc>
        <w:tc>
          <w:tcPr>
            <w:tcW w:w="1068" w:type="dxa"/>
            <w:vMerge w:val="continue"/>
            <w:noWrap w:val="0"/>
            <w:vAlign w:val="center"/>
          </w:tcPr>
          <w:p>
            <w:pPr>
              <w:spacing w:line="540" w:lineRule="exact"/>
              <w:jc w:val="center"/>
              <w:rPr>
                <w:rFonts w:hint="eastAsia" w:ascii="宋体" w:hAnsi="宋体" w:cs="宋体"/>
                <w:kern w:val="0"/>
                <w:sz w:val="18"/>
                <w:szCs w:val="18"/>
              </w:rPr>
            </w:pPr>
          </w:p>
        </w:tc>
        <w:tc>
          <w:tcPr>
            <w:tcW w:w="891" w:type="dxa"/>
            <w:vMerge w:val="continue"/>
            <w:noWrap w:val="0"/>
            <w:vAlign w:val="center"/>
          </w:tcPr>
          <w:p>
            <w:pPr>
              <w:jc w:val="center"/>
              <w:rPr>
                <w:rFonts w:hint="eastAsia" w:ascii="宋体" w:hAnsi="宋体"/>
                <w:sz w:val="18"/>
                <w:szCs w:val="18"/>
              </w:rPr>
            </w:pPr>
          </w:p>
        </w:tc>
        <w:tc>
          <w:tcPr>
            <w:tcW w:w="715" w:type="dxa"/>
            <w:vMerge w:val="continue"/>
            <w:noWrap w:val="0"/>
            <w:vAlign w:val="center"/>
          </w:tcPr>
          <w:p>
            <w:pPr>
              <w:jc w:val="center"/>
              <w:rPr>
                <w:rFonts w:hint="eastAsia" w:ascii="宋体" w:hAnsi="宋体" w:cs="宋体"/>
                <w:kern w:val="0"/>
                <w:sz w:val="18"/>
                <w:szCs w:val="18"/>
              </w:rPr>
            </w:pPr>
          </w:p>
        </w:tc>
        <w:tc>
          <w:tcPr>
            <w:tcW w:w="892" w:type="dxa"/>
            <w:noWrap w:val="0"/>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高中阶段国家助学金给付</w:t>
            </w:r>
          </w:p>
        </w:tc>
        <w:tc>
          <w:tcPr>
            <w:tcW w:w="4462" w:type="dxa"/>
            <w:noWrap w:val="0"/>
            <w:vAlign w:val="center"/>
          </w:tcPr>
          <w:p>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 第二十八条；【法规】《社会救助暂行办法》（国务院令第649号）；【规范性文件】《财政部 教育部关于印发普通高中国家助学金管理暂行办法的通知》（财教〔2010〕461号）；《财政部 教育部关于建立普通高中家庭经济困难学生国家资助制度的意见》（财教〔2010〕356号）</w:t>
            </w:r>
          </w:p>
        </w:tc>
        <w:tc>
          <w:tcPr>
            <w:tcW w:w="1247" w:type="dxa"/>
            <w:vMerge w:val="continue"/>
            <w:noWrap w:val="0"/>
            <w:vAlign w:val="center"/>
          </w:tcPr>
          <w:p>
            <w:pPr>
              <w:jc w:val="left"/>
              <w:rPr>
                <w:rFonts w:hint="eastAsia" w:ascii="宋体" w:hAnsi="宋体" w:cs="宋体"/>
                <w:sz w:val="18"/>
                <w:szCs w:val="18"/>
                <w:shd w:val="clear" w:color="auto" w:fill="FFFFFF"/>
              </w:rPr>
            </w:pPr>
          </w:p>
        </w:tc>
        <w:tc>
          <w:tcPr>
            <w:tcW w:w="1247" w:type="dxa"/>
            <w:vMerge w:val="continue"/>
            <w:noWrap w:val="0"/>
            <w:vAlign w:val="center"/>
          </w:tcPr>
          <w:p>
            <w:pPr>
              <w:jc w:val="left"/>
              <w:rPr>
                <w:rFonts w:hint="eastAsia" w:ascii="宋体" w:hAnsi="宋体" w:cs="宋体"/>
                <w:sz w:val="18"/>
                <w:szCs w:val="18"/>
              </w:rPr>
            </w:pPr>
          </w:p>
        </w:tc>
        <w:tc>
          <w:tcPr>
            <w:tcW w:w="1604" w:type="dxa"/>
            <w:vMerge w:val="continue"/>
            <w:noWrap w:val="0"/>
            <w:vAlign w:val="center"/>
          </w:tcPr>
          <w:p>
            <w:pPr>
              <w:jc w:val="left"/>
              <w:rPr>
                <w:rFonts w:hint="eastAsia" w:ascii="宋体" w:hAnsi="宋体" w:cs="宋体"/>
                <w:sz w:val="18"/>
                <w:szCs w:val="18"/>
                <w:shd w:val="clear" w:color="auto" w:fill="FFFFFF"/>
              </w:rPr>
            </w:pPr>
          </w:p>
        </w:tc>
        <w:tc>
          <w:tcPr>
            <w:tcW w:w="1788" w:type="dxa"/>
            <w:vMerge w:val="continue"/>
            <w:noWrap w:val="0"/>
            <w:vAlign w:val="center"/>
          </w:tcPr>
          <w:p>
            <w:pPr>
              <w:jc w:val="left"/>
              <w:rPr>
                <w:rFonts w:hint="eastAsia" w:ascii="宋体" w:hAnsi="宋体" w:cs="宋体"/>
                <w:sz w:val="18"/>
                <w:szCs w:val="18"/>
                <w:shd w:val="clear" w:color="auto" w:fill="FFFFFF"/>
              </w:rPr>
            </w:pPr>
          </w:p>
        </w:tc>
        <w:tc>
          <w:tcPr>
            <w:tcW w:w="533" w:type="dxa"/>
            <w:vMerge w:val="continue"/>
            <w:noWrap w:val="0"/>
            <w:vAlign w:val="center"/>
          </w:tcPr>
          <w:p>
            <w:pPr>
              <w:jc w:val="left"/>
              <w:rPr>
                <w:rFonts w:hint="eastAsia" w:ascii="宋体" w:hAnsi="宋体" w:cs="宋体"/>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exact"/>
        </w:trPr>
        <w:tc>
          <w:tcPr>
            <w:tcW w:w="531" w:type="dxa"/>
            <w:vMerge w:val="continue"/>
            <w:noWrap w:val="0"/>
            <w:vAlign w:val="center"/>
          </w:tcPr>
          <w:p>
            <w:pPr>
              <w:spacing w:line="540" w:lineRule="exact"/>
              <w:jc w:val="center"/>
              <w:rPr>
                <w:rFonts w:hint="eastAsia" w:ascii="宋体" w:hAnsi="宋体" w:cs="宋体"/>
                <w:kern w:val="0"/>
                <w:sz w:val="18"/>
                <w:szCs w:val="18"/>
              </w:rPr>
            </w:pPr>
          </w:p>
        </w:tc>
        <w:tc>
          <w:tcPr>
            <w:tcW w:w="1068" w:type="dxa"/>
            <w:vMerge w:val="continue"/>
            <w:noWrap w:val="0"/>
            <w:vAlign w:val="center"/>
          </w:tcPr>
          <w:p>
            <w:pPr>
              <w:spacing w:line="540" w:lineRule="exact"/>
              <w:jc w:val="center"/>
              <w:rPr>
                <w:rFonts w:hint="eastAsia" w:ascii="宋体" w:hAnsi="宋体" w:cs="宋体"/>
                <w:kern w:val="0"/>
                <w:sz w:val="18"/>
                <w:szCs w:val="18"/>
              </w:rPr>
            </w:pPr>
          </w:p>
        </w:tc>
        <w:tc>
          <w:tcPr>
            <w:tcW w:w="891" w:type="dxa"/>
            <w:vMerge w:val="continue"/>
            <w:noWrap w:val="0"/>
            <w:vAlign w:val="center"/>
          </w:tcPr>
          <w:p>
            <w:pPr>
              <w:jc w:val="center"/>
              <w:rPr>
                <w:rFonts w:hint="eastAsia" w:ascii="宋体" w:hAnsi="宋体"/>
                <w:sz w:val="18"/>
                <w:szCs w:val="18"/>
              </w:rPr>
            </w:pPr>
          </w:p>
        </w:tc>
        <w:tc>
          <w:tcPr>
            <w:tcW w:w="715" w:type="dxa"/>
            <w:vMerge w:val="continue"/>
            <w:noWrap w:val="0"/>
            <w:vAlign w:val="center"/>
          </w:tcPr>
          <w:p>
            <w:pPr>
              <w:jc w:val="center"/>
              <w:rPr>
                <w:rFonts w:hint="eastAsia" w:ascii="宋体" w:hAnsi="宋体" w:cs="宋体"/>
                <w:kern w:val="0"/>
                <w:sz w:val="18"/>
                <w:szCs w:val="18"/>
              </w:rPr>
            </w:pPr>
          </w:p>
        </w:tc>
        <w:tc>
          <w:tcPr>
            <w:tcW w:w="892" w:type="dxa"/>
            <w:noWrap w:val="0"/>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农村义务教育阶段寄宿生生活费补助金给付</w:t>
            </w:r>
          </w:p>
        </w:tc>
        <w:tc>
          <w:tcPr>
            <w:tcW w:w="4462" w:type="dxa"/>
            <w:noWrap w:val="0"/>
            <w:vAlign w:val="center"/>
          </w:tcPr>
          <w:p>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第二十八条；【法规】《社会救助暂行办法》（国务院令第649号）；【规范性文件】《国务院办公厅转发财政部关于加快国家扶贫开发工作重点县“两免一补”实施步伐有关工作意见的通知》（国办发〔2005〕7号）；《国务院关于进一步加强农村教育工作的决定》（国发〔2003〕19号）</w:t>
            </w:r>
          </w:p>
        </w:tc>
        <w:tc>
          <w:tcPr>
            <w:tcW w:w="1247" w:type="dxa"/>
            <w:vMerge w:val="continue"/>
            <w:noWrap w:val="0"/>
            <w:vAlign w:val="center"/>
          </w:tcPr>
          <w:p>
            <w:pPr>
              <w:jc w:val="left"/>
              <w:rPr>
                <w:rFonts w:hint="eastAsia" w:ascii="宋体" w:hAnsi="宋体" w:cs="宋体"/>
                <w:sz w:val="18"/>
                <w:szCs w:val="18"/>
                <w:shd w:val="clear" w:color="auto" w:fill="FFFFFF"/>
              </w:rPr>
            </w:pPr>
          </w:p>
        </w:tc>
        <w:tc>
          <w:tcPr>
            <w:tcW w:w="1247" w:type="dxa"/>
            <w:vMerge w:val="continue"/>
            <w:noWrap w:val="0"/>
            <w:vAlign w:val="center"/>
          </w:tcPr>
          <w:p>
            <w:pPr>
              <w:jc w:val="left"/>
              <w:rPr>
                <w:rFonts w:hint="eastAsia" w:ascii="宋体" w:hAnsi="宋体" w:cs="宋体"/>
                <w:sz w:val="18"/>
                <w:szCs w:val="18"/>
              </w:rPr>
            </w:pPr>
          </w:p>
        </w:tc>
        <w:tc>
          <w:tcPr>
            <w:tcW w:w="1604" w:type="dxa"/>
            <w:vMerge w:val="continue"/>
            <w:noWrap w:val="0"/>
            <w:vAlign w:val="center"/>
          </w:tcPr>
          <w:p>
            <w:pPr>
              <w:jc w:val="left"/>
              <w:rPr>
                <w:rFonts w:hint="eastAsia" w:ascii="宋体" w:hAnsi="宋体" w:cs="宋体"/>
                <w:sz w:val="18"/>
                <w:szCs w:val="18"/>
                <w:shd w:val="clear" w:color="auto" w:fill="FFFFFF"/>
              </w:rPr>
            </w:pPr>
          </w:p>
        </w:tc>
        <w:tc>
          <w:tcPr>
            <w:tcW w:w="1788" w:type="dxa"/>
            <w:vMerge w:val="continue"/>
            <w:noWrap w:val="0"/>
            <w:vAlign w:val="center"/>
          </w:tcPr>
          <w:p>
            <w:pPr>
              <w:jc w:val="left"/>
              <w:rPr>
                <w:rFonts w:hint="eastAsia" w:ascii="宋体" w:hAnsi="宋体" w:cs="宋体"/>
                <w:sz w:val="18"/>
                <w:szCs w:val="18"/>
                <w:shd w:val="clear" w:color="auto" w:fill="FFFFFF"/>
              </w:rPr>
            </w:pPr>
          </w:p>
        </w:tc>
        <w:tc>
          <w:tcPr>
            <w:tcW w:w="533" w:type="dxa"/>
            <w:vMerge w:val="continue"/>
            <w:noWrap w:val="0"/>
            <w:vAlign w:val="center"/>
          </w:tcPr>
          <w:p>
            <w:pPr>
              <w:jc w:val="left"/>
              <w:rPr>
                <w:rFonts w:hint="eastAsia" w:ascii="宋体" w:hAnsi="宋体" w:cs="宋体"/>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531" w:type="dxa"/>
            <w:vMerge w:val="continue"/>
            <w:noWrap w:val="0"/>
            <w:vAlign w:val="center"/>
          </w:tcPr>
          <w:p>
            <w:pPr>
              <w:spacing w:line="540" w:lineRule="exact"/>
              <w:jc w:val="center"/>
              <w:rPr>
                <w:rFonts w:hint="eastAsia" w:ascii="宋体" w:hAnsi="宋体" w:cs="宋体"/>
                <w:kern w:val="0"/>
                <w:sz w:val="18"/>
                <w:szCs w:val="18"/>
              </w:rPr>
            </w:pPr>
          </w:p>
        </w:tc>
        <w:tc>
          <w:tcPr>
            <w:tcW w:w="1068" w:type="dxa"/>
            <w:vMerge w:val="continue"/>
            <w:noWrap w:val="0"/>
            <w:vAlign w:val="center"/>
          </w:tcPr>
          <w:p>
            <w:pPr>
              <w:spacing w:line="540" w:lineRule="exact"/>
              <w:jc w:val="center"/>
              <w:rPr>
                <w:rFonts w:hint="eastAsia" w:ascii="宋体" w:hAnsi="宋体" w:cs="宋体"/>
                <w:kern w:val="0"/>
                <w:sz w:val="18"/>
                <w:szCs w:val="18"/>
              </w:rPr>
            </w:pPr>
          </w:p>
        </w:tc>
        <w:tc>
          <w:tcPr>
            <w:tcW w:w="891" w:type="dxa"/>
            <w:vMerge w:val="continue"/>
            <w:noWrap w:val="0"/>
            <w:vAlign w:val="center"/>
          </w:tcPr>
          <w:p>
            <w:pPr>
              <w:jc w:val="center"/>
              <w:rPr>
                <w:rFonts w:hint="eastAsia" w:ascii="宋体" w:hAnsi="宋体"/>
                <w:sz w:val="18"/>
                <w:szCs w:val="18"/>
              </w:rPr>
            </w:pPr>
          </w:p>
        </w:tc>
        <w:tc>
          <w:tcPr>
            <w:tcW w:w="715" w:type="dxa"/>
            <w:vMerge w:val="continue"/>
            <w:noWrap w:val="0"/>
            <w:vAlign w:val="center"/>
          </w:tcPr>
          <w:p>
            <w:pPr>
              <w:jc w:val="center"/>
              <w:rPr>
                <w:rFonts w:hint="eastAsia" w:ascii="宋体" w:hAnsi="宋体" w:cs="宋体"/>
                <w:kern w:val="0"/>
                <w:sz w:val="18"/>
                <w:szCs w:val="18"/>
              </w:rPr>
            </w:pPr>
          </w:p>
        </w:tc>
        <w:tc>
          <w:tcPr>
            <w:tcW w:w="892" w:type="dxa"/>
            <w:noWrap w:val="0"/>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学前教育幼儿资助金给付</w:t>
            </w:r>
          </w:p>
        </w:tc>
        <w:tc>
          <w:tcPr>
            <w:tcW w:w="4462" w:type="dxa"/>
            <w:noWrap w:val="0"/>
            <w:vAlign w:val="center"/>
          </w:tcPr>
          <w:p>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 第二十八条；【规范性文件】《财政部、教育部关于建立学前教育资助制度的意见》（财教〔2011〕410号）；《国务院关于当前发展学前教育的若干意见》（国发〔2010〕41号）</w:t>
            </w:r>
          </w:p>
        </w:tc>
        <w:tc>
          <w:tcPr>
            <w:tcW w:w="1247" w:type="dxa"/>
            <w:vMerge w:val="continue"/>
            <w:noWrap w:val="0"/>
            <w:vAlign w:val="center"/>
          </w:tcPr>
          <w:p>
            <w:pPr>
              <w:jc w:val="left"/>
              <w:rPr>
                <w:rFonts w:hint="eastAsia" w:ascii="宋体" w:hAnsi="宋体" w:cs="宋体"/>
                <w:sz w:val="18"/>
                <w:szCs w:val="18"/>
                <w:shd w:val="clear" w:color="auto" w:fill="FFFFFF"/>
              </w:rPr>
            </w:pPr>
          </w:p>
        </w:tc>
        <w:tc>
          <w:tcPr>
            <w:tcW w:w="1247" w:type="dxa"/>
            <w:vMerge w:val="continue"/>
            <w:noWrap w:val="0"/>
            <w:vAlign w:val="center"/>
          </w:tcPr>
          <w:p>
            <w:pPr>
              <w:jc w:val="left"/>
              <w:rPr>
                <w:rFonts w:hint="eastAsia" w:ascii="宋体" w:hAnsi="宋体" w:cs="宋体"/>
                <w:sz w:val="18"/>
                <w:szCs w:val="18"/>
              </w:rPr>
            </w:pPr>
          </w:p>
        </w:tc>
        <w:tc>
          <w:tcPr>
            <w:tcW w:w="1604" w:type="dxa"/>
            <w:vMerge w:val="continue"/>
            <w:noWrap w:val="0"/>
            <w:vAlign w:val="center"/>
          </w:tcPr>
          <w:p>
            <w:pPr>
              <w:jc w:val="left"/>
              <w:rPr>
                <w:rFonts w:hint="eastAsia" w:ascii="宋体" w:hAnsi="宋体" w:cs="宋体"/>
                <w:sz w:val="18"/>
                <w:szCs w:val="18"/>
                <w:shd w:val="clear" w:color="auto" w:fill="FFFFFF"/>
              </w:rPr>
            </w:pPr>
          </w:p>
        </w:tc>
        <w:tc>
          <w:tcPr>
            <w:tcW w:w="1788" w:type="dxa"/>
            <w:vMerge w:val="continue"/>
            <w:noWrap w:val="0"/>
            <w:vAlign w:val="center"/>
          </w:tcPr>
          <w:p>
            <w:pPr>
              <w:jc w:val="left"/>
              <w:rPr>
                <w:rFonts w:hint="eastAsia" w:ascii="宋体" w:hAnsi="宋体" w:cs="宋体"/>
                <w:sz w:val="18"/>
                <w:szCs w:val="18"/>
                <w:shd w:val="clear" w:color="auto" w:fill="FFFFFF"/>
              </w:rPr>
            </w:pPr>
          </w:p>
        </w:tc>
        <w:tc>
          <w:tcPr>
            <w:tcW w:w="533" w:type="dxa"/>
            <w:vMerge w:val="continue"/>
            <w:noWrap w:val="0"/>
            <w:vAlign w:val="center"/>
          </w:tcPr>
          <w:p>
            <w:pPr>
              <w:jc w:val="left"/>
              <w:rPr>
                <w:rFonts w:hint="eastAsia" w:ascii="宋体" w:hAnsi="宋体" w:cs="宋体"/>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trPr>
        <w:tc>
          <w:tcPr>
            <w:tcW w:w="531" w:type="dxa"/>
            <w:vMerge w:val="continue"/>
            <w:noWrap w:val="0"/>
            <w:vAlign w:val="center"/>
          </w:tcPr>
          <w:p>
            <w:pPr>
              <w:spacing w:line="540" w:lineRule="exact"/>
              <w:jc w:val="center"/>
              <w:rPr>
                <w:rFonts w:hint="eastAsia" w:ascii="宋体" w:hAnsi="宋体" w:cs="宋体"/>
                <w:kern w:val="0"/>
                <w:sz w:val="18"/>
                <w:szCs w:val="18"/>
              </w:rPr>
            </w:pPr>
          </w:p>
        </w:tc>
        <w:tc>
          <w:tcPr>
            <w:tcW w:w="1068" w:type="dxa"/>
            <w:vMerge w:val="continue"/>
            <w:noWrap w:val="0"/>
            <w:vAlign w:val="center"/>
          </w:tcPr>
          <w:p>
            <w:pPr>
              <w:spacing w:line="540" w:lineRule="exact"/>
              <w:jc w:val="center"/>
              <w:rPr>
                <w:rFonts w:hint="eastAsia" w:ascii="宋体" w:hAnsi="宋体" w:cs="宋体"/>
                <w:kern w:val="0"/>
                <w:sz w:val="18"/>
                <w:szCs w:val="18"/>
              </w:rPr>
            </w:pPr>
          </w:p>
        </w:tc>
        <w:tc>
          <w:tcPr>
            <w:tcW w:w="891" w:type="dxa"/>
            <w:vMerge w:val="continue"/>
            <w:noWrap w:val="0"/>
            <w:vAlign w:val="center"/>
          </w:tcPr>
          <w:p>
            <w:pPr>
              <w:jc w:val="center"/>
              <w:rPr>
                <w:rFonts w:hint="eastAsia" w:ascii="宋体" w:hAnsi="宋体"/>
                <w:sz w:val="18"/>
                <w:szCs w:val="18"/>
              </w:rPr>
            </w:pPr>
          </w:p>
        </w:tc>
        <w:tc>
          <w:tcPr>
            <w:tcW w:w="715" w:type="dxa"/>
            <w:vMerge w:val="continue"/>
            <w:noWrap w:val="0"/>
            <w:vAlign w:val="center"/>
          </w:tcPr>
          <w:p>
            <w:pPr>
              <w:jc w:val="center"/>
              <w:rPr>
                <w:rFonts w:hint="eastAsia" w:ascii="宋体" w:hAnsi="宋体" w:cs="宋体"/>
                <w:kern w:val="0"/>
                <w:sz w:val="18"/>
                <w:szCs w:val="18"/>
              </w:rPr>
            </w:pPr>
          </w:p>
        </w:tc>
        <w:tc>
          <w:tcPr>
            <w:tcW w:w="892" w:type="dxa"/>
            <w:noWrap w:val="0"/>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其他资助给付</w:t>
            </w:r>
          </w:p>
        </w:tc>
        <w:tc>
          <w:tcPr>
            <w:tcW w:w="4462" w:type="dxa"/>
            <w:noWrap w:val="0"/>
            <w:vAlign w:val="center"/>
          </w:tcPr>
          <w:p>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》第二十八条；【法规】《社会救助暂行办法》（国务院令第649号）</w:t>
            </w:r>
          </w:p>
        </w:tc>
        <w:tc>
          <w:tcPr>
            <w:tcW w:w="1247" w:type="dxa"/>
            <w:vMerge w:val="continue"/>
            <w:noWrap w:val="0"/>
            <w:vAlign w:val="center"/>
          </w:tcPr>
          <w:p>
            <w:pPr>
              <w:jc w:val="left"/>
              <w:rPr>
                <w:rFonts w:hint="eastAsia" w:ascii="宋体" w:hAnsi="宋体" w:cs="宋体"/>
                <w:sz w:val="18"/>
                <w:szCs w:val="18"/>
                <w:shd w:val="clear" w:color="auto" w:fill="FFFFFF"/>
              </w:rPr>
            </w:pPr>
          </w:p>
        </w:tc>
        <w:tc>
          <w:tcPr>
            <w:tcW w:w="1247" w:type="dxa"/>
            <w:vMerge w:val="continue"/>
            <w:noWrap w:val="0"/>
            <w:vAlign w:val="center"/>
          </w:tcPr>
          <w:p>
            <w:pPr>
              <w:jc w:val="left"/>
              <w:rPr>
                <w:rFonts w:hint="eastAsia" w:ascii="宋体" w:hAnsi="宋体" w:cs="宋体"/>
                <w:sz w:val="18"/>
                <w:szCs w:val="18"/>
              </w:rPr>
            </w:pPr>
          </w:p>
        </w:tc>
        <w:tc>
          <w:tcPr>
            <w:tcW w:w="1604" w:type="dxa"/>
            <w:vMerge w:val="continue"/>
            <w:noWrap w:val="0"/>
            <w:vAlign w:val="center"/>
          </w:tcPr>
          <w:p>
            <w:pPr>
              <w:jc w:val="left"/>
              <w:rPr>
                <w:rFonts w:hint="eastAsia" w:ascii="宋体" w:hAnsi="宋体" w:cs="宋体"/>
                <w:sz w:val="18"/>
                <w:szCs w:val="18"/>
                <w:shd w:val="clear" w:color="auto" w:fill="FFFFFF"/>
              </w:rPr>
            </w:pPr>
          </w:p>
        </w:tc>
        <w:tc>
          <w:tcPr>
            <w:tcW w:w="1788" w:type="dxa"/>
            <w:vMerge w:val="continue"/>
            <w:noWrap w:val="0"/>
            <w:vAlign w:val="center"/>
          </w:tcPr>
          <w:p>
            <w:pPr>
              <w:jc w:val="left"/>
              <w:rPr>
                <w:rFonts w:hint="eastAsia" w:ascii="宋体" w:hAnsi="宋体" w:cs="宋体"/>
                <w:sz w:val="18"/>
                <w:szCs w:val="18"/>
                <w:shd w:val="clear" w:color="auto" w:fill="FFFFFF"/>
              </w:rPr>
            </w:pPr>
          </w:p>
        </w:tc>
        <w:tc>
          <w:tcPr>
            <w:tcW w:w="533" w:type="dxa"/>
            <w:vMerge w:val="continue"/>
            <w:noWrap w:val="0"/>
            <w:vAlign w:val="center"/>
          </w:tcPr>
          <w:p>
            <w:pPr>
              <w:jc w:val="left"/>
              <w:rPr>
                <w:rFonts w:hint="eastAsia" w:ascii="宋体" w:hAnsi="宋体" w:cs="宋体"/>
                <w:sz w:val="18"/>
                <w:szCs w:val="18"/>
                <w:shd w:val="clear" w:color="auto" w:fill="FFFFFF"/>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22</w:t>
            </w: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0500-H-00100-141122</w:t>
            </w:r>
          </w:p>
        </w:tc>
        <w:tc>
          <w:tcPr>
            <w:tcW w:w="1432"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对教育发展做出突出贡献的集体和个人的奖励</w:t>
            </w:r>
          </w:p>
        </w:tc>
        <w:tc>
          <w:tcPr>
            <w:tcW w:w="1650" w:type="dxa"/>
            <w:noWrap w:val="0"/>
            <w:vAlign w:val="center"/>
          </w:tcPr>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pPr>
              <w:jc w:val="center"/>
              <w:rPr>
                <w:rFonts w:hint="eastAsia" w:ascii="仿宋" w:hAnsi="仿宋" w:eastAsia="仿宋" w:cs="仿宋"/>
                <w:b/>
                <w:bCs/>
                <w:sz w:val="22"/>
                <w:szCs w:val="22"/>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pPr>
              <w:jc w:val="center"/>
              <w:rPr>
                <w:rFonts w:hint="eastAsia" w:ascii="仿宋" w:hAnsi="仿宋" w:eastAsia="仿宋" w:cs="仿宋"/>
                <w:b/>
                <w:bCs/>
                <w:sz w:val="22"/>
                <w:szCs w:val="22"/>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center"/>
              <w:rPr>
                <w:rFonts w:hint="eastAsia" w:ascii="仿宋" w:hAnsi="仿宋" w:eastAsia="仿宋" w:cs="仿宋"/>
                <w:b/>
                <w:bCs/>
                <w:sz w:val="22"/>
                <w:szCs w:val="22"/>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2</w:t>
            </w: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0500-H-00200-141122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对班主任及其他德育工作先进集体和先进个人等表彰</w:t>
            </w:r>
          </w:p>
        </w:tc>
        <w:tc>
          <w:tcPr>
            <w:tcW w:w="1650" w:type="dxa"/>
            <w:noWrap w:val="0"/>
            <w:vAlign w:val="center"/>
          </w:tcPr>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pPr>
              <w:jc w:val="center"/>
              <w:rPr>
                <w:rFonts w:hint="eastAsia" w:ascii="仿宋" w:hAnsi="仿宋" w:eastAsia="仿宋" w:cs="仿宋"/>
                <w:b/>
                <w:bCs/>
                <w:kern w:val="2"/>
                <w:sz w:val="22"/>
                <w:szCs w:val="22"/>
                <w:lang w:val="en-US" w:eastAsia="zh-CN" w:bidi="ar-SA"/>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0500-H-00300-141122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对各类优秀学生的奖励</w:t>
            </w:r>
          </w:p>
        </w:tc>
        <w:tc>
          <w:tcPr>
            <w:tcW w:w="1650" w:type="dxa"/>
            <w:noWrap w:val="0"/>
            <w:vAlign w:val="center"/>
          </w:tcPr>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auto"/>
                <w:spacing w:val="0"/>
                <w:sz w:val="18"/>
                <w:szCs w:val="18"/>
                <w:shd w:val="clear" w:fill="FFFFFF"/>
              </w:rPr>
              <w:t>《关于进一步加强和改进未成年人思想道德建设的若干意见》(中发〔2004〕8号，2004年2月26日)要运用各种方式向广大未成年人宣传介绍古今中外的杰出人物、道德楷模和先进典型，激励他们崇尚先进、学习先进。通过评选三好学生、优秀团员和少先队员活动，为未成年人树立可亲、可信、可敬、可学的榜样，让他们从感人事迹中受到鼓舞、汲取力量</w:t>
            </w:r>
            <w:r>
              <w:rPr>
                <w:rFonts w:ascii="微软雅黑" w:hAnsi="微软雅黑" w:eastAsia="微软雅黑" w:cs="微软雅黑"/>
                <w:i w:val="0"/>
                <w:iCs w:val="0"/>
                <w:caps w:val="0"/>
                <w:color w:val="70AD47"/>
                <w:spacing w:val="0"/>
                <w:sz w:val="24"/>
                <w:szCs w:val="24"/>
                <w:shd w:val="clear" w:fill="FFFFFF"/>
              </w:rPr>
              <w:t>。</w:t>
            </w:r>
          </w:p>
        </w:tc>
        <w:tc>
          <w:tcPr>
            <w:tcW w:w="2124" w:type="dxa"/>
            <w:noWrap w:val="0"/>
            <w:vAlign w:val="center"/>
          </w:tcPr>
          <w:p>
            <w:pPr>
              <w:widowControl/>
              <w:numPr>
                <w:ilvl w:val="0"/>
                <w:numId w:val="0"/>
              </w:numPr>
              <w:spacing w:line="300" w:lineRule="exact"/>
              <w:jc w:val="left"/>
              <w:textAlignment w:val="center"/>
              <w:rPr>
                <w:rFonts w:hint="eastAsia" w:ascii="宋体" w:hAnsi="宋体" w:eastAsia="宋体" w:cs="宋体"/>
                <w:i w:val="0"/>
                <w:iCs w:val="0"/>
                <w:caps w:val="0"/>
                <w:color w:val="auto"/>
                <w:spacing w:val="0"/>
                <w:sz w:val="18"/>
                <w:szCs w:val="18"/>
                <w:shd w:val="clear" w:fill="FFFFFF"/>
              </w:rPr>
            </w:pPr>
            <w:r>
              <w:rPr>
                <w:rFonts w:hint="eastAsia" w:ascii="宋体" w:hAnsi="宋体" w:cs="宋体"/>
                <w:i w:val="0"/>
                <w:iCs w:val="0"/>
                <w:caps w:val="0"/>
                <w:color w:val="auto"/>
                <w:spacing w:val="0"/>
                <w:sz w:val="18"/>
                <w:szCs w:val="18"/>
                <w:shd w:val="clear" w:fill="FFFFFF"/>
                <w:lang w:val="en-US" w:eastAsia="zh-CN"/>
              </w:rPr>
              <w:t>1</w:t>
            </w:r>
            <w:r>
              <w:rPr>
                <w:rFonts w:hint="eastAsia" w:ascii="宋体" w:hAnsi="宋体" w:eastAsia="宋体" w:cs="宋体"/>
                <w:i w:val="0"/>
                <w:iCs w:val="0"/>
                <w:caps w:val="0"/>
                <w:color w:val="auto"/>
                <w:spacing w:val="0"/>
                <w:sz w:val="18"/>
                <w:szCs w:val="18"/>
                <w:shd w:val="clear" w:fill="FFFFFF"/>
              </w:rPr>
              <w:t>公告（含通知）责任：告知评比的对象、方式、        </w:t>
            </w:r>
          </w:p>
          <w:p>
            <w:pPr>
              <w:widowControl/>
              <w:numPr>
                <w:ilvl w:val="0"/>
                <w:numId w:val="0"/>
              </w:numPr>
              <w:spacing w:line="300" w:lineRule="exact"/>
              <w:jc w:val="left"/>
              <w:textAlignment w:val="cente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t> 2.申报责任：收集整理相关个人材料，按规定名额及时呈报。 3.评审或核定责任：审查材料的真伪及作用，提出评审意见；</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4.决定责任：经集体审议，作出给予奖励的决定；</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5.发放责任：制定相关法律文书或文件，规定时间发放或送达当事人，公布办理结果，定期向社会公开。</w:t>
            </w:r>
          </w:p>
          <w:p>
            <w:pPr>
              <w:widowControl/>
              <w:numPr>
                <w:ilvl w:val="0"/>
                <w:numId w:val="0"/>
              </w:numPr>
              <w:spacing w:line="300" w:lineRule="exact"/>
              <w:jc w:val="left"/>
              <w:textAlignment w:val="center"/>
              <w:rPr>
                <w:rFonts w:hint="eastAsia" w:ascii="宋体" w:hAnsi="宋体" w:eastAsia="宋体" w:cs="宋体"/>
                <w:color w:val="auto"/>
                <w:kern w:val="2"/>
                <w:sz w:val="18"/>
                <w:szCs w:val="18"/>
                <w:shd w:val="clear" w:color="auto" w:fill="FFFFFF"/>
                <w:lang w:val="en-US" w:eastAsia="zh-CN" w:bidi="ar-SA"/>
              </w:rPr>
            </w:pPr>
            <w:r>
              <w:rPr>
                <w:rFonts w:hint="eastAsia" w:ascii="宋体" w:hAnsi="宋体" w:eastAsia="宋体" w:cs="宋体"/>
                <w:i w:val="0"/>
                <w:iCs w:val="0"/>
                <w:caps w:val="0"/>
                <w:color w:val="auto"/>
                <w:spacing w:val="0"/>
                <w:sz w:val="18"/>
                <w:szCs w:val="18"/>
                <w:shd w:val="clear" w:fill="FFFFFF"/>
              </w:rPr>
              <w:t> 6.法律法规规章规定的其他责任。</w:t>
            </w:r>
          </w:p>
        </w:tc>
        <w:tc>
          <w:tcPr>
            <w:tcW w:w="2359" w:type="dxa"/>
            <w:noWrap w:val="0"/>
            <w:vAlign w:val="center"/>
          </w:tcPr>
          <w:p>
            <w:pPr>
              <w:jc w:val="both"/>
              <w:rPr>
                <w:rFonts w:hint="eastAsia" w:ascii="宋体" w:hAnsi="宋体" w:eastAsia="宋体" w:cs="宋体"/>
                <w:b/>
                <w:bCs/>
                <w:color w:val="auto"/>
                <w:kern w:val="2"/>
                <w:sz w:val="18"/>
                <w:szCs w:val="18"/>
                <w:lang w:val="en-US" w:eastAsia="zh-CN" w:bidi="ar-SA"/>
              </w:rPr>
            </w:pPr>
            <w:r>
              <w:rPr>
                <w:rFonts w:hint="eastAsia" w:ascii="宋体" w:hAnsi="宋体" w:eastAsia="宋体" w:cs="宋体"/>
                <w:i w:val="0"/>
                <w:iCs w:val="0"/>
                <w:caps w:val="0"/>
                <w:color w:val="auto"/>
                <w:spacing w:val="0"/>
                <w:sz w:val="18"/>
                <w:szCs w:val="18"/>
                <w:shd w:val="clear" w:fill="FFFFFF"/>
              </w:rPr>
              <w:t>【法律】《中华人民共和国教师法》（1993年国家主席令第15号）第三十三条第二款  国务院和地方各级人民政府及其有关部门对有突出贡献的教师，应当予以表彰、奖励。</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w:t>
            </w:r>
          </w:p>
        </w:tc>
        <w:tc>
          <w:tcPr>
            <w:tcW w:w="1950" w:type="dxa"/>
            <w:noWrap w:val="0"/>
            <w:vAlign w:val="center"/>
          </w:tcPr>
          <w:p>
            <w:pPr>
              <w:jc w:val="left"/>
              <w:rPr>
                <w:rFonts w:hint="eastAsia" w:ascii="宋体" w:hAnsi="宋体" w:eastAsia="宋体" w:cs="宋体"/>
                <w:b/>
                <w:bCs/>
                <w:kern w:val="2"/>
                <w:sz w:val="18"/>
                <w:szCs w:val="18"/>
                <w:lang w:val="en-US" w:eastAsia="zh-CN" w:bidi="ar-SA"/>
              </w:rPr>
            </w:pPr>
            <w:r>
              <w:rPr>
                <w:rFonts w:hint="eastAsia" w:ascii="宋体" w:hAnsi="宋体" w:eastAsia="宋体" w:cs="宋体"/>
                <w:i w:val="0"/>
                <w:iCs w:val="0"/>
                <w:caps w:val="0"/>
                <w:color w:val="auto"/>
                <w:spacing w:val="0"/>
                <w:sz w:val="18"/>
                <w:szCs w:val="18"/>
                <w:shd w:val="clear" w:fill="FFFFFF"/>
              </w:rPr>
              <w:t>因不履行或不正确履行行政职责，有下列情形的，行政机关及其工作人员应承担相应责任：</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1.依法应当回避不回避；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2.依法应当听证不组织听证；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3.不依法履行告知义务；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4.执行公务活动不出示有效证件；</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5.其他违反法律法规规章文件规定的行为。</w:t>
            </w:r>
            <w:r>
              <w:rPr>
                <w:rFonts w:hint="eastAsia" w:ascii="宋体" w:hAnsi="宋体" w:eastAsia="宋体" w:cs="宋体"/>
                <w:color w:val="auto"/>
                <w:kern w:val="0"/>
                <w:sz w:val="18"/>
                <w:szCs w:val="18"/>
              </w:rPr>
              <w:t xml:space="preserve"> </w:t>
            </w:r>
            <w:r>
              <w:rPr>
                <w:rFonts w:hint="eastAsia" w:ascii="宋体" w:hAnsi="宋体" w:eastAsia="宋体" w:cs="宋体"/>
                <w:color w:val="000000"/>
                <w:kern w:val="0"/>
                <w:sz w:val="18"/>
                <w:szCs w:val="18"/>
              </w:rPr>
              <w:t xml:space="preserve">     </w:t>
            </w:r>
          </w:p>
        </w:tc>
        <w:tc>
          <w:tcPr>
            <w:tcW w:w="1774"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center"/>
              <w:rPr>
                <w:rFonts w:hint="eastAsia" w:ascii="宋体" w:hAnsi="宋体" w:eastAsia="宋体" w:cs="宋体"/>
                <w:b/>
                <w:bCs/>
                <w:kern w:val="2"/>
                <w:sz w:val="18"/>
                <w:szCs w:val="18"/>
                <w:lang w:val="en-US" w:eastAsia="zh-CN" w:bidi="ar-SA"/>
              </w:rPr>
            </w:pPr>
            <w:r>
              <w:rPr>
                <w:rFonts w:hint="eastAsia" w:ascii="宋体" w:hAnsi="宋体" w:eastAsia="宋体" w:cs="宋体"/>
                <w:i w:val="0"/>
                <w:iCs w:val="0"/>
                <w:caps w:val="0"/>
                <w:color w:val="70AD47"/>
                <w:spacing w:val="0"/>
                <w:sz w:val="18"/>
                <w:szCs w:val="18"/>
                <w:shd w:val="clear" w:fill="FFFFFF"/>
              </w:rPr>
              <w:br w:type="textWrapping"/>
            </w:r>
            <w:r>
              <w:rPr>
                <w:rFonts w:hint="eastAsia" w:ascii="宋体" w:hAnsi="宋体" w:eastAsia="宋体" w:cs="宋体"/>
                <w:i w:val="0"/>
                <w:iCs w:val="0"/>
                <w:caps w:val="0"/>
                <w:color w:val="70AD47"/>
                <w:spacing w:val="0"/>
                <w:sz w:val="18"/>
                <w:szCs w:val="18"/>
                <w:shd w:val="clear" w:fill="FFFFFF"/>
              </w:rPr>
              <w:t>   。</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2</w:t>
            </w: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0500-H-00400-141122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优秀教师、优秀教育工作者、德育先进工作者评选</w:t>
            </w:r>
          </w:p>
        </w:tc>
        <w:tc>
          <w:tcPr>
            <w:tcW w:w="1650" w:type="dxa"/>
            <w:noWrap w:val="0"/>
            <w:vAlign w:val="center"/>
          </w:tcPr>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pPr>
              <w:jc w:val="left"/>
              <w:rPr>
                <w:rFonts w:hint="eastAsia" w:ascii="仿宋" w:hAnsi="仿宋" w:eastAsia="仿宋" w:cs="仿宋"/>
                <w:b/>
                <w:bCs/>
                <w:kern w:val="2"/>
                <w:sz w:val="22"/>
                <w:szCs w:val="22"/>
                <w:lang w:val="en-US" w:eastAsia="zh-CN" w:bidi="ar-SA"/>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857"/>
        <w:gridCol w:w="1917"/>
        <w:gridCol w:w="2359"/>
        <w:gridCol w:w="1950"/>
        <w:gridCol w:w="1774"/>
        <w:gridCol w:w="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289"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000"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53"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857"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917"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53"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3</w:t>
            </w: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pPr>
              <w:widowControl/>
              <w:spacing w:line="300" w:lineRule="exact"/>
              <w:jc w:val="left"/>
              <w:textAlignment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0500-F-00100-141122</w:t>
            </w:r>
          </w:p>
        </w:tc>
        <w:tc>
          <w:tcPr>
            <w:tcW w:w="1432"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民办学校办学水平和教育质量评估的确认</w:t>
            </w:r>
          </w:p>
        </w:tc>
        <w:tc>
          <w:tcPr>
            <w:tcW w:w="1857"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中华人民共和国民办教育促进法实施条例》（中华人民共和国国务院令第399号）第三十二条第一款：教育行政部门、劳动和社会保障行政部门应当加强对民办学校的日常监督，定期组织和委托社会中介组织评估民办学校办学水平和教育质量，并鼓励和支持民办学校开展教育教学研究工作，促进民办学校提高教育教学质量。</w:t>
            </w:r>
          </w:p>
        </w:tc>
        <w:tc>
          <w:tcPr>
            <w:tcW w:w="1917"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1.受理阶段责任：公示依法应当提交的材料；一次性告知补正材料；依法受理或不予受理（不予受理的应当告知理由）。 2.审查阶段责任：按照程序对教师培训信息进行审核。 3.送达阶段责任：验印后及时将继续教育情况统计 4.事后监管责任：加强后续监管。 5.其他法律法规规章规定应履行的责任。</w:t>
            </w:r>
          </w:p>
        </w:tc>
        <w:tc>
          <w:tcPr>
            <w:tcW w:w="2359"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民办教育促进法》第四十一条：教育行政部门及有关部门依法对民办学校实行督导，建立民办学校信息公示和信用档案制度，促进提高办学质量；组织或者委托社会中介组织评估办学水平和教育质量，并将评估结果向社会公布。</w:t>
            </w:r>
            <w:r>
              <w:rPr>
                <w:rFonts w:hint="eastAsia" w:ascii="宋体" w:hAnsi="宋体" w:eastAsia="宋体" w:cs="宋体"/>
                <w:i w:val="0"/>
                <w:iCs w:val="0"/>
                <w:caps w:val="0"/>
                <w:color w:val="504F4F"/>
                <w:spacing w:val="0"/>
                <w:sz w:val="18"/>
                <w:szCs w:val="18"/>
                <w:shd w:val="clear" w:fill="FFFFFF"/>
              </w:rPr>
              <w:br w:type="textWrapping"/>
            </w:r>
            <w:r>
              <w:rPr>
                <w:rFonts w:hint="eastAsia" w:ascii="宋体" w:hAnsi="宋体" w:eastAsia="宋体" w:cs="宋体"/>
                <w:i w:val="0"/>
                <w:iCs w:val="0"/>
                <w:caps w:val="0"/>
                <w:color w:val="504F4F"/>
                <w:spacing w:val="0"/>
                <w:sz w:val="18"/>
                <w:szCs w:val="18"/>
                <w:shd w:val="clear" w:fill="FFFFFF"/>
              </w:rPr>
              <w:t>《中华人民共和国民办教育促进法实施条例》（中华人民共和国国务院令第399号</w:t>
            </w:r>
          </w:p>
        </w:tc>
        <w:tc>
          <w:tcPr>
            <w:tcW w:w="1950" w:type="dxa"/>
            <w:noWrap w:val="0"/>
            <w:vAlign w:val="center"/>
          </w:tcPr>
          <w:p>
            <w:pPr>
              <w:jc w:val="center"/>
              <w:rPr>
                <w:rFonts w:hint="eastAsia" w:ascii="宋体" w:hAnsi="宋体" w:eastAsia="宋体" w:cs="宋体"/>
                <w:b/>
                <w:bCs/>
                <w:sz w:val="18"/>
                <w:szCs w:val="18"/>
                <w:lang w:eastAsia="zh-CN"/>
              </w:rPr>
            </w:pPr>
            <w:r>
              <w:rPr>
                <w:rFonts w:hint="eastAsia" w:ascii="宋体" w:hAnsi="宋体" w:eastAsia="宋体" w:cs="宋体"/>
                <w:i w:val="0"/>
                <w:iCs w:val="0"/>
                <w:caps w:val="0"/>
                <w:color w:val="333333"/>
                <w:spacing w:val="0"/>
                <w:sz w:val="18"/>
                <w:szCs w:val="18"/>
                <w:shd w:val="clear" w:fill="FFFFFF"/>
              </w:rPr>
              <w:t>《行政许可法》第七十二条 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w:t>
            </w:r>
            <w:r>
              <w:rPr>
                <w:rFonts w:hint="eastAsia" w:ascii="宋体" w:hAnsi="宋体" w:cs="宋体"/>
                <w:i w:val="0"/>
                <w:iCs w:val="0"/>
                <w:caps w:val="0"/>
                <w:color w:val="333333"/>
                <w:spacing w:val="0"/>
                <w:sz w:val="18"/>
                <w:szCs w:val="18"/>
                <w:shd w:val="clear" w:fill="FFFFFF"/>
                <w:lang w:eastAsia="zh-CN"/>
              </w:rPr>
              <w:t>。</w:t>
            </w:r>
          </w:p>
        </w:tc>
        <w:tc>
          <w:tcPr>
            <w:tcW w:w="1774"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对符合条件的，予以通过申请事项。制作发放资格证书。</w:t>
            </w:r>
          </w:p>
        </w:tc>
        <w:tc>
          <w:tcPr>
            <w:tcW w:w="753"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33</w:t>
            </w: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0500-F-00500-141122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中小学幼儿教师培训基地核准</w:t>
            </w:r>
          </w:p>
        </w:tc>
        <w:tc>
          <w:tcPr>
            <w:tcW w:w="165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【政府规章】</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《山西省中小学教师继续教育规定》（山西省人民政府令第135号）第十二条</w:t>
            </w:r>
          </w:p>
        </w:tc>
        <w:tc>
          <w:tcPr>
            <w:tcW w:w="2124"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p>
        </w:tc>
        <w:tc>
          <w:tcPr>
            <w:tcW w:w="2359"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【政府规章】</w:t>
            </w:r>
          </w:p>
          <w:p>
            <w:pPr>
              <w:jc w:val="center"/>
              <w:rPr>
                <w:rFonts w:hint="eastAsia" w:ascii="仿宋" w:hAnsi="仿宋" w:eastAsia="仿宋" w:cs="仿宋"/>
                <w:b/>
                <w:bCs/>
                <w:sz w:val="22"/>
                <w:szCs w:val="22"/>
              </w:rPr>
            </w:pPr>
            <w:r>
              <w:rPr>
                <w:rFonts w:hint="eastAsia" w:ascii="宋体" w:hAnsi="宋体" w:eastAsia="宋体" w:cs="宋体"/>
                <w:kern w:val="2"/>
                <w:sz w:val="18"/>
                <w:szCs w:val="18"/>
                <w:shd w:val="clear" w:color="auto" w:fill="FFFFFF"/>
                <w:lang w:val="en-US" w:eastAsia="zh-CN" w:bidi="ar-SA"/>
              </w:rPr>
              <w:t xml:space="preserve">    《山西省中小学教师继续教育规定》（山西省人民政府令第135号）第十二条</w:t>
            </w:r>
          </w:p>
        </w:tc>
        <w:tc>
          <w:tcPr>
            <w:tcW w:w="1950" w:type="dxa"/>
            <w:noWrap w:val="0"/>
            <w:vAlign w:val="center"/>
          </w:tcPr>
          <w:p>
            <w:pPr>
              <w:jc w:val="center"/>
              <w:rPr>
                <w:rFonts w:hint="eastAsia" w:ascii="仿宋" w:hAnsi="仿宋" w:eastAsia="仿宋" w:cs="仿宋"/>
                <w:b/>
                <w:bCs/>
                <w:sz w:val="22"/>
                <w:szCs w:val="22"/>
              </w:rPr>
            </w:pPr>
          </w:p>
        </w:tc>
        <w:tc>
          <w:tcPr>
            <w:tcW w:w="1774" w:type="dxa"/>
            <w:noWrap w:val="0"/>
            <w:vAlign w:val="center"/>
          </w:tcPr>
          <w:p>
            <w:pPr>
              <w:jc w:val="center"/>
              <w:rPr>
                <w:rFonts w:hint="eastAsia" w:ascii="仿宋" w:hAnsi="仿宋" w:eastAsia="仿宋" w:cs="仿宋"/>
                <w:b/>
                <w:bCs/>
                <w:sz w:val="22"/>
                <w:szCs w:val="22"/>
              </w:rPr>
            </w:pP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0500-F-00600-141122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中小学校长及教师职务评聘</w:t>
            </w:r>
          </w:p>
        </w:tc>
        <w:tc>
          <w:tcPr>
            <w:tcW w:w="165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《中华人民共和国义务教育法》第二十六条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《中华人民共和国民办教育促进法》第二十三条                                                                                                                 【地方性法规】</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山西省实施《中华人民共和国义务教育法》办法第二十八条  第三十条   </w:t>
            </w:r>
          </w:p>
        </w:tc>
        <w:tc>
          <w:tcPr>
            <w:tcW w:w="2124" w:type="dxa"/>
            <w:noWrap w:val="0"/>
            <w:vAlign w:val="center"/>
          </w:tcPr>
          <w:p>
            <w:pPr>
              <w:numPr>
                <w:ilvl w:val="0"/>
                <w:numId w:val="0"/>
              </w:numPr>
              <w:spacing w:line="300" w:lineRule="exact"/>
              <w:ind w:left="0" w:leftChars="0" w:firstLine="0" w:firstLineChars="0"/>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1.受理责任：按照受理标准查验申请材料。对申请材料符合的，即时受理并转送审核人员；对申报材料不符合的，申请材料退还申请</w:t>
            </w:r>
            <w:r>
              <w:rPr>
                <w:rFonts w:hint="eastAsia" w:ascii="宋体" w:hAnsi="宋体" w:cs="宋体"/>
                <w:i w:val="0"/>
                <w:iCs w:val="0"/>
                <w:caps w:val="0"/>
                <w:color w:val="000000"/>
                <w:spacing w:val="0"/>
                <w:sz w:val="18"/>
                <w:szCs w:val="18"/>
                <w:lang w:val="en-US" w:eastAsia="zh-CN"/>
              </w:rPr>
              <w:t>人</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2.审查责任：按照受理标准进行审核。符合标准的，将受理材料转交审定人员；对申请材料不符合标准的，不予受理</w:t>
            </w:r>
            <w:r>
              <w:rPr>
                <w:rFonts w:hint="eastAsia" w:ascii="宋体" w:hAnsi="宋体" w:cs="宋体"/>
                <w:i w:val="0"/>
                <w:iCs w:val="0"/>
                <w:caps w:val="0"/>
                <w:color w:val="000000"/>
                <w:spacing w:val="0"/>
                <w:sz w:val="18"/>
                <w:szCs w:val="18"/>
                <w:lang w:eastAsia="zh-CN"/>
              </w:rPr>
              <w:t>。</w:t>
            </w:r>
          </w:p>
        </w:tc>
        <w:tc>
          <w:tcPr>
            <w:tcW w:w="2359"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《中央职称改革工作领导小组关于转发国家教育委员会&lt;中等专业学校教师职务试行条例&gt;的通知》（职改[1986]第111号）第十四条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pPr>
              <w:jc w:val="center"/>
              <w:rPr>
                <w:rFonts w:hint="eastAsia" w:ascii="仿宋" w:hAnsi="仿宋" w:eastAsia="仿宋" w:cs="仿宋"/>
                <w:b/>
                <w:bCs/>
                <w:kern w:val="2"/>
                <w:sz w:val="22"/>
                <w:szCs w:val="22"/>
                <w:lang w:val="en-US" w:eastAsia="zh-CN" w:bidi="ar-SA"/>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950" w:type="dxa"/>
            <w:noWrap w:val="0"/>
            <w:vAlign w:val="center"/>
          </w:tcPr>
          <w:p>
            <w:pPr>
              <w:jc w:val="center"/>
              <w:rPr>
                <w:rFonts w:hint="eastAsia" w:ascii="仿宋" w:hAnsi="仿宋" w:eastAsia="仿宋" w:cs="仿宋"/>
                <w:b/>
                <w:bCs/>
                <w:kern w:val="2"/>
                <w:sz w:val="18"/>
                <w:szCs w:val="18"/>
                <w:lang w:val="en-US" w:eastAsia="zh-CN" w:bidi="ar-SA"/>
              </w:rPr>
            </w:pPr>
            <w:r>
              <w:rPr>
                <w:rFonts w:hint="eastAsia" w:ascii="宋体" w:hAnsi="宋体" w:eastAsia="宋体" w:cs="宋体"/>
                <w:i w:val="0"/>
                <w:iCs w:val="0"/>
                <w:caps w:val="0"/>
                <w:color w:val="000000"/>
                <w:spacing w:val="0"/>
                <w:sz w:val="18"/>
                <w:szCs w:val="18"/>
              </w:rPr>
              <w:t>《中华人民共和国教师法》</w:t>
            </w:r>
          </w:p>
        </w:tc>
        <w:tc>
          <w:tcPr>
            <w:tcW w:w="1774" w:type="dxa"/>
            <w:noWrap w:val="0"/>
            <w:vAlign w:val="center"/>
          </w:tcPr>
          <w:p>
            <w:pPr>
              <w:jc w:val="center"/>
              <w:rPr>
                <w:rFonts w:hint="eastAsia" w:ascii="仿宋" w:hAnsi="仿宋" w:eastAsia="仿宋" w:cs="仿宋"/>
                <w:b/>
                <w:bCs/>
                <w:kern w:val="2"/>
                <w:sz w:val="18"/>
                <w:szCs w:val="18"/>
                <w:lang w:val="en-US" w:eastAsia="zh-CN" w:bidi="ar-SA"/>
              </w:rPr>
            </w:pPr>
            <w:r>
              <w:rPr>
                <w:rFonts w:hint="eastAsia" w:ascii="宋体" w:hAnsi="宋体" w:eastAsia="宋体" w:cs="宋体"/>
                <w:i w:val="0"/>
                <w:iCs w:val="0"/>
                <w:caps w:val="0"/>
                <w:color w:val="000000"/>
                <w:spacing w:val="0"/>
                <w:sz w:val="18"/>
                <w:szCs w:val="18"/>
              </w:rPr>
              <w:t>《中华人民共和国教师法》</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807"/>
        <w:gridCol w:w="847"/>
        <w:gridCol w:w="1206"/>
        <w:gridCol w:w="3106"/>
        <w:gridCol w:w="1464"/>
        <w:gridCol w:w="1619"/>
        <w:gridCol w:w="1905"/>
        <w:gridCol w:w="1741"/>
        <w:gridCol w:w="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0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4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431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6729"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1"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noWrap w:val="0"/>
            <w:vAlign w:val="center"/>
          </w:tcPr>
          <w:p>
            <w:pPr>
              <w:jc w:val="center"/>
              <w:rPr>
                <w:rFonts w:hint="eastAsia" w:ascii="黑体" w:hAnsi="黑体" w:eastAsia="黑体" w:cs="黑体"/>
                <w:b w:val="0"/>
                <w:bCs w:val="0"/>
                <w:sz w:val="28"/>
                <w:szCs w:val="28"/>
                <w:vertAlign w:val="baseline"/>
              </w:rPr>
            </w:pPr>
          </w:p>
        </w:tc>
        <w:tc>
          <w:tcPr>
            <w:tcW w:w="807" w:type="dxa"/>
            <w:vMerge w:val="continue"/>
            <w:noWrap w:val="0"/>
            <w:vAlign w:val="center"/>
          </w:tcPr>
          <w:p>
            <w:pPr>
              <w:jc w:val="center"/>
              <w:rPr>
                <w:rFonts w:hint="eastAsia" w:ascii="黑体" w:hAnsi="黑体" w:eastAsia="黑体" w:cs="黑体"/>
                <w:b w:val="0"/>
                <w:bCs w:val="0"/>
                <w:sz w:val="28"/>
                <w:szCs w:val="28"/>
                <w:vertAlign w:val="baseline"/>
              </w:rPr>
            </w:pPr>
          </w:p>
        </w:tc>
        <w:tc>
          <w:tcPr>
            <w:tcW w:w="847" w:type="dxa"/>
            <w:vMerge w:val="continue"/>
            <w:noWrap w:val="0"/>
            <w:vAlign w:val="center"/>
          </w:tcPr>
          <w:p>
            <w:pPr>
              <w:jc w:val="center"/>
              <w:rPr>
                <w:rFonts w:hint="eastAsia" w:ascii="黑体" w:hAnsi="黑体" w:eastAsia="黑体" w:cs="黑体"/>
                <w:b w:val="0"/>
                <w:bCs w:val="0"/>
                <w:sz w:val="28"/>
                <w:szCs w:val="28"/>
                <w:vertAlign w:val="baseline"/>
              </w:rPr>
            </w:pPr>
          </w:p>
        </w:tc>
        <w:tc>
          <w:tcPr>
            <w:tcW w:w="1206"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3106"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46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161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05"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41"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1"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trPr>
        <w:tc>
          <w:tcPr>
            <w:tcW w:w="466" w:type="dxa"/>
            <w:noWrap w:val="0"/>
            <w:vAlign w:val="center"/>
          </w:tcPr>
          <w:p>
            <w:pPr>
              <w:ind w:firstLine="387" w:firstLineChars="0"/>
              <w:jc w:val="center"/>
              <w:rPr>
                <w:rFonts w:hint="eastAsia" w:ascii="仿宋" w:hAnsi="仿宋" w:eastAsia="仿宋" w:cs="仿宋"/>
                <w:b/>
                <w:bCs/>
                <w:sz w:val="22"/>
                <w:szCs w:val="22"/>
              </w:rPr>
            </w:pPr>
          </w:p>
        </w:tc>
        <w:tc>
          <w:tcPr>
            <w:tcW w:w="80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47" w:type="dxa"/>
            <w:noWrap w:val="0"/>
            <w:vAlign w:val="center"/>
          </w:tcPr>
          <w:p>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0500-F-00800-141122</w:t>
            </w:r>
          </w:p>
        </w:tc>
        <w:tc>
          <w:tcPr>
            <w:tcW w:w="1206"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中小学教师初级专业技术职务评审</w:t>
            </w:r>
          </w:p>
        </w:tc>
        <w:tc>
          <w:tcPr>
            <w:tcW w:w="3106"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《中华人民共和国教育法》第三十五条</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【行政法规】</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《关于实行专业技术职务聘任制度的规定》（国发[1986]27号）                                                                                                                                                                                         【规范性文件】</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《中央职称改革工作领导小组关于转发国家教育委员会&lt;中等专业学校教师职务试行条例&gt;的通知》（职改[1986]第111号）第十四条                                                                                                    【规范性文件】</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【规范性文件】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464"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1.受理责任：按照受理标准查验申请材料。对申请材料符合的，即时受理并转送审核人员；对申报材料不符合的，申请材料退还申请</w:t>
            </w:r>
            <w:r>
              <w:rPr>
                <w:rFonts w:hint="eastAsia" w:ascii="宋体" w:hAnsi="宋体" w:cs="宋体"/>
                <w:i w:val="0"/>
                <w:iCs w:val="0"/>
                <w:caps w:val="0"/>
                <w:color w:val="000000"/>
                <w:spacing w:val="0"/>
                <w:sz w:val="18"/>
                <w:szCs w:val="18"/>
                <w:lang w:val="en-US" w:eastAsia="zh-CN"/>
              </w:rPr>
              <w:t>人</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2.审查责任：按照受理标准进行审核。符合标准的，将受理材料转交审定人员；对申请材料不符合标准的，不予受理</w:t>
            </w:r>
            <w:r>
              <w:rPr>
                <w:rFonts w:hint="eastAsia" w:ascii="宋体" w:hAnsi="宋体" w:cs="宋体"/>
                <w:i w:val="0"/>
                <w:iCs w:val="0"/>
                <w:caps w:val="0"/>
                <w:color w:val="000000"/>
                <w:spacing w:val="0"/>
                <w:sz w:val="18"/>
                <w:szCs w:val="18"/>
                <w:lang w:eastAsia="zh-CN"/>
              </w:rPr>
              <w:t>。</w:t>
            </w:r>
          </w:p>
        </w:tc>
        <w:tc>
          <w:tcPr>
            <w:tcW w:w="1619"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《中央职称改革工作领导小组关于转发国家教育委员会&lt;中等专业学校教师职务试行条例&gt;的通知》（职改[1986]第111号）第十四条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pPr>
              <w:jc w:val="center"/>
              <w:rPr>
                <w:rFonts w:hint="eastAsia" w:ascii="仿宋" w:hAnsi="仿宋" w:eastAsia="仿宋" w:cs="仿宋"/>
                <w:b/>
                <w:bCs/>
                <w:sz w:val="22"/>
                <w:szCs w:val="22"/>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905" w:type="dxa"/>
            <w:noWrap w:val="0"/>
            <w:vAlign w:val="center"/>
          </w:tcPr>
          <w:p>
            <w:pPr>
              <w:jc w:val="center"/>
              <w:rPr>
                <w:rFonts w:hint="eastAsia" w:ascii="仿宋" w:hAnsi="仿宋" w:eastAsia="仿宋" w:cs="仿宋"/>
                <w:b/>
                <w:bCs/>
                <w:sz w:val="18"/>
                <w:szCs w:val="18"/>
              </w:rPr>
            </w:pPr>
            <w:r>
              <w:rPr>
                <w:rFonts w:hint="eastAsia" w:ascii="宋体" w:hAnsi="宋体" w:eastAsia="宋体" w:cs="宋体"/>
                <w:i w:val="0"/>
                <w:iCs w:val="0"/>
                <w:caps w:val="0"/>
                <w:color w:val="000000"/>
                <w:spacing w:val="0"/>
                <w:sz w:val="18"/>
                <w:szCs w:val="18"/>
              </w:rPr>
              <w:t>《中华人民共和国教师法》</w:t>
            </w:r>
          </w:p>
        </w:tc>
        <w:tc>
          <w:tcPr>
            <w:tcW w:w="1741" w:type="dxa"/>
            <w:noWrap w:val="0"/>
            <w:vAlign w:val="center"/>
          </w:tcPr>
          <w:p>
            <w:pPr>
              <w:jc w:val="center"/>
              <w:rPr>
                <w:rFonts w:hint="eastAsia" w:ascii="仿宋" w:hAnsi="仿宋" w:eastAsia="仿宋" w:cs="仿宋"/>
                <w:b/>
                <w:bCs/>
                <w:sz w:val="18"/>
                <w:szCs w:val="18"/>
              </w:rPr>
            </w:pPr>
            <w:r>
              <w:rPr>
                <w:rFonts w:hint="eastAsia" w:ascii="宋体" w:hAnsi="宋体" w:eastAsia="宋体" w:cs="宋体"/>
                <w:i w:val="0"/>
                <w:iCs w:val="0"/>
                <w:caps w:val="0"/>
                <w:color w:val="000000"/>
                <w:spacing w:val="0"/>
                <w:sz w:val="18"/>
                <w:szCs w:val="18"/>
              </w:rPr>
              <w:t>《中华人民共和国教师法》</w:t>
            </w:r>
          </w:p>
        </w:tc>
        <w:tc>
          <w:tcPr>
            <w:tcW w:w="701"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0500-Z-00100-141122</w:t>
            </w:r>
          </w:p>
        </w:tc>
        <w:tc>
          <w:tcPr>
            <w:tcW w:w="1432" w:type="dxa"/>
            <w:noWrap w:val="0"/>
            <w:vAlign w:val="center"/>
          </w:tcPr>
          <w:p>
            <w:pPr>
              <w:spacing w:line="30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对学生申述的处理</w:t>
            </w:r>
          </w:p>
        </w:tc>
        <w:tc>
          <w:tcPr>
            <w:tcW w:w="165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504F4F"/>
                <w:spacing w:val="0"/>
                <w:sz w:val="18"/>
                <w:szCs w:val="18"/>
                <w:shd w:val="clear" w:fill="FFFFFF"/>
              </w:rPr>
              <w:t>《中华人民共和国教育法》第四十二条受教育者享有下列权利：（四）对学校给予的处分不服向有关部门提出申诉，对学校、教师侵犯其人身权、财产权等合法权益，提出申诉或者依法提起诉讼。</w:t>
            </w:r>
          </w:p>
        </w:tc>
        <w:tc>
          <w:tcPr>
            <w:tcW w:w="2124"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1.受理责任：依法受理教师提出的申诉。 2.调查责任：组织相关部门和2人以上的工作人员对申诉人的资格和申诉条件进行审查，做好相关审查记录。 3.处理责任：将调查情况报局办会议讨论，根据相关法律法规规章和审查结果对教师申诉做出处理决定。 4.法律法规规章规定应履行的其他责任。　</w:t>
            </w:r>
          </w:p>
        </w:tc>
        <w:tc>
          <w:tcPr>
            <w:tcW w:w="2359"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《中华人民共和国教育法》第四十二条受教育者享有下列权利：（四）对学校给予的处分不服向有关部门提出申诉，对学校、教师侵犯其人身权、财产权等合法权益，提出申诉或者依法提起诉讼。</w:t>
            </w:r>
          </w:p>
        </w:tc>
        <w:tc>
          <w:tcPr>
            <w:tcW w:w="1950"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根据《中华人民共和国教育法》第八十三条 违反本法规定，侵犯教师、受教育者、学校或者其他教育机构的合法权益，造成损失、损害的，应当依法承担民事责任。 </w:t>
            </w:r>
          </w:p>
        </w:tc>
        <w:tc>
          <w:tcPr>
            <w:tcW w:w="1774"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《行政处罚法 》第62条，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821"/>
        <w:gridCol w:w="1953"/>
        <w:gridCol w:w="2359"/>
        <w:gridCol w:w="1950"/>
        <w:gridCol w:w="1774"/>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253"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036"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0"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821"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953"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0"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pPr>
              <w:widowControl/>
              <w:spacing w:line="300" w:lineRule="exact"/>
              <w:jc w:val="left"/>
              <w:textAlignment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0500-Z-00200-141122</w:t>
            </w:r>
          </w:p>
        </w:tc>
        <w:tc>
          <w:tcPr>
            <w:tcW w:w="1432"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对教师申述的处理</w:t>
            </w:r>
          </w:p>
        </w:tc>
        <w:tc>
          <w:tcPr>
            <w:tcW w:w="1821"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504F4F"/>
                <w:spacing w:val="0"/>
                <w:sz w:val="18"/>
                <w:szCs w:val="18"/>
                <w:shd w:val="clear" w:fill="FFFFFF"/>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提出申诉，同级人民政府或者上一级人民政府有关部门应当作出处理。</w:t>
            </w:r>
          </w:p>
        </w:tc>
        <w:tc>
          <w:tcPr>
            <w:tcW w:w="1953"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1.受理责任：依法受理对教师提出的申诉。 2.调查责任：组织相关部门和2人以上的工作人员对申诉人的资格和申诉条件进行审查，做好相关审查记录。 3.处理责任：将调查情况报局办会议讨论，根据相关法律法规规章和审查结果对教师申诉做出处理决定。 4.法律法规规章规定应履行的其他责任。</w:t>
            </w:r>
          </w:p>
        </w:tc>
        <w:tc>
          <w:tcPr>
            <w:tcW w:w="2359"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提出申诉，同级人民政府或者上一级人民政府有关部门应当作出处理。</w:t>
            </w:r>
          </w:p>
        </w:tc>
        <w:tc>
          <w:tcPr>
            <w:tcW w:w="1950"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根据《中华人民共和国教育法》第八十三条 违反本法规定，侵犯教师、受教育者、学校或者其他教育机构的合法权益，造成损失、损害的，应当依法承担民事责任。 </w:t>
            </w:r>
          </w:p>
        </w:tc>
        <w:tc>
          <w:tcPr>
            <w:tcW w:w="1774"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《行政处罚法 》第62条，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tc>
        <w:tc>
          <w:tcPr>
            <w:tcW w:w="700"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0500-Z-01300-141122</w:t>
            </w:r>
          </w:p>
        </w:tc>
        <w:tc>
          <w:tcPr>
            <w:tcW w:w="1432"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民办学校学籍、教学管理制度备案</w:t>
            </w:r>
          </w:p>
        </w:tc>
        <w:tc>
          <w:tcPr>
            <w:tcW w:w="165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【规范性文件】《中华人民共和国民办教育促进法实施条例》第28条：“民办学校应当依法建立学籍和教学管理制度，并报审批机关备案。</w:t>
            </w:r>
          </w:p>
        </w:tc>
        <w:tc>
          <w:tcPr>
            <w:tcW w:w="2124"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1.受理责任：公示应当提交的材料，一次性告知补正材料，依法受理或不予受理（不予受理应当告知理由）。</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2.审查责任：按照法律、法规规定的条件和标准，对书面申请材料进行审核，组织勘察。</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3.决定责任；作出行政许可或者不予行政许可决定，法定告知。</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4.送达责任：准予许可的，核发许可证，送达并信息公开。</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5.事后监管责任：建立实施监督检查的运行机制和管理制度，开展定期和不定期检查，依法采取相关处置措施。</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       </w:t>
            </w:r>
          </w:p>
        </w:tc>
        <w:tc>
          <w:tcPr>
            <w:tcW w:w="2359"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000000"/>
                <w:spacing w:val="0"/>
                <w:sz w:val="18"/>
                <w:szCs w:val="18"/>
              </w:rPr>
              <w:t>《中华人民共和国民办教育促进法实施条例》第28条</w:t>
            </w:r>
          </w:p>
        </w:tc>
        <w:tc>
          <w:tcPr>
            <w:tcW w:w="1950"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000000"/>
                <w:spacing w:val="0"/>
                <w:sz w:val="18"/>
                <w:szCs w:val="18"/>
              </w:rPr>
              <w:t>《山西省实施中华人民共和国义务教育法办法》</w:t>
            </w:r>
          </w:p>
        </w:tc>
        <w:tc>
          <w:tcPr>
            <w:tcW w:w="1774" w:type="dxa"/>
            <w:noWrap w:val="0"/>
            <w:vAlign w:val="center"/>
          </w:tcPr>
          <w:p>
            <w:pPr>
              <w:jc w:val="center"/>
              <w:rPr>
                <w:rFonts w:hint="eastAsia" w:ascii="宋体" w:hAnsi="宋体" w:eastAsia="宋体" w:cs="宋体"/>
                <w:b/>
                <w:bCs/>
                <w:sz w:val="18"/>
                <w:szCs w:val="18"/>
              </w:rPr>
            </w:pPr>
            <w:r>
              <w:rPr>
                <w:rFonts w:hint="eastAsia" w:ascii="宋体" w:hAnsi="宋体" w:eastAsia="宋体" w:cs="宋体"/>
                <w:i w:val="0"/>
                <w:iCs w:val="0"/>
                <w:caps w:val="0"/>
                <w:color w:val="000000"/>
                <w:spacing w:val="0"/>
                <w:sz w:val="18"/>
                <w:szCs w:val="18"/>
              </w:rPr>
              <w:t>建立实施监督检查的运行机制和管理制度，开展定期和不定期检查，依法采取相关处置措施。</w:t>
            </w:r>
            <w:r>
              <w:rPr>
                <w:rFonts w:hint="eastAsia" w:ascii="宋体" w:hAnsi="宋体" w:eastAsia="宋体" w:cs="宋体"/>
                <w:i w:val="0"/>
                <w:iCs w:val="0"/>
                <w:caps w:val="0"/>
                <w:color w:val="000000"/>
                <w:spacing w:val="0"/>
                <w:sz w:val="18"/>
                <w:szCs w:val="18"/>
              </w:rPr>
              <w:br w:type="textWrapping"/>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pPr>
              <w:widowControl/>
              <w:spacing w:line="300" w:lineRule="exact"/>
              <w:jc w:val="left"/>
              <w:textAlignment w:val="center"/>
              <w:rPr>
                <w:rFonts w:hint="default"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0500-Z-01300-141122</w:t>
            </w:r>
          </w:p>
        </w:tc>
        <w:tc>
          <w:tcPr>
            <w:tcW w:w="1432"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确定义务教育阶段学生划片入学的服务范围</w:t>
            </w:r>
          </w:p>
        </w:tc>
        <w:tc>
          <w:tcPr>
            <w:tcW w:w="1650" w:type="dxa"/>
            <w:noWrap w:val="0"/>
            <w:vAlign w:val="center"/>
          </w:tcPr>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【法律】</w:t>
            </w:r>
          </w:p>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《中华人民共和国义务教育法》第十二条；                              【法规】</w:t>
            </w:r>
          </w:p>
          <w:p>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《山西省实施中华人民共和国义务教育法办法》第十四条；                      </w:t>
            </w:r>
          </w:p>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《山西省中小学学籍管理办法实施细则（试行）》第九条第三款。</w:t>
            </w:r>
          </w:p>
        </w:tc>
        <w:tc>
          <w:tcPr>
            <w:tcW w:w="2124" w:type="dxa"/>
            <w:noWrap w:val="0"/>
            <w:vAlign w:val="center"/>
          </w:tcPr>
          <w:p>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1.及时公示新生入学条件、服务区范围、招生计划及入学需提供的材料。</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2.根据材料审核情况，对符合入学条件的学生按服务区划片就近入学。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3.建立实施监督检查的运行机制和管理制度，开展定期和不定期检查，依法采取相关处置措施。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4.其他法律法规规章规定应履行的责任。</w:t>
            </w:r>
          </w:p>
        </w:tc>
        <w:tc>
          <w:tcPr>
            <w:tcW w:w="2359"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【法律】《中华人民共和国公务员法》第五十三条至五十五条。                 【行政法规】《行政机关公务员处分条例》（国务院第495号令）；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pPr>
              <w:jc w:val="center"/>
              <w:rPr>
                <w:rFonts w:hint="eastAsia" w:ascii="仿宋" w:hAnsi="仿宋" w:eastAsia="仿宋" w:cs="仿宋"/>
                <w:b/>
                <w:bCs/>
                <w:sz w:val="22"/>
                <w:szCs w:val="22"/>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pPr>
              <w:jc w:val="center"/>
              <w:rPr>
                <w:rFonts w:hint="eastAsia" w:ascii="仿宋" w:hAnsi="仿宋" w:eastAsia="仿宋" w:cs="仿宋"/>
                <w:b/>
                <w:bCs/>
                <w:sz w:val="22"/>
                <w:szCs w:val="22"/>
              </w:rPr>
            </w:pPr>
            <w:r>
              <w:rPr>
                <w:rFonts w:hint="eastAsia" w:ascii="宋体" w:hAnsi="宋体" w:cs="宋体"/>
                <w:color w:val="000000"/>
                <w:kern w:val="0"/>
                <w:sz w:val="18"/>
                <w:szCs w:val="18"/>
              </w:rPr>
              <w:t>1.不按规定及时公示入学条件、服务区范围、招生办法、招生计划等信息的。</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2.不按规定时间公布划分名单。                             3.其他违反法律法规规章规定的行为。</w:t>
            </w:r>
          </w:p>
        </w:tc>
        <w:tc>
          <w:tcPr>
            <w:tcW w:w="1774" w:type="dxa"/>
            <w:noWrap w:val="0"/>
            <w:vAlign w:val="center"/>
          </w:tcPr>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（二)行政处分：警告、记过、记大过、降级、撤职、开除              </w:t>
            </w:r>
          </w:p>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（三）党纪处分：警告、严重警告、撤销党内职务、留党察看、开除党籍。              （四）其他法律责任。</w:t>
            </w:r>
          </w:p>
        </w:tc>
        <w:tc>
          <w:tcPr>
            <w:tcW w:w="854" w:type="dxa"/>
            <w:noWrap w:val="0"/>
            <w:vAlign w:val="center"/>
          </w:tcPr>
          <w:p>
            <w:pPr>
              <w:jc w:val="center"/>
              <w:rPr>
                <w:rFonts w:hint="eastAsia" w:ascii="仿宋" w:hAnsi="仿宋" w:eastAsia="仿宋" w:cs="仿宋"/>
                <w:b/>
                <w:bCs/>
                <w:sz w:val="22"/>
                <w:szCs w:val="22"/>
              </w:rPr>
            </w:pPr>
          </w:p>
        </w:tc>
      </w:tr>
    </w:tbl>
    <w:p>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pPr>
              <w:jc w:val="center"/>
              <w:rPr>
                <w:rFonts w:hint="eastAsia" w:ascii="黑体" w:hAnsi="黑体" w:eastAsia="黑体" w:cs="黑体"/>
                <w:b w:val="0"/>
                <w:bCs w:val="0"/>
                <w:sz w:val="28"/>
                <w:szCs w:val="28"/>
                <w:vertAlign w:val="baseline"/>
              </w:rPr>
            </w:pPr>
          </w:p>
        </w:tc>
        <w:tc>
          <w:tcPr>
            <w:tcW w:w="827" w:type="dxa"/>
            <w:vMerge w:val="continue"/>
            <w:noWrap w:val="0"/>
            <w:vAlign w:val="center"/>
          </w:tcPr>
          <w:p>
            <w:pPr>
              <w:jc w:val="center"/>
              <w:rPr>
                <w:rFonts w:hint="eastAsia" w:ascii="黑体" w:hAnsi="黑体" w:eastAsia="黑体" w:cs="黑体"/>
                <w:b w:val="0"/>
                <w:bCs w:val="0"/>
                <w:sz w:val="28"/>
                <w:szCs w:val="28"/>
                <w:vertAlign w:val="baseline"/>
              </w:rPr>
            </w:pPr>
          </w:p>
        </w:tc>
        <w:tc>
          <w:tcPr>
            <w:tcW w:w="867" w:type="dxa"/>
            <w:vMerge w:val="continue"/>
            <w:noWrap w:val="0"/>
            <w:vAlign w:val="center"/>
          </w:tcPr>
          <w:p>
            <w:pPr>
              <w:jc w:val="center"/>
              <w:rPr>
                <w:rFonts w:hint="eastAsia" w:ascii="黑体" w:hAnsi="黑体" w:eastAsia="黑体" w:cs="黑体"/>
                <w:b w:val="0"/>
                <w:bCs w:val="0"/>
                <w:sz w:val="28"/>
                <w:szCs w:val="28"/>
                <w:vertAlign w:val="baseline"/>
              </w:rPr>
            </w:pPr>
          </w:p>
        </w:tc>
        <w:tc>
          <w:tcPr>
            <w:tcW w:w="1432"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pPr>
              <w:jc w:val="center"/>
              <w:rPr>
                <w:rFonts w:hint="eastAsia" w:ascii="仿宋" w:hAnsi="仿宋" w:eastAsia="仿宋" w:cs="仿宋"/>
                <w:b/>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pPr>
              <w:ind w:firstLine="387" w:firstLineChars="0"/>
              <w:jc w:val="center"/>
              <w:rPr>
                <w:rFonts w:hint="eastAsia" w:ascii="仿宋" w:hAnsi="仿宋" w:eastAsia="仿宋" w:cs="仿宋"/>
                <w:b/>
                <w:bCs/>
                <w:sz w:val="22"/>
                <w:szCs w:val="22"/>
              </w:rPr>
            </w:pPr>
          </w:p>
        </w:tc>
        <w:tc>
          <w:tcPr>
            <w:tcW w:w="827" w:type="dxa"/>
            <w:noWrap w:val="0"/>
            <w:vAlign w:val="center"/>
          </w:tcPr>
          <w:p>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行政许可</w:t>
            </w:r>
          </w:p>
        </w:tc>
        <w:tc>
          <w:tcPr>
            <w:tcW w:w="867" w:type="dxa"/>
            <w:noWrap w:val="0"/>
            <w:vAlign w:val="center"/>
          </w:tcPr>
          <w:p>
            <w:pPr>
              <w:spacing w:line="300" w:lineRule="exact"/>
              <w:jc w:val="left"/>
              <w:rPr>
                <w:rFonts w:hint="eastAsia" w:ascii="宋体" w:hAnsi="宋体" w:eastAsia="宋体" w:cs="宋体"/>
                <w:kern w:val="2"/>
                <w:sz w:val="18"/>
                <w:szCs w:val="18"/>
                <w:lang w:val="en-US" w:eastAsia="zh-CN" w:bidi="ar-SA"/>
              </w:rPr>
            </w:pPr>
            <w:r>
              <w:rPr>
                <w:rFonts w:hint="eastAsia" w:ascii="仿宋_GB2312" w:eastAsia="仿宋_GB2312" w:cs="Times New Roman"/>
                <w:kern w:val="2"/>
                <w:sz w:val="18"/>
                <w:szCs w:val="18"/>
                <w:lang w:val="en-US" w:eastAsia="zh-CN" w:bidi="ar-SA"/>
              </w:rPr>
              <w:t>0500-A-02800-141122</w:t>
            </w:r>
          </w:p>
        </w:tc>
        <w:tc>
          <w:tcPr>
            <w:tcW w:w="1432" w:type="dxa"/>
            <w:noWrap w:val="0"/>
            <w:vAlign w:val="center"/>
          </w:tcPr>
          <w:p>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举办初等职业学校审核</w:t>
            </w:r>
          </w:p>
        </w:tc>
        <w:tc>
          <w:tcPr>
            <w:tcW w:w="1650" w:type="dxa"/>
            <w:noWrap w:val="0"/>
            <w:vAlign w:val="center"/>
          </w:tcPr>
          <w:p>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民办教育促进法》（2002年12月通过，2018年12月修正）第十二条：“举办实施学历教育、学前教育、自学考试助学及其他文化教育的民办学校，由县级以上人民政府教育行政部门按照国家规定的权限审批。” 第五十三条第一款：“民办学校的分立、合并，在进行财务清算后，由学校理事会或者董事会报审批机关批准。”</w:t>
            </w:r>
          </w:p>
        </w:tc>
        <w:tc>
          <w:tcPr>
            <w:tcW w:w="2124" w:type="dxa"/>
            <w:noWrap w:val="0"/>
            <w:vAlign w:val="center"/>
          </w:tcPr>
          <w:p>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p>
        </w:tc>
        <w:tc>
          <w:tcPr>
            <w:tcW w:w="2359" w:type="dxa"/>
            <w:noWrap w:val="0"/>
            <w:vAlign w:val="center"/>
          </w:tcPr>
          <w:p>
            <w:pPr>
              <w:jc w:val="center"/>
              <w:rPr>
                <w:rFonts w:hint="eastAsia" w:ascii="仿宋" w:hAnsi="仿宋" w:eastAsia="仿宋" w:cs="仿宋"/>
                <w:b/>
                <w:bCs/>
                <w:sz w:val="22"/>
                <w:szCs w:val="22"/>
              </w:rPr>
            </w:pPr>
            <w:r>
              <w:rPr>
                <w:rFonts w:hint="eastAsia" w:ascii="仿宋" w:hAnsi="仿宋" w:eastAsia="仿宋" w:cs="仿宋"/>
                <w:b/>
                <w:bCs/>
                <w:sz w:val="22"/>
                <w:szCs w:val="22"/>
              </w:rPr>
              <w:t>【法律】《民办教育促进法》（2002年12月通过，2018年12月修正）第六十三条：“县级以上人民政府教育行政部门、人力资源社会保障行政部门或者其他有关部门有下列行为之一的，由上级机关责令其改正；情节严重的，对直接负责的主管人员和其他直接责任人员，依法给予处分；造成经济损失的，依法承担赔偿责任</w:t>
            </w:r>
            <w:r>
              <w:rPr>
                <w:rFonts w:hint="eastAsia" w:ascii="仿宋" w:hAnsi="仿宋" w:eastAsia="仿宋" w:cs="仿宋"/>
                <w:b/>
                <w:bCs/>
                <w:sz w:val="22"/>
                <w:szCs w:val="22"/>
                <w:lang w:eastAsia="zh-CN"/>
              </w:rPr>
              <w:t>。</w:t>
            </w:r>
          </w:p>
        </w:tc>
        <w:tc>
          <w:tcPr>
            <w:tcW w:w="1950" w:type="dxa"/>
            <w:noWrap w:val="0"/>
            <w:vAlign w:val="center"/>
          </w:tcPr>
          <w:p>
            <w:pPr>
              <w:jc w:val="center"/>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一）已受理设立申请，逾期不予答复的；（二）批准不符合本法规定条件申请的；（三）疏于管理，造成严重后果的；（四）违反国家有关规定收取费用的；（五）侵犯民办学校合法权益的；（六）其他滥用职权、徇私舞弊的。</w:t>
            </w:r>
          </w:p>
        </w:tc>
        <w:tc>
          <w:tcPr>
            <w:tcW w:w="1774" w:type="dxa"/>
            <w:noWrap w:val="0"/>
            <w:vAlign w:val="center"/>
          </w:tcPr>
          <w:p>
            <w:pPr>
              <w:jc w:val="center"/>
              <w:rPr>
                <w:rFonts w:hint="eastAsia" w:ascii="仿宋" w:hAnsi="仿宋" w:eastAsia="仿宋" w:cs="仿宋"/>
                <w:b/>
                <w:bCs/>
                <w:sz w:val="22"/>
                <w:szCs w:val="22"/>
              </w:rPr>
            </w:pPr>
            <w:r>
              <w:rPr>
                <w:rFonts w:hint="eastAsia" w:ascii="仿宋" w:hAnsi="仿宋" w:eastAsia="仿宋" w:cs="仿宋"/>
                <w:b/>
                <w:bCs/>
                <w:sz w:val="22"/>
                <w:szCs w:val="22"/>
              </w:rPr>
              <w:t>【其他法律法规规章】《监察法》《行政许可法》《国家赔偿法》《公务员法》《行政机关公务员处分条例》《政府信息公开条例》《山东省行政执法监督条例》等规定的追责情形。</w:t>
            </w:r>
          </w:p>
        </w:tc>
        <w:tc>
          <w:tcPr>
            <w:tcW w:w="854" w:type="dxa"/>
            <w:noWrap w:val="0"/>
            <w:vAlign w:val="center"/>
          </w:tcPr>
          <w:p>
            <w:pPr>
              <w:jc w:val="center"/>
              <w:rPr>
                <w:rFonts w:hint="eastAsia" w:ascii="仿宋" w:hAnsi="仿宋" w:eastAsia="仿宋" w:cs="仿宋"/>
                <w:b/>
                <w:bCs/>
                <w:sz w:val="22"/>
                <w:szCs w:val="22"/>
              </w:rPr>
            </w:pPr>
          </w:p>
        </w:tc>
      </w:tr>
    </w:tbl>
    <w:p>
      <w:pPr>
        <w:rPr>
          <w:rFonts w:hint="eastAsia" w:ascii="仿宋" w:hAnsi="仿宋" w:eastAsia="仿宋" w:cs="仿宋"/>
          <w:color w:val="auto"/>
          <w:sz w:val="28"/>
          <w:szCs w:val="28"/>
        </w:rPr>
      </w:pPr>
    </w:p>
    <w:p>
      <w:r>
        <w:rPr>
          <w:rFonts w:hint="eastAsia" w:ascii="仿宋" w:hAnsi="仿宋" w:eastAsia="仿宋" w:cs="仿宋"/>
          <w:color w:val="auto"/>
          <w:sz w:val="28"/>
          <w:szCs w:val="28"/>
        </w:rPr>
        <w:t xml:space="preserve">联系人: </w:t>
      </w:r>
      <w:r>
        <w:rPr>
          <w:rFonts w:hint="eastAsia" w:ascii="仿宋" w:hAnsi="仿宋" w:eastAsia="仿宋" w:cs="仿宋"/>
          <w:color w:val="auto"/>
          <w:sz w:val="28"/>
          <w:szCs w:val="28"/>
          <w:lang w:val="en-US" w:eastAsia="zh-CN"/>
        </w:rPr>
        <w:t xml:space="preserve"> 赵勇刚                 </w:t>
      </w:r>
      <w:r>
        <w:rPr>
          <w:rFonts w:hint="eastAsia" w:ascii="仿宋" w:hAnsi="仿宋" w:eastAsia="仿宋" w:cs="仿宋"/>
          <w:color w:val="auto"/>
          <w:sz w:val="28"/>
          <w:szCs w:val="28"/>
        </w:rPr>
        <w:t>办公电话:</w:t>
      </w:r>
      <w:r>
        <w:rPr>
          <w:rFonts w:hint="eastAsia" w:ascii="仿宋" w:hAnsi="仿宋" w:eastAsia="仿宋" w:cs="仿宋"/>
          <w:color w:val="auto"/>
          <w:sz w:val="28"/>
          <w:szCs w:val="28"/>
          <w:lang w:val="en-US" w:eastAsia="zh-CN"/>
        </w:rPr>
        <w:t xml:space="preserve">   03583522461              </w:t>
      </w:r>
      <w:r>
        <w:rPr>
          <w:rFonts w:hint="eastAsia" w:ascii="仿宋" w:hAnsi="仿宋" w:eastAsia="仿宋" w:cs="仿宋"/>
          <w:color w:val="auto"/>
          <w:sz w:val="28"/>
          <w:szCs w:val="28"/>
        </w:rPr>
        <w:t xml:space="preserve"> 手机号码:</w:t>
      </w:r>
      <w:r>
        <w:rPr>
          <w:rFonts w:hint="eastAsia" w:ascii="仿宋" w:hAnsi="仿宋" w:eastAsia="仿宋" w:cs="仿宋"/>
          <w:color w:val="auto"/>
          <w:sz w:val="28"/>
          <w:szCs w:val="28"/>
          <w:lang w:val="en-US" w:eastAsia="zh-CN"/>
        </w:rPr>
        <w:t>13834357159</w:t>
      </w:r>
      <w:bookmarkStart w:id="0" w:name="_GoBack"/>
      <w:bookmarkEnd w:id="0"/>
    </w:p>
    <w:sectPr>
      <w:pgSz w:w="16838" w:h="11906" w:orient="landscape"/>
      <w:pgMar w:top="1417"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chineseCountingThousand"/>
      <w:isLgl/>
      <w:lvlText w:val="%1"/>
      <w:lvlJc w:val="left"/>
      <w:pPr>
        <w:tabs>
          <w:tab w:val="left" w:pos="425"/>
        </w:tabs>
        <w:ind w:left="425" w:hanging="425"/>
      </w:pPr>
      <w:rPr>
        <w:rFonts w:hint="default" w:ascii="Times New Roman" w:hAnsi="Times New Roman" w:eastAsia="宋体"/>
        <w:b/>
        <w:i w:val="0"/>
        <w:sz w:val="32"/>
        <w:szCs w:val="32"/>
      </w:rPr>
    </w:lvl>
    <w:lvl w:ilvl="1" w:tentative="0">
      <w:start w:val="1"/>
      <w:numFmt w:val="decimal"/>
      <w:pStyle w:val="2"/>
      <w:isLgl/>
      <w:lvlText w:val="%1.%2"/>
      <w:lvlJc w:val="left"/>
      <w:pPr>
        <w:tabs>
          <w:tab w:val="left" w:pos="567"/>
        </w:tabs>
        <w:ind w:left="397" w:hanging="397"/>
      </w:pPr>
      <w:rPr>
        <w:rFonts w:hint="eastAsia"/>
        <w:b/>
        <w:i w:val="0"/>
        <w:sz w:val="30"/>
        <w:szCs w:val="30"/>
      </w:rPr>
    </w:lvl>
    <w:lvl w:ilvl="2" w:tentative="0">
      <w:start w:val="1"/>
      <w:numFmt w:val="decimal"/>
      <w:isLgl/>
      <w:lvlText w:val="%1.%2.%3"/>
      <w:lvlJc w:val="left"/>
      <w:pPr>
        <w:tabs>
          <w:tab w:val="left" w:pos="425"/>
        </w:tabs>
        <w:ind w:left="425" w:hanging="425"/>
      </w:pPr>
      <w:rPr>
        <w:rFonts w:hint="eastAsia"/>
        <w:b/>
        <w:sz w:val="28"/>
        <w:szCs w:val="28"/>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
    <w:nsid w:val="56407776"/>
    <w:multiLevelType w:val="singleLevel"/>
    <w:tmpl w:val="5640777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A1E14"/>
    <w:rsid w:val="00FF0D63"/>
    <w:rsid w:val="08BD3507"/>
    <w:rsid w:val="119E0516"/>
    <w:rsid w:val="11BC0475"/>
    <w:rsid w:val="12590282"/>
    <w:rsid w:val="133C6579"/>
    <w:rsid w:val="14E84272"/>
    <w:rsid w:val="15E97075"/>
    <w:rsid w:val="16533B6E"/>
    <w:rsid w:val="182D221E"/>
    <w:rsid w:val="1983320C"/>
    <w:rsid w:val="1D2E4C10"/>
    <w:rsid w:val="1EF32AAB"/>
    <w:rsid w:val="20D30158"/>
    <w:rsid w:val="26AB6142"/>
    <w:rsid w:val="2A821A99"/>
    <w:rsid w:val="2C28328D"/>
    <w:rsid w:val="2CD7678D"/>
    <w:rsid w:val="2D207F05"/>
    <w:rsid w:val="2ED8358E"/>
    <w:rsid w:val="320745DB"/>
    <w:rsid w:val="34273C24"/>
    <w:rsid w:val="345F2886"/>
    <w:rsid w:val="36042403"/>
    <w:rsid w:val="362B6145"/>
    <w:rsid w:val="374E3D64"/>
    <w:rsid w:val="3AC73044"/>
    <w:rsid w:val="3B0C3047"/>
    <w:rsid w:val="3BCE2870"/>
    <w:rsid w:val="3F8A2DB2"/>
    <w:rsid w:val="3FA235AE"/>
    <w:rsid w:val="40CA1E14"/>
    <w:rsid w:val="41124C09"/>
    <w:rsid w:val="416E36D5"/>
    <w:rsid w:val="41944B38"/>
    <w:rsid w:val="47FE2D92"/>
    <w:rsid w:val="486C2565"/>
    <w:rsid w:val="4C404ACD"/>
    <w:rsid w:val="4D08250A"/>
    <w:rsid w:val="4DB33ED8"/>
    <w:rsid w:val="4E0C7886"/>
    <w:rsid w:val="4EEC24AE"/>
    <w:rsid w:val="51585343"/>
    <w:rsid w:val="51C325BE"/>
    <w:rsid w:val="52240B2C"/>
    <w:rsid w:val="54C06EB0"/>
    <w:rsid w:val="554329E2"/>
    <w:rsid w:val="56234E62"/>
    <w:rsid w:val="5D003DAD"/>
    <w:rsid w:val="5D2F0F86"/>
    <w:rsid w:val="5D494ED6"/>
    <w:rsid w:val="5DA53C16"/>
    <w:rsid w:val="5E5239DD"/>
    <w:rsid w:val="5F4E1CD3"/>
    <w:rsid w:val="5FEB5B22"/>
    <w:rsid w:val="60155738"/>
    <w:rsid w:val="6B042117"/>
    <w:rsid w:val="6CB116A0"/>
    <w:rsid w:val="6CF951E3"/>
    <w:rsid w:val="6F066E48"/>
    <w:rsid w:val="72663157"/>
    <w:rsid w:val="74207972"/>
    <w:rsid w:val="74FB6B55"/>
    <w:rsid w:val="7599701E"/>
    <w:rsid w:val="75BB2130"/>
    <w:rsid w:val="771D118D"/>
    <w:rsid w:val="786E30D1"/>
    <w:rsid w:val="79086EEB"/>
    <w:rsid w:val="7A986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numPr>
        <w:ilvl w:val="1"/>
        <w:numId w:val="1"/>
      </w:numPr>
      <w:spacing w:before="156" w:beforeLines="50" w:after="156" w:afterLines="50"/>
      <w:outlineLvl w:val="1"/>
    </w:pPr>
    <w:rPr>
      <w:rFonts w:ascii="Arial" w:hAnsi="Arial"/>
      <w:b/>
      <w:bCs/>
      <w:kern w:val="2"/>
      <w:sz w:val="30"/>
      <w:szCs w:val="32"/>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2021-05-14T02:02:00Z</dcterms:created>
  <dc:creator>hp</dc:creator>
  <cp:lastModifiedBy>Administrator</cp:lastModifiedBy>
  <dcterms:modified xsi:type="dcterms:W3CDTF">2021-06-30T03:53:47Z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ICV">
    <vt:lpwstr>C32C4D0D395D453E88392A5E39F69AD0</vt:lpwstr>
  </property>
</Properties>
</file>