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855" w:firstLineChars="800"/>
        <w:jc w:val="both"/>
        <w:rPr>
          <w:rFonts w:hint="default" w:ascii="仿宋" w:hAnsi="仿宋" w:eastAsia="仿宋" w:cs="仿宋"/>
          <w:b/>
          <w:bCs/>
          <w:sz w:val="48"/>
          <w:szCs w:val="48"/>
          <w:lang w:val="en-US" w:eastAsia="zh-CN"/>
        </w:rPr>
      </w:pPr>
      <w:r>
        <w:rPr>
          <w:rFonts w:hint="eastAsia" w:ascii="宋体" w:hAnsi="宋体" w:cs="宋体"/>
          <w:b/>
          <w:bCs/>
          <w:sz w:val="48"/>
          <w:szCs w:val="48"/>
          <w:lang w:val="en-US" w:eastAsia="zh-CN"/>
        </w:rPr>
        <w:t>交城县教育科技局行政执法事项清单</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831"/>
        <w:gridCol w:w="871"/>
        <w:gridCol w:w="1439"/>
        <w:gridCol w:w="1660"/>
        <w:gridCol w:w="2135"/>
        <w:gridCol w:w="2372"/>
        <w:gridCol w:w="1960"/>
        <w:gridCol w:w="1785"/>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1"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序号</w:t>
            </w:r>
          </w:p>
        </w:tc>
        <w:tc>
          <w:tcPr>
            <w:tcW w:w="831"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事项类别</w:t>
            </w:r>
          </w:p>
        </w:tc>
        <w:tc>
          <w:tcPr>
            <w:tcW w:w="871" w:type="dxa"/>
            <w:vMerge w:val="restart"/>
            <w:noWrap w:val="0"/>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事项编码</w:t>
            </w:r>
          </w:p>
        </w:tc>
        <w:tc>
          <w:tcPr>
            <w:tcW w:w="3099" w:type="dxa"/>
            <w:gridSpan w:val="2"/>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权力清单</w:t>
            </w:r>
          </w:p>
        </w:tc>
        <w:tc>
          <w:tcPr>
            <w:tcW w:w="8252" w:type="dxa"/>
            <w:gridSpan w:val="4"/>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责任清单</w:t>
            </w:r>
          </w:p>
        </w:tc>
        <w:tc>
          <w:tcPr>
            <w:tcW w:w="702" w:type="dxa"/>
            <w:vMerge w:val="restart"/>
            <w:noWrap w:val="0"/>
            <w:vAlign w:val="center"/>
          </w:tcPr>
          <w:p>
            <w:pPr>
              <w:jc w:val="center"/>
              <w:rPr>
                <w:rFonts w:hint="eastAsia" w:ascii="仿宋" w:hAnsi="仿宋" w:eastAsia="仿宋" w:cs="仿宋"/>
                <w:b/>
                <w:bCs/>
                <w:sz w:val="28"/>
                <w:szCs w:val="28"/>
                <w:vertAlign w:val="baseline"/>
              </w:rPr>
            </w:pPr>
            <w:r>
              <w:rPr>
                <w:rFonts w:hint="eastAsia" w:ascii="黑体" w:hAnsi="黑体" w:eastAsia="黑体" w:cs="黑体"/>
                <w:b w:val="0"/>
                <w:bCs w:val="0"/>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1" w:type="dxa"/>
            <w:vMerge w:val="continue"/>
            <w:noWrap w:val="0"/>
            <w:vAlign w:val="center"/>
          </w:tcPr>
          <w:p>
            <w:pPr>
              <w:jc w:val="center"/>
              <w:rPr>
                <w:rFonts w:hint="eastAsia" w:ascii="黑体" w:hAnsi="黑体" w:eastAsia="黑体" w:cs="黑体"/>
                <w:b w:val="0"/>
                <w:bCs w:val="0"/>
                <w:sz w:val="28"/>
                <w:szCs w:val="28"/>
                <w:vertAlign w:val="baseline"/>
              </w:rPr>
            </w:pPr>
          </w:p>
        </w:tc>
        <w:tc>
          <w:tcPr>
            <w:tcW w:w="831" w:type="dxa"/>
            <w:vMerge w:val="continue"/>
            <w:noWrap w:val="0"/>
            <w:vAlign w:val="center"/>
          </w:tcPr>
          <w:p>
            <w:pPr>
              <w:jc w:val="center"/>
              <w:rPr>
                <w:rFonts w:hint="eastAsia" w:ascii="黑体" w:hAnsi="黑体" w:eastAsia="黑体" w:cs="黑体"/>
                <w:b w:val="0"/>
                <w:bCs w:val="0"/>
                <w:sz w:val="28"/>
                <w:szCs w:val="28"/>
                <w:vertAlign w:val="baseline"/>
              </w:rPr>
            </w:pPr>
          </w:p>
        </w:tc>
        <w:tc>
          <w:tcPr>
            <w:tcW w:w="871" w:type="dxa"/>
            <w:vMerge w:val="continue"/>
            <w:noWrap w:val="0"/>
            <w:vAlign w:val="center"/>
          </w:tcPr>
          <w:p>
            <w:pPr>
              <w:jc w:val="center"/>
              <w:rPr>
                <w:rFonts w:hint="eastAsia" w:ascii="黑体" w:hAnsi="黑体" w:eastAsia="黑体" w:cs="黑体"/>
                <w:b w:val="0"/>
                <w:bCs w:val="0"/>
                <w:sz w:val="28"/>
                <w:szCs w:val="28"/>
                <w:vertAlign w:val="baseline"/>
              </w:rPr>
            </w:pPr>
          </w:p>
        </w:tc>
        <w:tc>
          <w:tcPr>
            <w:tcW w:w="1439"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事项名称</w:t>
            </w:r>
          </w:p>
        </w:tc>
        <w:tc>
          <w:tcPr>
            <w:tcW w:w="1660"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事项依据</w:t>
            </w:r>
          </w:p>
        </w:tc>
        <w:tc>
          <w:tcPr>
            <w:tcW w:w="2135" w:type="dxa"/>
            <w:noWrap w:val="0"/>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val="en-US" w:eastAsia="zh-CN"/>
              </w:rPr>
              <w:t>责任</w:t>
            </w:r>
            <w:r>
              <w:rPr>
                <w:rFonts w:hint="eastAsia" w:ascii="黑体" w:hAnsi="黑体" w:eastAsia="黑体" w:cs="黑体"/>
                <w:b w:val="0"/>
                <w:bCs w:val="0"/>
                <w:sz w:val="28"/>
                <w:szCs w:val="28"/>
                <w:vertAlign w:val="baseline"/>
              </w:rPr>
              <w:t>事项</w:t>
            </w:r>
            <w:r>
              <w:rPr>
                <w:rFonts w:hint="eastAsia" w:ascii="黑体" w:hAnsi="黑体" w:eastAsia="黑体" w:cs="黑体"/>
                <w:b w:val="0"/>
                <w:bCs w:val="0"/>
                <w:sz w:val="28"/>
                <w:szCs w:val="28"/>
                <w:vertAlign w:val="baseline"/>
                <w:lang w:val="en-US" w:eastAsia="zh-CN"/>
              </w:rPr>
              <w:t>内容</w:t>
            </w:r>
          </w:p>
        </w:tc>
        <w:tc>
          <w:tcPr>
            <w:tcW w:w="2372"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责任事项依据</w:t>
            </w:r>
          </w:p>
        </w:tc>
        <w:tc>
          <w:tcPr>
            <w:tcW w:w="1960"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追责情形</w:t>
            </w:r>
          </w:p>
        </w:tc>
        <w:tc>
          <w:tcPr>
            <w:tcW w:w="1785"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追责形式</w:t>
            </w:r>
          </w:p>
        </w:tc>
        <w:tc>
          <w:tcPr>
            <w:tcW w:w="702" w:type="dxa"/>
            <w:vMerge w:val="continue"/>
            <w:noWrap w:val="0"/>
            <w:vAlign w:val="center"/>
          </w:tcPr>
          <w:p>
            <w:pPr>
              <w:jc w:val="center"/>
              <w:rPr>
                <w:rFonts w:hint="eastAsia" w:ascii="仿宋" w:hAnsi="仿宋" w:eastAsia="仿宋" w:cs="仿宋"/>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7" w:hRule="atLeast"/>
        </w:trPr>
        <w:tc>
          <w:tcPr>
            <w:tcW w:w="481" w:type="dxa"/>
            <w:noWrap w:val="0"/>
            <w:vAlign w:val="center"/>
          </w:tcPr>
          <w:p>
            <w:pPr>
              <w:ind w:firstLine="387" w:firstLineChars="0"/>
              <w:jc w:val="center"/>
              <w:rPr>
                <w:rFonts w:hint="eastAsia" w:ascii="仿宋" w:hAnsi="仿宋" w:eastAsia="仿宋" w:cs="仿宋"/>
                <w:b/>
                <w:bCs/>
                <w:sz w:val="22"/>
                <w:szCs w:val="22"/>
                <w:lang w:val="en-US" w:eastAsia="zh-CN"/>
              </w:rPr>
            </w:pPr>
            <w:r>
              <w:rPr>
                <w:rFonts w:hint="eastAsia" w:ascii="仿宋" w:hAnsi="仿宋" w:eastAsia="仿宋" w:cs="仿宋"/>
                <w:b/>
                <w:bCs/>
                <w:sz w:val="22"/>
                <w:szCs w:val="22"/>
                <w:lang w:val="en-US" w:eastAsia="zh-CN"/>
              </w:rPr>
              <w:t>1</w:t>
            </w:r>
          </w:p>
        </w:tc>
        <w:tc>
          <w:tcPr>
            <w:tcW w:w="831" w:type="dxa"/>
            <w:noWrap w:val="0"/>
            <w:vAlign w:val="center"/>
          </w:tcPr>
          <w:p>
            <w:pPr>
              <w:spacing w:line="30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行政给付</w:t>
            </w:r>
          </w:p>
        </w:tc>
        <w:tc>
          <w:tcPr>
            <w:tcW w:w="871" w:type="dxa"/>
            <w:noWrap w:val="0"/>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仿宋_GB2312" w:eastAsia="仿宋_GB2312" w:cs="Times New Roman"/>
                <w:kern w:val="2"/>
                <w:sz w:val="18"/>
                <w:szCs w:val="18"/>
                <w:lang w:val="en-US" w:eastAsia="zh-CN" w:bidi="ar-SA"/>
              </w:rPr>
              <w:t>0500-G-00200-141122</w:t>
            </w:r>
          </w:p>
        </w:tc>
        <w:tc>
          <w:tcPr>
            <w:tcW w:w="1439" w:type="dxa"/>
            <w:noWrap w:val="0"/>
            <w:vAlign w:val="center"/>
          </w:tcPr>
          <w:p>
            <w:pPr>
              <w:spacing w:line="30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大学生生源地信用助学贷款发放</w:t>
            </w:r>
          </w:p>
        </w:tc>
        <w:tc>
          <w:tcPr>
            <w:tcW w:w="1660" w:type="dxa"/>
            <w:noWrap w:val="0"/>
            <w:vAlign w:val="center"/>
          </w:tcPr>
          <w:p>
            <w:p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cs="宋体"/>
                <w:sz w:val="18"/>
                <w:szCs w:val="18"/>
                <w:shd w:val="clear" w:color="auto" w:fill="FFFFFF"/>
              </w:rPr>
              <w:t>【法律】 《中华人民共和国教育法 》 ；         【法规】 （中华人民共和国主席令第45号）第42条；                    《社会救助暂行办法》 （国务院令第649号，自2014年5月1日起施行）第33条；            《国务院关于建立健全普通本科高校高等职业学校和中等职业学校家庭经济困难学生资助政策体系的意见》 （国发〔2007〕13号）。</w:t>
            </w:r>
          </w:p>
        </w:tc>
        <w:tc>
          <w:tcPr>
            <w:tcW w:w="2135" w:type="dxa"/>
            <w:noWrap w:val="0"/>
            <w:vAlign w:val="center"/>
          </w:tcPr>
          <w:p>
            <w:pPr>
              <w:numPr>
                <w:ilvl w:val="0"/>
                <w:numId w:val="2"/>
              </w:num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受理审查责任：在规定时间内，对符合条件的申请人及时受理；严格按照借贷款人申请条件和家庭经济困难标准进行审查，严格把关。               </w:t>
            </w:r>
          </w:p>
          <w:p>
            <w:p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cs="宋体"/>
                <w:sz w:val="18"/>
                <w:szCs w:val="18"/>
                <w:shd w:val="clear" w:color="auto" w:fill="FFFFFF"/>
              </w:rPr>
              <w:t>2.办理合同责任：审查贷款信息管理系统录入的数据与原始申请一致；对符合条件者，及时打印贷款合同和受理证明；严格按规定指导签订合同。                        3.复核责任：对符合条件的申请人准予签订合同、办理网上批准；严格按照规程认真审核相关信息；按时审核确认回执；按时汇总上报。                      4.其他法律法规规章规定应履行的责任。</w:t>
            </w:r>
          </w:p>
        </w:tc>
        <w:tc>
          <w:tcPr>
            <w:tcW w:w="2372" w:type="dxa"/>
            <w:noWrap w:val="0"/>
            <w:vAlign w:val="center"/>
          </w:tcPr>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【法律】《中华人民共和国公务员法》第五十三条至五十五条。                 【行政法规】《行政机关公务员处分条例（国务院第495令）；【规章】《事业单位工作人员处分暂行规定》（人社部、监察部18号令）                                                   </w:t>
            </w:r>
          </w:p>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【地方性法规】《山西省行政执法条例》第十三条、第四十至四十二条；</w:t>
            </w:r>
          </w:p>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【党内法规】《中国共产党纪律处分条例》；  </w:t>
            </w:r>
          </w:p>
          <w:p>
            <w:pPr>
              <w:jc w:val="center"/>
              <w:rPr>
                <w:rFonts w:hint="eastAsia" w:ascii="仿宋" w:hAnsi="仿宋" w:eastAsia="仿宋" w:cs="仿宋"/>
                <w:b/>
                <w:bCs/>
                <w:sz w:val="22"/>
                <w:szCs w:val="22"/>
              </w:rPr>
            </w:pPr>
            <w:r>
              <w:rPr>
                <w:rFonts w:hint="eastAsia" w:ascii="宋体" w:hAnsi="宋体" w:cs="宋体"/>
                <w:sz w:val="18"/>
                <w:szCs w:val="18"/>
                <w:shd w:val="clear" w:color="auto" w:fill="FFFFFF"/>
              </w:rPr>
              <w:t>【规范性文件】《山西省行政机关及其工作人员行政过错责任追究暂行办法 》；《吕梁市行政执法责任追究暂行办法》第八条、第二十三条、第二十四条、第二十五条。</w:t>
            </w:r>
          </w:p>
        </w:tc>
        <w:tc>
          <w:tcPr>
            <w:tcW w:w="1960" w:type="dxa"/>
            <w:noWrap w:val="0"/>
            <w:vAlign w:val="center"/>
          </w:tcPr>
          <w:p>
            <w:pPr>
              <w:jc w:val="center"/>
              <w:rPr>
                <w:rFonts w:hint="eastAsia" w:ascii="仿宋" w:hAnsi="仿宋" w:eastAsia="仿宋" w:cs="仿宋"/>
                <w:b/>
                <w:bCs/>
                <w:sz w:val="22"/>
                <w:szCs w:val="22"/>
              </w:rPr>
            </w:pPr>
            <w:r>
              <w:rPr>
                <w:rFonts w:hint="eastAsia" w:ascii="宋体" w:hAnsi="宋体" w:cs="宋体"/>
                <w:sz w:val="18"/>
                <w:szCs w:val="18"/>
              </w:rPr>
              <w:t>1.未严把资格审查关，因材料或证件原因造成不良后果者。                     2.未严格按要求和规定程序操作导致产生不良后果者。                                  3.其他违反法律法规规章规定的行为。</w:t>
            </w:r>
          </w:p>
        </w:tc>
        <w:tc>
          <w:tcPr>
            <w:tcW w:w="1785" w:type="dxa"/>
            <w:noWrap w:val="0"/>
            <w:vAlign w:val="center"/>
          </w:tcPr>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（一）行政处理</w:t>
            </w:r>
          </w:p>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1.诫勉谈话或者责令书面检讨；                  2.通报批评；                    3.暂扣行政执法证件；                             4.责令离岗培训；                     5.调离执法岗位；                             6.取消执法资格；          7.依法追偿部分或者全部行政赔偿费用。        </w:t>
            </w:r>
          </w:p>
          <w:p>
            <w:pPr>
              <w:jc w:val="center"/>
              <w:rPr>
                <w:rFonts w:hint="eastAsia" w:ascii="仿宋" w:hAnsi="仿宋" w:eastAsia="仿宋" w:cs="仿宋"/>
                <w:b/>
                <w:bCs/>
                <w:sz w:val="22"/>
                <w:szCs w:val="22"/>
              </w:rPr>
            </w:pPr>
            <w:r>
              <w:rPr>
                <w:rFonts w:hint="eastAsia" w:ascii="宋体" w:hAnsi="宋体" w:cs="宋体"/>
                <w:sz w:val="18"/>
                <w:szCs w:val="18"/>
                <w:shd w:val="clear" w:color="auto" w:fill="FFFFFF"/>
              </w:rPr>
              <w:t>（二)行政处分：警告、记过、记大过、降级、撤职、开除              （三）党纪处分：警告、严重警告、撤销党内职务、留党察看、开除党籍。              （四）其他法律责任。</w:t>
            </w:r>
          </w:p>
        </w:tc>
        <w:tc>
          <w:tcPr>
            <w:tcW w:w="702" w:type="dxa"/>
            <w:noWrap w:val="0"/>
            <w:vAlign w:val="center"/>
          </w:tcPr>
          <w:p>
            <w:pPr>
              <w:jc w:val="center"/>
              <w:rPr>
                <w:rFonts w:hint="eastAsia" w:ascii="仿宋" w:hAnsi="仿宋" w:eastAsia="仿宋" w:cs="仿宋"/>
                <w:b/>
                <w:bCs/>
                <w:sz w:val="22"/>
                <w:szCs w:val="22"/>
              </w:rPr>
            </w:pPr>
          </w:p>
        </w:tc>
      </w:tr>
    </w:tbl>
    <w:p>
      <w:pPr>
        <w:ind w:firstLine="1928" w:firstLineChars="400"/>
        <w:jc w:val="both"/>
        <w:rPr>
          <w:rFonts w:hint="eastAsia" w:ascii="仿宋" w:hAnsi="仿宋" w:eastAsia="仿宋" w:cs="仿宋"/>
          <w:b/>
          <w:bCs/>
          <w:sz w:val="36"/>
          <w:szCs w:val="36"/>
        </w:rPr>
      </w:pPr>
      <w:r>
        <w:rPr>
          <w:rFonts w:hint="eastAsia" w:ascii="宋体" w:hAnsi="宋体" w:cs="宋体"/>
          <w:b/>
          <w:bCs/>
          <w:sz w:val="48"/>
          <w:szCs w:val="48"/>
          <w:lang w:val="en-US" w:eastAsia="zh-CN"/>
        </w:rPr>
        <w:t>交城县教育科技局行政执法事项清单</w:t>
      </w:r>
    </w:p>
    <w:tbl>
      <w:tblPr>
        <w:tblStyle w:val="3"/>
        <w:tblW w:w="1497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068"/>
        <w:gridCol w:w="891"/>
        <w:gridCol w:w="715"/>
        <w:gridCol w:w="892"/>
        <w:gridCol w:w="4462"/>
        <w:gridCol w:w="1247"/>
        <w:gridCol w:w="1247"/>
        <w:gridCol w:w="1604"/>
        <w:gridCol w:w="1788"/>
        <w:gridCol w:w="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531" w:type="dxa"/>
            <w:vMerge w:val="restart"/>
            <w:noWrap w:val="0"/>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序号</w:t>
            </w:r>
          </w:p>
        </w:tc>
        <w:tc>
          <w:tcPr>
            <w:tcW w:w="8028" w:type="dxa"/>
            <w:gridSpan w:val="5"/>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权力清单</w:t>
            </w:r>
          </w:p>
        </w:tc>
        <w:tc>
          <w:tcPr>
            <w:tcW w:w="5886" w:type="dxa"/>
            <w:gridSpan w:val="4"/>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责任清单</w:t>
            </w:r>
          </w:p>
        </w:tc>
        <w:tc>
          <w:tcPr>
            <w:tcW w:w="533" w:type="dxa"/>
            <w:vMerge w:val="restart"/>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exact"/>
        </w:trPr>
        <w:tc>
          <w:tcPr>
            <w:tcW w:w="531" w:type="dxa"/>
            <w:vMerge w:val="continue"/>
            <w:noWrap w:val="0"/>
            <w:vAlign w:val="center"/>
          </w:tcPr>
          <w:p>
            <w:pPr>
              <w:jc w:val="center"/>
              <w:rPr>
                <w:rFonts w:ascii="宋体" w:hAnsi="宋体" w:cs="宋体"/>
                <w:b/>
                <w:bCs/>
                <w:kern w:val="0"/>
                <w:sz w:val="18"/>
                <w:szCs w:val="18"/>
              </w:rPr>
            </w:pPr>
          </w:p>
        </w:tc>
        <w:tc>
          <w:tcPr>
            <w:tcW w:w="1068" w:type="dxa"/>
            <w:vMerge w:val="restart"/>
            <w:noWrap w:val="0"/>
            <w:vAlign w:val="center"/>
          </w:tcPr>
          <w:p>
            <w:pPr>
              <w:jc w:val="center"/>
              <w:rPr>
                <w:rFonts w:hint="eastAsia"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事项</w:t>
            </w:r>
          </w:p>
          <w:p>
            <w:pPr>
              <w:jc w:val="center"/>
              <w:rPr>
                <w:rFonts w:ascii="宋体" w:hAnsi="宋体" w:cs="宋体"/>
                <w:b/>
                <w:bCs/>
                <w:kern w:val="0"/>
                <w:sz w:val="18"/>
                <w:szCs w:val="18"/>
              </w:rPr>
            </w:pPr>
            <w:r>
              <w:rPr>
                <w:rFonts w:hint="eastAsia" w:ascii="宋体" w:hAnsi="宋体" w:cs="宋体"/>
                <w:b/>
                <w:bCs/>
                <w:kern w:val="0"/>
                <w:sz w:val="18"/>
                <w:szCs w:val="18"/>
              </w:rPr>
              <w:t>类别</w:t>
            </w:r>
          </w:p>
        </w:tc>
        <w:tc>
          <w:tcPr>
            <w:tcW w:w="891" w:type="dxa"/>
            <w:vMerge w:val="restart"/>
            <w:noWrap w:val="0"/>
            <w:vAlign w:val="center"/>
          </w:tcPr>
          <w:p>
            <w:pPr>
              <w:jc w:val="center"/>
              <w:rPr>
                <w:rFonts w:hint="eastAsia"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事项</w:t>
            </w:r>
          </w:p>
          <w:p>
            <w:pPr>
              <w:jc w:val="center"/>
              <w:rPr>
                <w:rFonts w:ascii="宋体" w:hAnsi="宋体" w:cs="宋体"/>
                <w:b/>
                <w:bCs/>
                <w:kern w:val="0"/>
                <w:sz w:val="18"/>
                <w:szCs w:val="18"/>
              </w:rPr>
            </w:pPr>
            <w:r>
              <w:rPr>
                <w:rFonts w:hint="eastAsia" w:ascii="宋体" w:hAnsi="宋体" w:cs="宋体"/>
                <w:b/>
                <w:bCs/>
                <w:kern w:val="0"/>
                <w:sz w:val="18"/>
                <w:szCs w:val="18"/>
              </w:rPr>
              <w:t>编码</w:t>
            </w:r>
          </w:p>
        </w:tc>
        <w:tc>
          <w:tcPr>
            <w:tcW w:w="1607" w:type="dxa"/>
            <w:gridSpan w:val="2"/>
            <w:noWrap w:val="0"/>
            <w:vAlign w:val="center"/>
          </w:tcPr>
          <w:p>
            <w:pPr>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事项名称</w:t>
            </w:r>
          </w:p>
        </w:tc>
        <w:tc>
          <w:tcPr>
            <w:tcW w:w="4462" w:type="dxa"/>
            <w:vMerge w:val="restart"/>
            <w:noWrap w:val="0"/>
            <w:vAlign w:val="center"/>
          </w:tcPr>
          <w:p>
            <w:pPr>
              <w:jc w:val="center"/>
              <w:rPr>
                <w:rFonts w:ascii="宋体" w:hAnsi="宋体" w:cs="宋体"/>
                <w:b/>
                <w:bCs/>
                <w:kern w:val="0"/>
                <w:sz w:val="18"/>
                <w:szCs w:val="18"/>
              </w:rPr>
            </w:pPr>
            <w:r>
              <w:rPr>
                <w:rFonts w:hint="eastAsia" w:ascii="宋体" w:hAnsi="宋体" w:cs="宋体"/>
                <w:b/>
                <w:bCs/>
                <w:kern w:val="0"/>
                <w:sz w:val="18"/>
                <w:szCs w:val="18"/>
                <w:lang w:val="en-US" w:eastAsia="zh-CN"/>
              </w:rPr>
              <w:t>事项</w:t>
            </w:r>
            <w:r>
              <w:rPr>
                <w:rFonts w:hint="eastAsia" w:ascii="宋体" w:hAnsi="宋体" w:cs="宋体"/>
                <w:b/>
                <w:bCs/>
                <w:kern w:val="0"/>
                <w:sz w:val="18"/>
                <w:szCs w:val="18"/>
              </w:rPr>
              <w:t>依据</w:t>
            </w:r>
          </w:p>
        </w:tc>
        <w:tc>
          <w:tcPr>
            <w:tcW w:w="1247" w:type="dxa"/>
            <w:vMerge w:val="restart"/>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责任事项</w:t>
            </w:r>
          </w:p>
        </w:tc>
        <w:tc>
          <w:tcPr>
            <w:tcW w:w="1247" w:type="dxa"/>
            <w:vMerge w:val="restart"/>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追责情形</w:t>
            </w:r>
          </w:p>
        </w:tc>
        <w:tc>
          <w:tcPr>
            <w:tcW w:w="1604" w:type="dxa"/>
            <w:vMerge w:val="restart"/>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追责依据</w:t>
            </w:r>
          </w:p>
        </w:tc>
        <w:tc>
          <w:tcPr>
            <w:tcW w:w="1788" w:type="dxa"/>
            <w:vMerge w:val="restart"/>
            <w:noWrap w:val="0"/>
            <w:vAlign w:val="center"/>
          </w:tcPr>
          <w:p>
            <w:pPr>
              <w:jc w:val="center"/>
              <w:rPr>
                <w:rFonts w:ascii="宋体" w:hAnsi="宋体" w:cs="宋体"/>
                <w:b/>
                <w:bCs/>
                <w:kern w:val="0"/>
                <w:sz w:val="18"/>
                <w:szCs w:val="18"/>
              </w:rPr>
            </w:pPr>
            <w:r>
              <w:rPr>
                <w:rFonts w:hint="eastAsia" w:ascii="宋体" w:hAnsi="宋体" w:cs="宋体"/>
                <w:b/>
                <w:bCs/>
                <w:kern w:val="0"/>
                <w:sz w:val="18"/>
                <w:szCs w:val="18"/>
              </w:rPr>
              <w:t>追责形式</w:t>
            </w:r>
          </w:p>
        </w:tc>
        <w:tc>
          <w:tcPr>
            <w:tcW w:w="533" w:type="dxa"/>
            <w:vMerge w:val="continue"/>
            <w:noWrap w:val="0"/>
            <w:vAlign w:val="center"/>
          </w:tcPr>
          <w:p>
            <w:pPr>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531" w:type="dxa"/>
            <w:vMerge w:val="continue"/>
            <w:noWrap w:val="0"/>
            <w:vAlign w:val="center"/>
          </w:tcPr>
          <w:p>
            <w:pPr>
              <w:spacing w:line="540" w:lineRule="exact"/>
              <w:jc w:val="center"/>
              <w:rPr>
                <w:rFonts w:ascii="宋体" w:hAnsi="宋体" w:cs="宋体"/>
                <w:kern w:val="0"/>
                <w:sz w:val="18"/>
                <w:szCs w:val="18"/>
              </w:rPr>
            </w:pPr>
          </w:p>
        </w:tc>
        <w:tc>
          <w:tcPr>
            <w:tcW w:w="1068" w:type="dxa"/>
            <w:vMerge w:val="continue"/>
            <w:noWrap w:val="0"/>
            <w:vAlign w:val="center"/>
          </w:tcPr>
          <w:p>
            <w:pPr>
              <w:spacing w:line="540" w:lineRule="exact"/>
              <w:jc w:val="center"/>
              <w:rPr>
                <w:rFonts w:ascii="宋体" w:hAnsi="宋体" w:cs="宋体"/>
                <w:kern w:val="0"/>
                <w:sz w:val="18"/>
                <w:szCs w:val="18"/>
              </w:rPr>
            </w:pPr>
          </w:p>
        </w:tc>
        <w:tc>
          <w:tcPr>
            <w:tcW w:w="891" w:type="dxa"/>
            <w:vMerge w:val="continue"/>
            <w:noWrap w:val="0"/>
            <w:vAlign w:val="center"/>
          </w:tcPr>
          <w:p>
            <w:pPr>
              <w:spacing w:line="540" w:lineRule="exact"/>
              <w:jc w:val="center"/>
              <w:rPr>
                <w:rFonts w:ascii="宋体" w:hAnsi="宋体" w:cs="宋体"/>
                <w:kern w:val="0"/>
                <w:sz w:val="18"/>
                <w:szCs w:val="18"/>
              </w:rPr>
            </w:pPr>
          </w:p>
        </w:tc>
        <w:tc>
          <w:tcPr>
            <w:tcW w:w="715" w:type="dxa"/>
            <w:noWrap w:val="0"/>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项目</w:t>
            </w:r>
          </w:p>
        </w:tc>
        <w:tc>
          <w:tcPr>
            <w:tcW w:w="892" w:type="dxa"/>
            <w:noWrap w:val="0"/>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子项</w:t>
            </w:r>
          </w:p>
        </w:tc>
        <w:tc>
          <w:tcPr>
            <w:tcW w:w="4462" w:type="dxa"/>
            <w:vMerge w:val="continue"/>
            <w:noWrap w:val="0"/>
            <w:vAlign w:val="center"/>
          </w:tcPr>
          <w:p>
            <w:pPr>
              <w:spacing w:line="540" w:lineRule="exact"/>
              <w:jc w:val="center"/>
              <w:rPr>
                <w:rFonts w:ascii="宋体" w:hAnsi="宋体" w:cs="宋体"/>
                <w:kern w:val="0"/>
                <w:sz w:val="18"/>
                <w:szCs w:val="18"/>
              </w:rPr>
            </w:pPr>
          </w:p>
        </w:tc>
        <w:tc>
          <w:tcPr>
            <w:tcW w:w="1247" w:type="dxa"/>
            <w:vMerge w:val="continue"/>
            <w:noWrap w:val="0"/>
            <w:vAlign w:val="center"/>
          </w:tcPr>
          <w:p>
            <w:pPr>
              <w:spacing w:line="540" w:lineRule="exact"/>
              <w:jc w:val="center"/>
              <w:rPr>
                <w:rFonts w:ascii="宋体" w:hAnsi="宋体" w:cs="宋体"/>
                <w:kern w:val="0"/>
                <w:sz w:val="18"/>
                <w:szCs w:val="18"/>
              </w:rPr>
            </w:pPr>
          </w:p>
        </w:tc>
        <w:tc>
          <w:tcPr>
            <w:tcW w:w="1247" w:type="dxa"/>
            <w:vMerge w:val="continue"/>
            <w:noWrap w:val="0"/>
            <w:vAlign w:val="center"/>
          </w:tcPr>
          <w:p>
            <w:pPr>
              <w:spacing w:line="540" w:lineRule="exact"/>
              <w:jc w:val="center"/>
              <w:rPr>
                <w:rFonts w:ascii="宋体" w:hAnsi="宋体" w:cs="宋体"/>
                <w:kern w:val="0"/>
                <w:sz w:val="18"/>
                <w:szCs w:val="18"/>
              </w:rPr>
            </w:pPr>
          </w:p>
        </w:tc>
        <w:tc>
          <w:tcPr>
            <w:tcW w:w="1604" w:type="dxa"/>
            <w:vMerge w:val="continue"/>
            <w:noWrap w:val="0"/>
            <w:vAlign w:val="center"/>
          </w:tcPr>
          <w:p>
            <w:pPr>
              <w:spacing w:line="540" w:lineRule="exact"/>
              <w:jc w:val="center"/>
              <w:rPr>
                <w:rFonts w:ascii="宋体" w:hAnsi="宋体" w:cs="宋体"/>
                <w:kern w:val="0"/>
                <w:sz w:val="18"/>
                <w:szCs w:val="18"/>
              </w:rPr>
            </w:pPr>
          </w:p>
        </w:tc>
        <w:tc>
          <w:tcPr>
            <w:tcW w:w="1788" w:type="dxa"/>
            <w:vMerge w:val="continue"/>
            <w:noWrap w:val="0"/>
            <w:vAlign w:val="center"/>
          </w:tcPr>
          <w:p>
            <w:pPr>
              <w:spacing w:line="540" w:lineRule="exact"/>
              <w:jc w:val="center"/>
              <w:rPr>
                <w:rFonts w:ascii="宋体" w:hAnsi="宋体" w:cs="宋体"/>
                <w:kern w:val="0"/>
                <w:sz w:val="18"/>
                <w:szCs w:val="18"/>
              </w:rPr>
            </w:pPr>
          </w:p>
        </w:tc>
        <w:tc>
          <w:tcPr>
            <w:tcW w:w="533" w:type="dxa"/>
            <w:vMerge w:val="continue"/>
            <w:noWrap w:val="0"/>
            <w:vAlign w:val="center"/>
          </w:tcPr>
          <w:p>
            <w:pPr>
              <w:spacing w:line="5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7" w:hRule="exact"/>
        </w:trPr>
        <w:tc>
          <w:tcPr>
            <w:tcW w:w="531" w:type="dxa"/>
            <w:vMerge w:val="restart"/>
            <w:noWrap w:val="0"/>
            <w:vAlign w:val="center"/>
          </w:tcPr>
          <w:p>
            <w:pPr>
              <w:spacing w:line="300" w:lineRule="exact"/>
              <w:jc w:val="center"/>
              <w:rPr>
                <w:rFonts w:hint="default" w:ascii="宋体" w:hAnsi="宋体" w:eastAsia="宋体" w:cs="宋体"/>
                <w:b/>
                <w:kern w:val="0"/>
                <w:sz w:val="18"/>
                <w:szCs w:val="18"/>
                <w:lang w:val="en-US" w:eastAsia="zh-CN"/>
              </w:rPr>
            </w:pPr>
            <w:r>
              <w:rPr>
                <w:rFonts w:hint="eastAsia" w:ascii="宋体" w:hAnsi="宋体" w:cs="宋体"/>
                <w:b/>
                <w:kern w:val="0"/>
                <w:sz w:val="18"/>
                <w:szCs w:val="18"/>
                <w:lang w:val="en-US" w:eastAsia="zh-CN"/>
              </w:rPr>
              <w:t>1</w:t>
            </w:r>
          </w:p>
        </w:tc>
        <w:tc>
          <w:tcPr>
            <w:tcW w:w="1068" w:type="dxa"/>
            <w:vMerge w:val="restart"/>
            <w:noWrap w:val="0"/>
            <w:vAlign w:val="center"/>
          </w:tcPr>
          <w:p>
            <w:pPr>
              <w:spacing w:line="300" w:lineRule="exact"/>
              <w:jc w:val="center"/>
              <w:rPr>
                <w:rFonts w:hint="eastAsia" w:ascii="宋体" w:hAnsi="宋体" w:cs="宋体"/>
                <w:kern w:val="0"/>
                <w:sz w:val="18"/>
                <w:szCs w:val="18"/>
              </w:rPr>
            </w:pPr>
            <w:r>
              <w:rPr>
                <w:rFonts w:hint="eastAsia" w:ascii="宋体" w:hAnsi="宋体" w:cs="宋体"/>
                <w:kern w:val="0"/>
                <w:sz w:val="18"/>
                <w:szCs w:val="18"/>
              </w:rPr>
              <w:t>行政给付</w:t>
            </w:r>
          </w:p>
        </w:tc>
        <w:tc>
          <w:tcPr>
            <w:tcW w:w="891" w:type="dxa"/>
            <w:vMerge w:val="restart"/>
            <w:noWrap w:val="0"/>
            <w:vAlign w:val="center"/>
          </w:tcPr>
          <w:p>
            <w:pPr>
              <w:jc w:val="both"/>
              <w:rPr>
                <w:rFonts w:hint="eastAsia" w:ascii="宋体" w:hAnsi="宋体" w:cs="宋体"/>
                <w:sz w:val="18"/>
                <w:szCs w:val="18"/>
              </w:rPr>
            </w:pPr>
            <w:r>
              <w:rPr>
                <w:rFonts w:hint="eastAsia" w:ascii="仿宋_GB2312" w:eastAsia="仿宋_GB2312" w:cs="Times New Roman"/>
                <w:kern w:val="2"/>
                <w:sz w:val="18"/>
                <w:szCs w:val="18"/>
                <w:lang w:val="en-US" w:eastAsia="zh-CN" w:bidi="ar-SA"/>
              </w:rPr>
              <w:t>0500-G-00100-141122</w:t>
            </w:r>
          </w:p>
        </w:tc>
        <w:tc>
          <w:tcPr>
            <w:tcW w:w="715" w:type="dxa"/>
            <w:vMerge w:val="restart"/>
            <w:noWrap w:val="0"/>
            <w:vAlign w:val="center"/>
          </w:tcPr>
          <w:p>
            <w:pPr>
              <w:jc w:val="center"/>
              <w:rPr>
                <w:rFonts w:hint="eastAsia" w:ascii="宋体" w:hAnsi="宋体" w:cs="宋体"/>
                <w:kern w:val="0"/>
                <w:sz w:val="18"/>
                <w:szCs w:val="18"/>
              </w:rPr>
            </w:pPr>
            <w:r>
              <w:rPr>
                <w:rFonts w:hint="eastAsia" w:ascii="宋体" w:hAnsi="宋体" w:cs="宋体"/>
                <w:kern w:val="0"/>
                <w:sz w:val="18"/>
                <w:szCs w:val="18"/>
              </w:rPr>
              <w:t>各学段学生资助</w:t>
            </w:r>
          </w:p>
        </w:tc>
        <w:tc>
          <w:tcPr>
            <w:tcW w:w="892" w:type="dxa"/>
            <w:noWrap w:val="0"/>
            <w:vAlign w:val="center"/>
          </w:tcPr>
          <w:p>
            <w:pPr>
              <w:spacing w:line="260" w:lineRule="exact"/>
              <w:jc w:val="center"/>
              <w:rPr>
                <w:rFonts w:hint="eastAsia" w:ascii="宋体" w:hAnsi="宋体" w:cs="宋体"/>
                <w:kern w:val="0"/>
                <w:sz w:val="18"/>
                <w:szCs w:val="18"/>
              </w:rPr>
            </w:pPr>
            <w:r>
              <w:rPr>
                <w:rFonts w:hint="eastAsia" w:ascii="宋体" w:hAnsi="宋体" w:cs="宋体"/>
                <w:kern w:val="0"/>
                <w:sz w:val="18"/>
                <w:szCs w:val="18"/>
              </w:rPr>
              <w:t>中等职业学校国家助学金给付</w:t>
            </w:r>
          </w:p>
        </w:tc>
        <w:tc>
          <w:tcPr>
            <w:tcW w:w="4462" w:type="dxa"/>
            <w:noWrap w:val="0"/>
            <w:vAlign w:val="center"/>
          </w:tcPr>
          <w:p>
            <w:pPr>
              <w:spacing w:line="22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【法律】《中华人民共和国教育法 》第二十八条；【法规】《社会救助暂行办法》（国务院令第649号）；【规范性文件】财政部、教育部、人力资源社会保障部关于印发《中等职业学校国家助学金管理办法》的通知（财教〔2013〕110号）；财政部、国家发展改革委、教育部、人力资源社会保障部《关于扩大中等职业教育免学费政策范围进一步完善国家助学金制度的意见》（财教〔2012〕376号）；《国务院关于建立健全普通本科高校高等职业学校和中等职业学校家庭经济困难学生资助政策体系的意见》（国发〔2007〕13号）；财政部、教育部《关于完善中等职业教育贫困家庭学生资助体系的若干意见》（财教〔2006〕74号</w:t>
            </w:r>
          </w:p>
        </w:tc>
        <w:tc>
          <w:tcPr>
            <w:tcW w:w="1247" w:type="dxa"/>
            <w:vMerge w:val="restart"/>
            <w:noWrap w:val="0"/>
            <w:vAlign w:val="center"/>
          </w:tcPr>
          <w:p>
            <w:pPr>
              <w:spacing w:line="26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1.受理评审责任：公开奖助资金文件和方案；按规定受理符合资助条件人的申请；严格把关，按照规定审查；公开公正评审；公示评审结果。                   2.复核责任：严格按照文件规定的条件、指标、程序审批；及时汇总上报。                    3.资金发放责任：按照规定时间把奖资助金拨付到受助人（或监护人）银行储蓄卡或手中。                                          4.其他法律法规规章规定应履行的责任。</w:t>
            </w:r>
          </w:p>
        </w:tc>
        <w:tc>
          <w:tcPr>
            <w:tcW w:w="1247" w:type="dxa"/>
            <w:vMerge w:val="restart"/>
            <w:noWrap w:val="0"/>
            <w:vAlign w:val="center"/>
          </w:tcPr>
          <w:p>
            <w:pPr>
              <w:spacing w:line="260" w:lineRule="exact"/>
              <w:jc w:val="left"/>
              <w:rPr>
                <w:rFonts w:hint="eastAsia" w:ascii="宋体" w:hAnsi="宋体" w:cs="宋体"/>
                <w:sz w:val="18"/>
                <w:szCs w:val="18"/>
              </w:rPr>
            </w:pPr>
            <w:r>
              <w:rPr>
                <w:rFonts w:hint="eastAsia" w:ascii="宋体" w:hAnsi="宋体" w:cs="宋体"/>
                <w:sz w:val="18"/>
                <w:szCs w:val="18"/>
              </w:rPr>
              <w:t>1.未按照公开、公平、公正的原则，认真评审，造成不良后果者。               2.未严格按照文件规定的条件、指标、程序审批。           3.未按照规定时间把奖资助金拨付到受助人（或监护人）银行储蓄卡或手中。                              4.挤占挪用资金、弄虚作假套取奖助资金等行为。              5.其他违反法律法规规章规定的行为。</w:t>
            </w:r>
          </w:p>
        </w:tc>
        <w:tc>
          <w:tcPr>
            <w:tcW w:w="1604" w:type="dxa"/>
            <w:vMerge w:val="restart"/>
            <w:noWrap w:val="0"/>
            <w:vAlign w:val="center"/>
          </w:tcPr>
          <w:p>
            <w:pPr>
              <w:spacing w:line="240" w:lineRule="exact"/>
              <w:jc w:val="left"/>
              <w:rPr>
                <w:rFonts w:hint="eastAsia" w:ascii="宋体" w:hAnsi="宋体" w:cs="宋体"/>
                <w:kern w:val="0"/>
                <w:sz w:val="18"/>
                <w:szCs w:val="18"/>
              </w:rPr>
            </w:pPr>
            <w:r>
              <w:rPr>
                <w:rFonts w:hint="eastAsia" w:ascii="宋体" w:hAnsi="宋体" w:cs="宋体"/>
                <w:kern w:val="0"/>
                <w:sz w:val="18"/>
                <w:szCs w:val="18"/>
              </w:rPr>
              <w:t>【法律】《中华人民共和国公务员法》第五十三条至五十五条。                 【行政法规】《行政机关公务员处分条例（国务院第495令）；</w:t>
            </w:r>
            <w:r>
              <w:rPr>
                <w:rFonts w:hint="eastAsia" w:ascii="宋体" w:hAnsi="宋体" w:cs="宋体"/>
                <w:kern w:val="0"/>
                <w:sz w:val="18"/>
                <w:szCs w:val="18"/>
                <w:shd w:val="clear" w:color="auto" w:fill="FFFFFF"/>
              </w:rPr>
              <w:t xml:space="preserve">【规章】《事业单位工作人员处分暂行规定》（人社部、监察部18号令）  </w:t>
            </w:r>
            <w:r>
              <w:rPr>
                <w:rFonts w:hint="eastAsia" w:ascii="宋体" w:hAnsi="宋体" w:cs="宋体"/>
                <w:kern w:val="0"/>
                <w:sz w:val="18"/>
                <w:szCs w:val="18"/>
              </w:rPr>
              <w:t xml:space="preserve">                                                 </w:t>
            </w:r>
          </w:p>
          <w:p>
            <w:pPr>
              <w:spacing w:line="240" w:lineRule="exact"/>
              <w:jc w:val="left"/>
              <w:rPr>
                <w:rFonts w:hint="eastAsia" w:ascii="宋体" w:hAnsi="宋体" w:cs="宋体"/>
                <w:kern w:val="0"/>
                <w:sz w:val="18"/>
                <w:szCs w:val="18"/>
              </w:rPr>
            </w:pPr>
            <w:r>
              <w:rPr>
                <w:rFonts w:hint="eastAsia" w:ascii="宋体" w:hAnsi="宋体" w:cs="宋体"/>
                <w:kern w:val="0"/>
                <w:sz w:val="18"/>
                <w:szCs w:val="18"/>
              </w:rPr>
              <w:t>【地方性法规】《山西省行政执法条例》第十三条、第四十至四十二条；</w:t>
            </w:r>
          </w:p>
          <w:p>
            <w:pPr>
              <w:spacing w:line="240" w:lineRule="exact"/>
              <w:jc w:val="left"/>
              <w:rPr>
                <w:rFonts w:hint="eastAsia" w:ascii="宋体" w:hAnsi="宋体" w:cs="宋体"/>
                <w:kern w:val="0"/>
                <w:sz w:val="18"/>
                <w:szCs w:val="18"/>
              </w:rPr>
            </w:pPr>
            <w:r>
              <w:rPr>
                <w:rFonts w:hint="eastAsia" w:ascii="宋体" w:hAnsi="宋体" w:cs="宋体"/>
                <w:kern w:val="0"/>
                <w:sz w:val="18"/>
                <w:szCs w:val="18"/>
              </w:rPr>
              <w:t xml:space="preserve">【党内法规】《中国共产党纪律处分条例》；  </w:t>
            </w:r>
          </w:p>
          <w:p>
            <w:pPr>
              <w:spacing w:line="240" w:lineRule="exact"/>
              <w:jc w:val="left"/>
              <w:rPr>
                <w:rFonts w:hint="eastAsia" w:ascii="宋体" w:hAnsi="宋体" w:cs="宋体"/>
                <w:sz w:val="18"/>
                <w:szCs w:val="18"/>
                <w:shd w:val="clear" w:color="auto" w:fill="FFFFFF"/>
              </w:rPr>
            </w:pPr>
            <w:r>
              <w:rPr>
                <w:rFonts w:hint="eastAsia" w:ascii="宋体" w:hAnsi="宋体" w:cs="宋体"/>
                <w:kern w:val="0"/>
                <w:sz w:val="18"/>
                <w:szCs w:val="18"/>
              </w:rPr>
              <w:t>【规范性文件】《山西省行政机关及其工作人员行政过错责任追究暂行办法 》；《吕梁市行政执法责任追究暂行办法》第八条、第二十三条、第二十四条、第二十五条。</w:t>
            </w:r>
          </w:p>
        </w:tc>
        <w:tc>
          <w:tcPr>
            <w:tcW w:w="1788" w:type="dxa"/>
            <w:vMerge w:val="restart"/>
            <w:noWrap w:val="0"/>
            <w:vAlign w:val="center"/>
          </w:tcPr>
          <w:p>
            <w:pPr>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（一）行政处理</w:t>
            </w:r>
          </w:p>
          <w:p>
            <w:pPr>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1.诫勉谈话或者责令书面检讨；                  2.通报批评；                    3.暂扣行政执法证件；                             4.责令离岗培训；                     5.调离执法岗位；                             6.取消执法资格；          7.依法追偿部分或者全部行政赔偿费用。        </w:t>
            </w:r>
          </w:p>
          <w:p>
            <w:pPr>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（二)行政处分：警告、记过、记大过、降级、撤职、开除              （三）党纪处分：警告、严重警告、撤销党内职务、留党察看、开除党籍。              （四）其他法律责任。</w:t>
            </w:r>
          </w:p>
        </w:tc>
        <w:tc>
          <w:tcPr>
            <w:tcW w:w="533" w:type="dxa"/>
            <w:vMerge w:val="restart"/>
            <w:noWrap w:val="0"/>
            <w:vAlign w:val="center"/>
          </w:tcPr>
          <w:p>
            <w:pPr>
              <w:jc w:val="left"/>
              <w:rPr>
                <w:rFonts w:hint="eastAsia" w:ascii="宋体" w:hAnsi="宋体" w:cs="宋体"/>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trPr>
        <w:tc>
          <w:tcPr>
            <w:tcW w:w="531" w:type="dxa"/>
            <w:vMerge w:val="continue"/>
            <w:noWrap w:val="0"/>
            <w:vAlign w:val="center"/>
          </w:tcPr>
          <w:p>
            <w:pPr>
              <w:spacing w:line="540" w:lineRule="exact"/>
              <w:jc w:val="center"/>
              <w:rPr>
                <w:rFonts w:hint="eastAsia" w:ascii="宋体" w:hAnsi="宋体" w:cs="宋体"/>
                <w:kern w:val="0"/>
                <w:sz w:val="18"/>
                <w:szCs w:val="18"/>
              </w:rPr>
            </w:pPr>
          </w:p>
        </w:tc>
        <w:tc>
          <w:tcPr>
            <w:tcW w:w="1068" w:type="dxa"/>
            <w:vMerge w:val="continue"/>
            <w:noWrap w:val="0"/>
            <w:vAlign w:val="center"/>
          </w:tcPr>
          <w:p>
            <w:pPr>
              <w:spacing w:line="540" w:lineRule="exact"/>
              <w:jc w:val="center"/>
              <w:rPr>
                <w:rFonts w:hint="eastAsia" w:ascii="宋体" w:hAnsi="宋体" w:cs="宋体"/>
                <w:kern w:val="0"/>
                <w:sz w:val="18"/>
                <w:szCs w:val="18"/>
              </w:rPr>
            </w:pPr>
          </w:p>
        </w:tc>
        <w:tc>
          <w:tcPr>
            <w:tcW w:w="891" w:type="dxa"/>
            <w:vMerge w:val="continue"/>
            <w:noWrap w:val="0"/>
            <w:vAlign w:val="center"/>
          </w:tcPr>
          <w:p>
            <w:pPr>
              <w:jc w:val="center"/>
              <w:rPr>
                <w:rFonts w:hint="eastAsia" w:ascii="宋体" w:hAnsi="宋体"/>
                <w:sz w:val="18"/>
                <w:szCs w:val="18"/>
              </w:rPr>
            </w:pPr>
          </w:p>
        </w:tc>
        <w:tc>
          <w:tcPr>
            <w:tcW w:w="715" w:type="dxa"/>
            <w:vMerge w:val="continue"/>
            <w:noWrap w:val="0"/>
            <w:vAlign w:val="center"/>
          </w:tcPr>
          <w:p>
            <w:pPr>
              <w:jc w:val="center"/>
              <w:rPr>
                <w:rFonts w:hint="eastAsia" w:ascii="宋体" w:hAnsi="宋体" w:cs="宋体"/>
                <w:kern w:val="0"/>
                <w:sz w:val="18"/>
                <w:szCs w:val="18"/>
              </w:rPr>
            </w:pPr>
          </w:p>
        </w:tc>
        <w:tc>
          <w:tcPr>
            <w:tcW w:w="892" w:type="dxa"/>
            <w:noWrap w:val="0"/>
            <w:vAlign w:val="center"/>
          </w:tcPr>
          <w:p>
            <w:pPr>
              <w:spacing w:line="240" w:lineRule="exact"/>
              <w:jc w:val="center"/>
              <w:rPr>
                <w:rFonts w:hint="eastAsia" w:ascii="宋体" w:hAnsi="宋体" w:cs="宋体"/>
                <w:kern w:val="0"/>
                <w:sz w:val="18"/>
                <w:szCs w:val="18"/>
              </w:rPr>
            </w:pPr>
            <w:r>
              <w:rPr>
                <w:rFonts w:hint="eastAsia" w:ascii="宋体" w:hAnsi="宋体" w:cs="宋体"/>
                <w:kern w:val="0"/>
                <w:sz w:val="18"/>
                <w:szCs w:val="18"/>
              </w:rPr>
              <w:t>高中阶段国家助学金给付</w:t>
            </w:r>
          </w:p>
        </w:tc>
        <w:tc>
          <w:tcPr>
            <w:tcW w:w="4462" w:type="dxa"/>
            <w:noWrap w:val="0"/>
            <w:vAlign w:val="center"/>
          </w:tcPr>
          <w:p>
            <w:pPr>
              <w:spacing w:line="22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【法律】《中华人民共和国教育法 》 第二十八条；【法规】《社会救助暂行办法》（国务院令第649号）；【规范性文件】《财政部 教育部关于印发普通高中国家助学金管理暂行办法的通知》（财教〔2010〕461号）；《财政部 教育部关于建立普通高中家庭经济困难学生国家资助制度的意见》（财教〔2010〕356号）</w:t>
            </w:r>
          </w:p>
        </w:tc>
        <w:tc>
          <w:tcPr>
            <w:tcW w:w="1247" w:type="dxa"/>
            <w:vMerge w:val="continue"/>
            <w:noWrap w:val="0"/>
            <w:vAlign w:val="center"/>
          </w:tcPr>
          <w:p>
            <w:pPr>
              <w:jc w:val="left"/>
              <w:rPr>
                <w:rFonts w:hint="eastAsia" w:ascii="宋体" w:hAnsi="宋体" w:cs="宋体"/>
                <w:sz w:val="18"/>
                <w:szCs w:val="18"/>
                <w:shd w:val="clear" w:color="auto" w:fill="FFFFFF"/>
              </w:rPr>
            </w:pPr>
          </w:p>
        </w:tc>
        <w:tc>
          <w:tcPr>
            <w:tcW w:w="1247" w:type="dxa"/>
            <w:vMerge w:val="continue"/>
            <w:noWrap w:val="0"/>
            <w:vAlign w:val="center"/>
          </w:tcPr>
          <w:p>
            <w:pPr>
              <w:jc w:val="left"/>
              <w:rPr>
                <w:rFonts w:hint="eastAsia" w:ascii="宋体" w:hAnsi="宋体" w:cs="宋体"/>
                <w:sz w:val="18"/>
                <w:szCs w:val="18"/>
              </w:rPr>
            </w:pPr>
          </w:p>
        </w:tc>
        <w:tc>
          <w:tcPr>
            <w:tcW w:w="1604" w:type="dxa"/>
            <w:vMerge w:val="continue"/>
            <w:noWrap w:val="0"/>
            <w:vAlign w:val="center"/>
          </w:tcPr>
          <w:p>
            <w:pPr>
              <w:jc w:val="left"/>
              <w:rPr>
                <w:rFonts w:hint="eastAsia" w:ascii="宋体" w:hAnsi="宋体" w:cs="宋体"/>
                <w:sz w:val="18"/>
                <w:szCs w:val="18"/>
                <w:shd w:val="clear" w:color="auto" w:fill="FFFFFF"/>
              </w:rPr>
            </w:pPr>
          </w:p>
        </w:tc>
        <w:tc>
          <w:tcPr>
            <w:tcW w:w="1788" w:type="dxa"/>
            <w:vMerge w:val="continue"/>
            <w:noWrap w:val="0"/>
            <w:vAlign w:val="center"/>
          </w:tcPr>
          <w:p>
            <w:pPr>
              <w:jc w:val="left"/>
              <w:rPr>
                <w:rFonts w:hint="eastAsia" w:ascii="宋体" w:hAnsi="宋体" w:cs="宋体"/>
                <w:sz w:val="18"/>
                <w:szCs w:val="18"/>
                <w:shd w:val="clear" w:color="auto" w:fill="FFFFFF"/>
              </w:rPr>
            </w:pPr>
          </w:p>
        </w:tc>
        <w:tc>
          <w:tcPr>
            <w:tcW w:w="533" w:type="dxa"/>
            <w:vMerge w:val="continue"/>
            <w:noWrap w:val="0"/>
            <w:vAlign w:val="center"/>
          </w:tcPr>
          <w:p>
            <w:pPr>
              <w:jc w:val="left"/>
              <w:rPr>
                <w:rFonts w:hint="eastAsia" w:ascii="宋体" w:hAnsi="宋体" w:cs="宋体"/>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exact"/>
        </w:trPr>
        <w:tc>
          <w:tcPr>
            <w:tcW w:w="531" w:type="dxa"/>
            <w:vMerge w:val="continue"/>
            <w:noWrap w:val="0"/>
            <w:vAlign w:val="center"/>
          </w:tcPr>
          <w:p>
            <w:pPr>
              <w:spacing w:line="540" w:lineRule="exact"/>
              <w:jc w:val="center"/>
              <w:rPr>
                <w:rFonts w:hint="eastAsia" w:ascii="宋体" w:hAnsi="宋体" w:cs="宋体"/>
                <w:kern w:val="0"/>
                <w:sz w:val="18"/>
                <w:szCs w:val="18"/>
              </w:rPr>
            </w:pPr>
          </w:p>
        </w:tc>
        <w:tc>
          <w:tcPr>
            <w:tcW w:w="1068" w:type="dxa"/>
            <w:vMerge w:val="continue"/>
            <w:noWrap w:val="0"/>
            <w:vAlign w:val="center"/>
          </w:tcPr>
          <w:p>
            <w:pPr>
              <w:spacing w:line="540" w:lineRule="exact"/>
              <w:jc w:val="center"/>
              <w:rPr>
                <w:rFonts w:hint="eastAsia" w:ascii="宋体" w:hAnsi="宋体" w:cs="宋体"/>
                <w:kern w:val="0"/>
                <w:sz w:val="18"/>
                <w:szCs w:val="18"/>
              </w:rPr>
            </w:pPr>
          </w:p>
        </w:tc>
        <w:tc>
          <w:tcPr>
            <w:tcW w:w="891" w:type="dxa"/>
            <w:vMerge w:val="continue"/>
            <w:noWrap w:val="0"/>
            <w:vAlign w:val="center"/>
          </w:tcPr>
          <w:p>
            <w:pPr>
              <w:jc w:val="center"/>
              <w:rPr>
                <w:rFonts w:hint="eastAsia" w:ascii="宋体" w:hAnsi="宋体"/>
                <w:sz w:val="18"/>
                <w:szCs w:val="18"/>
              </w:rPr>
            </w:pPr>
          </w:p>
        </w:tc>
        <w:tc>
          <w:tcPr>
            <w:tcW w:w="715" w:type="dxa"/>
            <w:vMerge w:val="continue"/>
            <w:noWrap w:val="0"/>
            <w:vAlign w:val="center"/>
          </w:tcPr>
          <w:p>
            <w:pPr>
              <w:jc w:val="center"/>
              <w:rPr>
                <w:rFonts w:hint="eastAsia" w:ascii="宋体" w:hAnsi="宋体" w:cs="宋体"/>
                <w:kern w:val="0"/>
                <w:sz w:val="18"/>
                <w:szCs w:val="18"/>
              </w:rPr>
            </w:pPr>
          </w:p>
        </w:tc>
        <w:tc>
          <w:tcPr>
            <w:tcW w:w="892" w:type="dxa"/>
            <w:noWrap w:val="0"/>
            <w:vAlign w:val="center"/>
          </w:tcPr>
          <w:p>
            <w:pPr>
              <w:spacing w:line="240" w:lineRule="exact"/>
              <w:jc w:val="center"/>
              <w:rPr>
                <w:rFonts w:hint="eastAsia" w:ascii="宋体" w:hAnsi="宋体" w:cs="宋体"/>
                <w:kern w:val="0"/>
                <w:sz w:val="18"/>
                <w:szCs w:val="18"/>
              </w:rPr>
            </w:pPr>
            <w:r>
              <w:rPr>
                <w:rFonts w:hint="eastAsia" w:ascii="宋体" w:hAnsi="宋体" w:cs="宋体"/>
                <w:kern w:val="0"/>
                <w:sz w:val="18"/>
                <w:szCs w:val="18"/>
              </w:rPr>
              <w:t>农村义务教育阶段寄宿生生活费补助金给付</w:t>
            </w:r>
          </w:p>
        </w:tc>
        <w:tc>
          <w:tcPr>
            <w:tcW w:w="4462" w:type="dxa"/>
            <w:noWrap w:val="0"/>
            <w:vAlign w:val="center"/>
          </w:tcPr>
          <w:p>
            <w:pPr>
              <w:spacing w:line="22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法律】《中华人民共和国教育法》第二十八条；【法规】《社会救助暂行办法》（国务院令第649号）；【规范性文件】《国务院办公厅转发财政部关于加快国家扶贫开发工作重点县“两免一补”实施步伐有关工作意见的通知》（国办发〔2005〕7号）；《国务院关于进一步加强农村教育工作的决定》（国发〔2003〕19号）</w:t>
            </w:r>
          </w:p>
        </w:tc>
        <w:tc>
          <w:tcPr>
            <w:tcW w:w="1247" w:type="dxa"/>
            <w:vMerge w:val="continue"/>
            <w:noWrap w:val="0"/>
            <w:vAlign w:val="center"/>
          </w:tcPr>
          <w:p>
            <w:pPr>
              <w:jc w:val="left"/>
              <w:rPr>
                <w:rFonts w:hint="eastAsia" w:ascii="宋体" w:hAnsi="宋体" w:cs="宋体"/>
                <w:sz w:val="18"/>
                <w:szCs w:val="18"/>
                <w:shd w:val="clear" w:color="auto" w:fill="FFFFFF"/>
              </w:rPr>
            </w:pPr>
          </w:p>
        </w:tc>
        <w:tc>
          <w:tcPr>
            <w:tcW w:w="1247" w:type="dxa"/>
            <w:vMerge w:val="continue"/>
            <w:noWrap w:val="0"/>
            <w:vAlign w:val="center"/>
          </w:tcPr>
          <w:p>
            <w:pPr>
              <w:jc w:val="left"/>
              <w:rPr>
                <w:rFonts w:hint="eastAsia" w:ascii="宋体" w:hAnsi="宋体" w:cs="宋体"/>
                <w:sz w:val="18"/>
                <w:szCs w:val="18"/>
              </w:rPr>
            </w:pPr>
          </w:p>
        </w:tc>
        <w:tc>
          <w:tcPr>
            <w:tcW w:w="1604" w:type="dxa"/>
            <w:vMerge w:val="continue"/>
            <w:noWrap w:val="0"/>
            <w:vAlign w:val="center"/>
          </w:tcPr>
          <w:p>
            <w:pPr>
              <w:jc w:val="left"/>
              <w:rPr>
                <w:rFonts w:hint="eastAsia" w:ascii="宋体" w:hAnsi="宋体" w:cs="宋体"/>
                <w:sz w:val="18"/>
                <w:szCs w:val="18"/>
                <w:shd w:val="clear" w:color="auto" w:fill="FFFFFF"/>
              </w:rPr>
            </w:pPr>
          </w:p>
        </w:tc>
        <w:tc>
          <w:tcPr>
            <w:tcW w:w="1788" w:type="dxa"/>
            <w:vMerge w:val="continue"/>
            <w:noWrap w:val="0"/>
            <w:vAlign w:val="center"/>
          </w:tcPr>
          <w:p>
            <w:pPr>
              <w:jc w:val="left"/>
              <w:rPr>
                <w:rFonts w:hint="eastAsia" w:ascii="宋体" w:hAnsi="宋体" w:cs="宋体"/>
                <w:sz w:val="18"/>
                <w:szCs w:val="18"/>
                <w:shd w:val="clear" w:color="auto" w:fill="FFFFFF"/>
              </w:rPr>
            </w:pPr>
          </w:p>
        </w:tc>
        <w:tc>
          <w:tcPr>
            <w:tcW w:w="533" w:type="dxa"/>
            <w:vMerge w:val="continue"/>
            <w:noWrap w:val="0"/>
            <w:vAlign w:val="center"/>
          </w:tcPr>
          <w:p>
            <w:pPr>
              <w:jc w:val="left"/>
              <w:rPr>
                <w:rFonts w:hint="eastAsia" w:ascii="宋体" w:hAnsi="宋体" w:cs="宋体"/>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exact"/>
        </w:trPr>
        <w:tc>
          <w:tcPr>
            <w:tcW w:w="531" w:type="dxa"/>
            <w:vMerge w:val="continue"/>
            <w:noWrap w:val="0"/>
            <w:vAlign w:val="center"/>
          </w:tcPr>
          <w:p>
            <w:pPr>
              <w:spacing w:line="540" w:lineRule="exact"/>
              <w:jc w:val="center"/>
              <w:rPr>
                <w:rFonts w:hint="eastAsia" w:ascii="宋体" w:hAnsi="宋体" w:cs="宋体"/>
                <w:kern w:val="0"/>
                <w:sz w:val="18"/>
                <w:szCs w:val="18"/>
              </w:rPr>
            </w:pPr>
          </w:p>
        </w:tc>
        <w:tc>
          <w:tcPr>
            <w:tcW w:w="1068" w:type="dxa"/>
            <w:vMerge w:val="continue"/>
            <w:noWrap w:val="0"/>
            <w:vAlign w:val="center"/>
          </w:tcPr>
          <w:p>
            <w:pPr>
              <w:spacing w:line="540" w:lineRule="exact"/>
              <w:jc w:val="center"/>
              <w:rPr>
                <w:rFonts w:hint="eastAsia" w:ascii="宋体" w:hAnsi="宋体" w:cs="宋体"/>
                <w:kern w:val="0"/>
                <w:sz w:val="18"/>
                <w:szCs w:val="18"/>
              </w:rPr>
            </w:pPr>
          </w:p>
        </w:tc>
        <w:tc>
          <w:tcPr>
            <w:tcW w:w="891" w:type="dxa"/>
            <w:vMerge w:val="continue"/>
            <w:noWrap w:val="0"/>
            <w:vAlign w:val="center"/>
          </w:tcPr>
          <w:p>
            <w:pPr>
              <w:jc w:val="center"/>
              <w:rPr>
                <w:rFonts w:hint="eastAsia" w:ascii="宋体" w:hAnsi="宋体"/>
                <w:sz w:val="18"/>
                <w:szCs w:val="18"/>
              </w:rPr>
            </w:pPr>
          </w:p>
        </w:tc>
        <w:tc>
          <w:tcPr>
            <w:tcW w:w="715" w:type="dxa"/>
            <w:vMerge w:val="continue"/>
            <w:noWrap w:val="0"/>
            <w:vAlign w:val="center"/>
          </w:tcPr>
          <w:p>
            <w:pPr>
              <w:jc w:val="center"/>
              <w:rPr>
                <w:rFonts w:hint="eastAsia" w:ascii="宋体" w:hAnsi="宋体" w:cs="宋体"/>
                <w:kern w:val="0"/>
                <w:sz w:val="18"/>
                <w:szCs w:val="18"/>
              </w:rPr>
            </w:pPr>
          </w:p>
        </w:tc>
        <w:tc>
          <w:tcPr>
            <w:tcW w:w="892" w:type="dxa"/>
            <w:noWrap w:val="0"/>
            <w:vAlign w:val="center"/>
          </w:tcPr>
          <w:p>
            <w:pPr>
              <w:spacing w:line="240" w:lineRule="exact"/>
              <w:jc w:val="center"/>
              <w:rPr>
                <w:rFonts w:hint="eastAsia" w:ascii="宋体" w:hAnsi="宋体" w:cs="宋体"/>
                <w:kern w:val="0"/>
                <w:sz w:val="18"/>
                <w:szCs w:val="18"/>
              </w:rPr>
            </w:pPr>
            <w:r>
              <w:rPr>
                <w:rFonts w:hint="eastAsia" w:ascii="宋体" w:hAnsi="宋体" w:cs="宋体"/>
                <w:kern w:val="0"/>
                <w:sz w:val="18"/>
                <w:szCs w:val="18"/>
              </w:rPr>
              <w:t>学前教育幼儿资助金给付</w:t>
            </w:r>
          </w:p>
        </w:tc>
        <w:tc>
          <w:tcPr>
            <w:tcW w:w="4462" w:type="dxa"/>
            <w:noWrap w:val="0"/>
            <w:vAlign w:val="center"/>
          </w:tcPr>
          <w:p>
            <w:pPr>
              <w:spacing w:line="22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【法律】《中华人民共和国教育法 》 第二十八条；【规范性文件】《财政部、教育部关于建立学前教育资助制度的意见》（财教〔2011〕410号）；《国务院关于当前发展学前教育的若干意见》（国发〔2010〕41号）</w:t>
            </w:r>
          </w:p>
        </w:tc>
        <w:tc>
          <w:tcPr>
            <w:tcW w:w="1247" w:type="dxa"/>
            <w:vMerge w:val="continue"/>
            <w:noWrap w:val="0"/>
            <w:vAlign w:val="center"/>
          </w:tcPr>
          <w:p>
            <w:pPr>
              <w:jc w:val="left"/>
              <w:rPr>
                <w:rFonts w:hint="eastAsia" w:ascii="宋体" w:hAnsi="宋体" w:cs="宋体"/>
                <w:sz w:val="18"/>
                <w:szCs w:val="18"/>
                <w:shd w:val="clear" w:color="auto" w:fill="FFFFFF"/>
              </w:rPr>
            </w:pPr>
          </w:p>
        </w:tc>
        <w:tc>
          <w:tcPr>
            <w:tcW w:w="1247" w:type="dxa"/>
            <w:vMerge w:val="continue"/>
            <w:noWrap w:val="0"/>
            <w:vAlign w:val="center"/>
          </w:tcPr>
          <w:p>
            <w:pPr>
              <w:jc w:val="left"/>
              <w:rPr>
                <w:rFonts w:hint="eastAsia" w:ascii="宋体" w:hAnsi="宋体" w:cs="宋体"/>
                <w:sz w:val="18"/>
                <w:szCs w:val="18"/>
              </w:rPr>
            </w:pPr>
          </w:p>
        </w:tc>
        <w:tc>
          <w:tcPr>
            <w:tcW w:w="1604" w:type="dxa"/>
            <w:vMerge w:val="continue"/>
            <w:noWrap w:val="0"/>
            <w:vAlign w:val="center"/>
          </w:tcPr>
          <w:p>
            <w:pPr>
              <w:jc w:val="left"/>
              <w:rPr>
                <w:rFonts w:hint="eastAsia" w:ascii="宋体" w:hAnsi="宋体" w:cs="宋体"/>
                <w:sz w:val="18"/>
                <w:szCs w:val="18"/>
                <w:shd w:val="clear" w:color="auto" w:fill="FFFFFF"/>
              </w:rPr>
            </w:pPr>
          </w:p>
        </w:tc>
        <w:tc>
          <w:tcPr>
            <w:tcW w:w="1788" w:type="dxa"/>
            <w:vMerge w:val="continue"/>
            <w:noWrap w:val="0"/>
            <w:vAlign w:val="center"/>
          </w:tcPr>
          <w:p>
            <w:pPr>
              <w:jc w:val="left"/>
              <w:rPr>
                <w:rFonts w:hint="eastAsia" w:ascii="宋体" w:hAnsi="宋体" w:cs="宋体"/>
                <w:sz w:val="18"/>
                <w:szCs w:val="18"/>
                <w:shd w:val="clear" w:color="auto" w:fill="FFFFFF"/>
              </w:rPr>
            </w:pPr>
          </w:p>
        </w:tc>
        <w:tc>
          <w:tcPr>
            <w:tcW w:w="533" w:type="dxa"/>
            <w:vMerge w:val="continue"/>
            <w:noWrap w:val="0"/>
            <w:vAlign w:val="center"/>
          </w:tcPr>
          <w:p>
            <w:pPr>
              <w:jc w:val="left"/>
              <w:rPr>
                <w:rFonts w:hint="eastAsia" w:ascii="宋体" w:hAnsi="宋体" w:cs="宋体"/>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trPr>
        <w:tc>
          <w:tcPr>
            <w:tcW w:w="531" w:type="dxa"/>
            <w:vMerge w:val="continue"/>
            <w:noWrap w:val="0"/>
            <w:vAlign w:val="center"/>
          </w:tcPr>
          <w:p>
            <w:pPr>
              <w:spacing w:line="540" w:lineRule="exact"/>
              <w:jc w:val="center"/>
              <w:rPr>
                <w:rFonts w:hint="eastAsia" w:ascii="宋体" w:hAnsi="宋体" w:cs="宋体"/>
                <w:kern w:val="0"/>
                <w:sz w:val="18"/>
                <w:szCs w:val="18"/>
              </w:rPr>
            </w:pPr>
          </w:p>
        </w:tc>
        <w:tc>
          <w:tcPr>
            <w:tcW w:w="1068" w:type="dxa"/>
            <w:vMerge w:val="continue"/>
            <w:noWrap w:val="0"/>
            <w:vAlign w:val="center"/>
          </w:tcPr>
          <w:p>
            <w:pPr>
              <w:spacing w:line="540" w:lineRule="exact"/>
              <w:jc w:val="center"/>
              <w:rPr>
                <w:rFonts w:hint="eastAsia" w:ascii="宋体" w:hAnsi="宋体" w:cs="宋体"/>
                <w:kern w:val="0"/>
                <w:sz w:val="18"/>
                <w:szCs w:val="18"/>
              </w:rPr>
            </w:pPr>
          </w:p>
        </w:tc>
        <w:tc>
          <w:tcPr>
            <w:tcW w:w="891" w:type="dxa"/>
            <w:vMerge w:val="continue"/>
            <w:noWrap w:val="0"/>
            <w:vAlign w:val="center"/>
          </w:tcPr>
          <w:p>
            <w:pPr>
              <w:jc w:val="center"/>
              <w:rPr>
                <w:rFonts w:hint="eastAsia" w:ascii="宋体" w:hAnsi="宋体"/>
                <w:sz w:val="18"/>
                <w:szCs w:val="18"/>
              </w:rPr>
            </w:pPr>
          </w:p>
        </w:tc>
        <w:tc>
          <w:tcPr>
            <w:tcW w:w="715" w:type="dxa"/>
            <w:vMerge w:val="continue"/>
            <w:noWrap w:val="0"/>
            <w:vAlign w:val="center"/>
          </w:tcPr>
          <w:p>
            <w:pPr>
              <w:jc w:val="center"/>
              <w:rPr>
                <w:rFonts w:hint="eastAsia" w:ascii="宋体" w:hAnsi="宋体" w:cs="宋体"/>
                <w:kern w:val="0"/>
                <w:sz w:val="18"/>
                <w:szCs w:val="18"/>
              </w:rPr>
            </w:pPr>
          </w:p>
        </w:tc>
        <w:tc>
          <w:tcPr>
            <w:tcW w:w="892" w:type="dxa"/>
            <w:noWrap w:val="0"/>
            <w:vAlign w:val="center"/>
          </w:tcPr>
          <w:p>
            <w:pPr>
              <w:spacing w:line="240" w:lineRule="exact"/>
              <w:jc w:val="center"/>
              <w:rPr>
                <w:rFonts w:hint="eastAsia" w:ascii="宋体" w:hAnsi="宋体" w:cs="宋体"/>
                <w:kern w:val="0"/>
                <w:sz w:val="18"/>
                <w:szCs w:val="18"/>
              </w:rPr>
            </w:pPr>
            <w:r>
              <w:rPr>
                <w:rFonts w:hint="eastAsia" w:ascii="宋体" w:hAnsi="宋体" w:cs="宋体"/>
                <w:kern w:val="0"/>
                <w:sz w:val="18"/>
                <w:szCs w:val="18"/>
              </w:rPr>
              <w:t>其他资助给付</w:t>
            </w:r>
          </w:p>
        </w:tc>
        <w:tc>
          <w:tcPr>
            <w:tcW w:w="4462" w:type="dxa"/>
            <w:noWrap w:val="0"/>
            <w:vAlign w:val="center"/>
          </w:tcPr>
          <w:p>
            <w:pPr>
              <w:spacing w:line="22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【法律】《中华人民共和国教育法 》第二十八条；【法规】《社会救助暂行办法》（国务院令第649号）</w:t>
            </w:r>
          </w:p>
        </w:tc>
        <w:tc>
          <w:tcPr>
            <w:tcW w:w="1247" w:type="dxa"/>
            <w:vMerge w:val="continue"/>
            <w:noWrap w:val="0"/>
            <w:vAlign w:val="center"/>
          </w:tcPr>
          <w:p>
            <w:pPr>
              <w:jc w:val="left"/>
              <w:rPr>
                <w:rFonts w:hint="eastAsia" w:ascii="宋体" w:hAnsi="宋体" w:cs="宋体"/>
                <w:sz w:val="18"/>
                <w:szCs w:val="18"/>
                <w:shd w:val="clear" w:color="auto" w:fill="FFFFFF"/>
              </w:rPr>
            </w:pPr>
          </w:p>
        </w:tc>
        <w:tc>
          <w:tcPr>
            <w:tcW w:w="1247" w:type="dxa"/>
            <w:vMerge w:val="continue"/>
            <w:noWrap w:val="0"/>
            <w:vAlign w:val="center"/>
          </w:tcPr>
          <w:p>
            <w:pPr>
              <w:jc w:val="left"/>
              <w:rPr>
                <w:rFonts w:hint="eastAsia" w:ascii="宋体" w:hAnsi="宋体" w:cs="宋体"/>
                <w:sz w:val="18"/>
                <w:szCs w:val="18"/>
              </w:rPr>
            </w:pPr>
          </w:p>
        </w:tc>
        <w:tc>
          <w:tcPr>
            <w:tcW w:w="1604" w:type="dxa"/>
            <w:vMerge w:val="continue"/>
            <w:noWrap w:val="0"/>
            <w:vAlign w:val="center"/>
          </w:tcPr>
          <w:p>
            <w:pPr>
              <w:jc w:val="left"/>
              <w:rPr>
                <w:rFonts w:hint="eastAsia" w:ascii="宋体" w:hAnsi="宋体" w:cs="宋体"/>
                <w:sz w:val="18"/>
                <w:szCs w:val="18"/>
                <w:shd w:val="clear" w:color="auto" w:fill="FFFFFF"/>
              </w:rPr>
            </w:pPr>
          </w:p>
        </w:tc>
        <w:tc>
          <w:tcPr>
            <w:tcW w:w="1788" w:type="dxa"/>
            <w:vMerge w:val="continue"/>
            <w:noWrap w:val="0"/>
            <w:vAlign w:val="center"/>
          </w:tcPr>
          <w:p>
            <w:pPr>
              <w:jc w:val="left"/>
              <w:rPr>
                <w:rFonts w:hint="eastAsia" w:ascii="宋体" w:hAnsi="宋体" w:cs="宋体"/>
                <w:sz w:val="18"/>
                <w:szCs w:val="18"/>
                <w:shd w:val="clear" w:color="auto" w:fill="FFFFFF"/>
              </w:rPr>
            </w:pPr>
          </w:p>
        </w:tc>
        <w:tc>
          <w:tcPr>
            <w:tcW w:w="533" w:type="dxa"/>
            <w:vMerge w:val="continue"/>
            <w:noWrap w:val="0"/>
            <w:vAlign w:val="center"/>
          </w:tcPr>
          <w:p>
            <w:pPr>
              <w:jc w:val="left"/>
              <w:rPr>
                <w:rFonts w:hint="eastAsia" w:ascii="宋体" w:hAnsi="宋体" w:cs="宋体"/>
                <w:sz w:val="18"/>
                <w:szCs w:val="18"/>
                <w:shd w:val="clear" w:color="auto" w:fill="FFFFFF"/>
              </w:rPr>
            </w:pPr>
          </w:p>
        </w:tc>
      </w:tr>
    </w:tbl>
    <w:p>
      <w:pPr>
        <w:ind w:firstLine="3855" w:firstLineChars="800"/>
        <w:jc w:val="both"/>
        <w:rPr>
          <w:rFonts w:hint="eastAsia" w:ascii="仿宋" w:hAnsi="仿宋" w:eastAsia="仿宋" w:cs="仿宋"/>
          <w:b/>
          <w:bCs/>
          <w:sz w:val="48"/>
          <w:szCs w:val="48"/>
        </w:rPr>
      </w:pPr>
      <w:r>
        <w:rPr>
          <w:rFonts w:hint="eastAsia" w:ascii="宋体" w:hAnsi="宋体" w:cs="宋体"/>
          <w:b/>
          <w:bCs/>
          <w:sz w:val="48"/>
          <w:szCs w:val="48"/>
          <w:lang w:val="en-US" w:eastAsia="zh-CN"/>
        </w:rPr>
        <w:t>交城县教育科技局行政执法事项清单</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827"/>
        <w:gridCol w:w="867"/>
        <w:gridCol w:w="1432"/>
        <w:gridCol w:w="1650"/>
        <w:gridCol w:w="2124"/>
        <w:gridCol w:w="2359"/>
        <w:gridCol w:w="1950"/>
        <w:gridCol w:w="177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序号</w:t>
            </w:r>
          </w:p>
        </w:tc>
        <w:tc>
          <w:tcPr>
            <w:tcW w:w="827"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事项类别</w:t>
            </w:r>
          </w:p>
        </w:tc>
        <w:tc>
          <w:tcPr>
            <w:tcW w:w="867" w:type="dxa"/>
            <w:vMerge w:val="restart"/>
            <w:noWrap w:val="0"/>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事项编码</w:t>
            </w:r>
          </w:p>
        </w:tc>
        <w:tc>
          <w:tcPr>
            <w:tcW w:w="3082" w:type="dxa"/>
            <w:gridSpan w:val="2"/>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权力清单</w:t>
            </w:r>
          </w:p>
        </w:tc>
        <w:tc>
          <w:tcPr>
            <w:tcW w:w="8207" w:type="dxa"/>
            <w:gridSpan w:val="4"/>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责任清单</w:t>
            </w:r>
          </w:p>
        </w:tc>
        <w:tc>
          <w:tcPr>
            <w:tcW w:w="854" w:type="dxa"/>
            <w:vMerge w:val="restart"/>
            <w:noWrap w:val="0"/>
            <w:vAlign w:val="center"/>
          </w:tcPr>
          <w:p>
            <w:pPr>
              <w:jc w:val="center"/>
              <w:rPr>
                <w:rFonts w:hint="eastAsia" w:ascii="仿宋" w:hAnsi="仿宋" w:eastAsia="仿宋" w:cs="仿宋"/>
                <w:b/>
                <w:bCs/>
                <w:sz w:val="28"/>
                <w:szCs w:val="28"/>
                <w:vertAlign w:val="baseline"/>
              </w:rPr>
            </w:pPr>
            <w:r>
              <w:rPr>
                <w:rFonts w:hint="eastAsia" w:ascii="黑体" w:hAnsi="黑体" w:eastAsia="黑体" w:cs="黑体"/>
                <w:b w:val="0"/>
                <w:bCs w:val="0"/>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continue"/>
            <w:noWrap w:val="0"/>
            <w:vAlign w:val="center"/>
          </w:tcPr>
          <w:p>
            <w:pPr>
              <w:jc w:val="center"/>
              <w:rPr>
                <w:rFonts w:hint="eastAsia" w:ascii="黑体" w:hAnsi="黑体" w:eastAsia="黑体" w:cs="黑体"/>
                <w:b w:val="0"/>
                <w:bCs w:val="0"/>
                <w:sz w:val="28"/>
                <w:szCs w:val="28"/>
                <w:vertAlign w:val="baseline"/>
              </w:rPr>
            </w:pPr>
          </w:p>
        </w:tc>
        <w:tc>
          <w:tcPr>
            <w:tcW w:w="827" w:type="dxa"/>
            <w:vMerge w:val="continue"/>
            <w:noWrap w:val="0"/>
            <w:vAlign w:val="center"/>
          </w:tcPr>
          <w:p>
            <w:pPr>
              <w:jc w:val="center"/>
              <w:rPr>
                <w:rFonts w:hint="eastAsia" w:ascii="黑体" w:hAnsi="黑体" w:eastAsia="黑体" w:cs="黑体"/>
                <w:b w:val="0"/>
                <w:bCs w:val="0"/>
                <w:sz w:val="28"/>
                <w:szCs w:val="28"/>
                <w:vertAlign w:val="baseline"/>
              </w:rPr>
            </w:pPr>
          </w:p>
        </w:tc>
        <w:tc>
          <w:tcPr>
            <w:tcW w:w="867" w:type="dxa"/>
            <w:vMerge w:val="continue"/>
            <w:noWrap w:val="0"/>
            <w:vAlign w:val="center"/>
          </w:tcPr>
          <w:p>
            <w:pPr>
              <w:jc w:val="center"/>
              <w:rPr>
                <w:rFonts w:hint="eastAsia" w:ascii="黑体" w:hAnsi="黑体" w:eastAsia="黑体" w:cs="黑体"/>
                <w:b w:val="0"/>
                <w:bCs w:val="0"/>
                <w:sz w:val="28"/>
                <w:szCs w:val="28"/>
                <w:vertAlign w:val="baseline"/>
              </w:rPr>
            </w:pPr>
          </w:p>
        </w:tc>
        <w:tc>
          <w:tcPr>
            <w:tcW w:w="1432"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事项名称</w:t>
            </w:r>
          </w:p>
        </w:tc>
        <w:tc>
          <w:tcPr>
            <w:tcW w:w="1650"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事项依据</w:t>
            </w:r>
          </w:p>
        </w:tc>
        <w:tc>
          <w:tcPr>
            <w:tcW w:w="2124" w:type="dxa"/>
            <w:noWrap w:val="0"/>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val="en-US" w:eastAsia="zh-CN"/>
              </w:rPr>
              <w:t>责任</w:t>
            </w:r>
            <w:r>
              <w:rPr>
                <w:rFonts w:hint="eastAsia" w:ascii="黑体" w:hAnsi="黑体" w:eastAsia="黑体" w:cs="黑体"/>
                <w:b w:val="0"/>
                <w:bCs w:val="0"/>
                <w:sz w:val="28"/>
                <w:szCs w:val="28"/>
                <w:vertAlign w:val="baseline"/>
              </w:rPr>
              <w:t>事项</w:t>
            </w:r>
            <w:r>
              <w:rPr>
                <w:rFonts w:hint="eastAsia" w:ascii="黑体" w:hAnsi="黑体" w:eastAsia="黑体" w:cs="黑体"/>
                <w:b w:val="0"/>
                <w:bCs w:val="0"/>
                <w:sz w:val="28"/>
                <w:szCs w:val="28"/>
                <w:vertAlign w:val="baseline"/>
                <w:lang w:val="en-US" w:eastAsia="zh-CN"/>
              </w:rPr>
              <w:t>内容</w:t>
            </w:r>
          </w:p>
        </w:tc>
        <w:tc>
          <w:tcPr>
            <w:tcW w:w="2359"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责任事项依据</w:t>
            </w:r>
          </w:p>
        </w:tc>
        <w:tc>
          <w:tcPr>
            <w:tcW w:w="1950"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追责情形</w:t>
            </w:r>
          </w:p>
        </w:tc>
        <w:tc>
          <w:tcPr>
            <w:tcW w:w="1774"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追责形式</w:t>
            </w:r>
          </w:p>
        </w:tc>
        <w:tc>
          <w:tcPr>
            <w:tcW w:w="854" w:type="dxa"/>
            <w:vMerge w:val="continue"/>
            <w:noWrap w:val="0"/>
            <w:vAlign w:val="center"/>
          </w:tcPr>
          <w:p>
            <w:pPr>
              <w:jc w:val="center"/>
              <w:rPr>
                <w:rFonts w:hint="eastAsia" w:ascii="仿宋" w:hAnsi="仿宋" w:eastAsia="仿宋" w:cs="仿宋"/>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479" w:type="dxa"/>
            <w:noWrap w:val="0"/>
            <w:vAlign w:val="center"/>
          </w:tcPr>
          <w:p>
            <w:pPr>
              <w:ind w:firstLine="387" w:firstLineChars="0"/>
              <w:jc w:val="center"/>
              <w:rPr>
                <w:rFonts w:hint="eastAsia" w:ascii="仿宋" w:hAnsi="仿宋" w:eastAsia="仿宋" w:cs="仿宋"/>
                <w:b/>
                <w:bCs/>
                <w:sz w:val="22"/>
                <w:szCs w:val="22"/>
              </w:rPr>
            </w:pPr>
          </w:p>
        </w:tc>
        <w:tc>
          <w:tcPr>
            <w:tcW w:w="827" w:type="dxa"/>
            <w:noWrap w:val="0"/>
            <w:vAlign w:val="center"/>
          </w:tcPr>
          <w:p>
            <w:pPr>
              <w:widowControl/>
              <w:spacing w:line="300" w:lineRule="exact"/>
              <w:jc w:val="left"/>
              <w:textAlignment w:val="center"/>
              <w:rPr>
                <w:rFonts w:hint="eastAsia" w:ascii="宋体" w:hAnsi="宋体" w:eastAsia="宋体" w:cs="宋体"/>
                <w:kern w:val="0"/>
                <w:sz w:val="18"/>
                <w:szCs w:val="18"/>
                <w:lang w:val="en-US" w:eastAsia="zh-CN" w:bidi="ar-SA"/>
              </w:rPr>
            </w:pPr>
            <w:r>
              <w:rPr>
                <w:rFonts w:hint="eastAsia" w:ascii="宋体" w:hAnsi="宋体" w:cs="宋体"/>
                <w:color w:val="000000"/>
                <w:kern w:val="0"/>
                <w:sz w:val="18"/>
                <w:szCs w:val="18"/>
              </w:rPr>
              <w:t>其他权力</w:t>
            </w:r>
          </w:p>
        </w:tc>
        <w:tc>
          <w:tcPr>
            <w:tcW w:w="867" w:type="dxa"/>
            <w:noWrap w:val="0"/>
            <w:vAlign w:val="center"/>
          </w:tcPr>
          <w:p>
            <w:pPr>
              <w:widowControl/>
              <w:spacing w:line="300" w:lineRule="exact"/>
              <w:jc w:val="left"/>
              <w:textAlignment w:val="center"/>
              <w:rPr>
                <w:rFonts w:hint="eastAsia" w:ascii="仿宋_GB2312" w:hAnsi="Calibri" w:eastAsia="仿宋_GB2312" w:cs="Times New Roman"/>
                <w:kern w:val="2"/>
                <w:sz w:val="18"/>
                <w:szCs w:val="18"/>
                <w:lang w:val="en-US" w:eastAsia="zh-CN" w:bidi="ar-SA"/>
              </w:rPr>
            </w:pPr>
            <w:r>
              <w:rPr>
                <w:rFonts w:hint="eastAsia" w:ascii="仿宋_GB2312" w:eastAsia="仿宋_GB2312" w:cs="Times New Roman"/>
                <w:kern w:val="2"/>
                <w:sz w:val="18"/>
                <w:szCs w:val="18"/>
                <w:lang w:val="en-US" w:eastAsia="zh-CN" w:bidi="ar-SA"/>
              </w:rPr>
              <w:t>0500-Z-00100-141122</w:t>
            </w:r>
          </w:p>
        </w:tc>
        <w:tc>
          <w:tcPr>
            <w:tcW w:w="1432" w:type="dxa"/>
            <w:noWrap w:val="0"/>
            <w:vAlign w:val="center"/>
          </w:tcPr>
          <w:p>
            <w:pPr>
              <w:spacing w:line="300" w:lineRule="exact"/>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对学生申述的处理</w:t>
            </w:r>
          </w:p>
        </w:tc>
        <w:tc>
          <w:tcPr>
            <w:tcW w:w="1650" w:type="dxa"/>
            <w:noWrap w:val="0"/>
            <w:vAlign w:val="center"/>
          </w:tcPr>
          <w:p>
            <w:p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eastAsia="宋体" w:cs="宋体"/>
                <w:i w:val="0"/>
                <w:iCs w:val="0"/>
                <w:caps w:val="0"/>
                <w:color w:val="504F4F"/>
                <w:spacing w:val="0"/>
                <w:sz w:val="18"/>
                <w:szCs w:val="18"/>
                <w:shd w:val="clear" w:fill="FFFFFF"/>
              </w:rPr>
              <w:t>《中华人民共和国教育法》第四十二条受教育者享有下列权利：（四）对学校给予的处分不服向有关部门提出申诉，对学校、教师侵犯其人身权、财产权等合法权益，提出申诉或者依法提起诉讼。</w:t>
            </w:r>
          </w:p>
        </w:tc>
        <w:tc>
          <w:tcPr>
            <w:tcW w:w="2124" w:type="dxa"/>
            <w:noWrap w:val="0"/>
            <w:vAlign w:val="center"/>
          </w:tcPr>
          <w:p>
            <w:pPr>
              <w:numPr>
                <w:ilvl w:val="0"/>
                <w:numId w:val="0"/>
              </w:num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eastAsia="宋体" w:cs="宋体"/>
                <w:i w:val="0"/>
                <w:iCs w:val="0"/>
                <w:caps w:val="0"/>
                <w:color w:val="333333"/>
                <w:spacing w:val="0"/>
                <w:sz w:val="18"/>
                <w:szCs w:val="18"/>
                <w:shd w:val="clear" w:fill="FFFFFF"/>
              </w:rPr>
              <w:t>1.受理责任：依法受理教师提出的申诉。 2.调查责任：组织相关部门和2人以上的工作人员对申诉人的资格和申诉条件进行审查，做好相关审查记录。 3.处理责任：将调查情况报局办会议讨论，根据相关法律法规规章和审查结果对教师申诉做出处理决定。 4.法律法规规章规定应履行的其他责任。　</w:t>
            </w:r>
          </w:p>
        </w:tc>
        <w:tc>
          <w:tcPr>
            <w:tcW w:w="2359"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504F4F"/>
                <w:spacing w:val="0"/>
                <w:sz w:val="18"/>
                <w:szCs w:val="18"/>
                <w:shd w:val="clear" w:fill="FFFFFF"/>
              </w:rPr>
              <w:t>《中华人民共和国教育法》第四十二条受教育者享有下列权利：（四）对学校给予的处分不服向有关部门提出申诉，对学校、教师侵犯其人身权、财产权等合法权益，提出申诉或者依法提起诉讼。</w:t>
            </w:r>
          </w:p>
        </w:tc>
        <w:tc>
          <w:tcPr>
            <w:tcW w:w="1950"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333333"/>
                <w:spacing w:val="0"/>
                <w:sz w:val="18"/>
                <w:szCs w:val="18"/>
                <w:shd w:val="clear" w:fill="FFFFFF"/>
              </w:rPr>
              <w:t>根据《中华人民共和国教育法》第八十三条 违反本法规定，侵犯教师、受教育者、学校或者其他教育机构的合法权益，造成损失、损害的，应当依法承担民事责任。 </w:t>
            </w:r>
          </w:p>
        </w:tc>
        <w:tc>
          <w:tcPr>
            <w:tcW w:w="1774"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333333"/>
                <w:spacing w:val="0"/>
                <w:sz w:val="18"/>
                <w:szCs w:val="18"/>
                <w:shd w:val="clear" w:fill="FFFFFF"/>
              </w:rPr>
              <w:t>《行政处罚法 》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4" w:type="dxa"/>
            <w:noWrap w:val="0"/>
            <w:vAlign w:val="center"/>
          </w:tcPr>
          <w:p>
            <w:pPr>
              <w:jc w:val="center"/>
              <w:rPr>
                <w:rFonts w:hint="eastAsia" w:ascii="仿宋" w:hAnsi="仿宋" w:eastAsia="仿宋" w:cs="仿宋"/>
                <w:b/>
                <w:bCs/>
                <w:sz w:val="22"/>
                <w:szCs w:val="22"/>
              </w:rPr>
            </w:pPr>
          </w:p>
        </w:tc>
      </w:tr>
    </w:tbl>
    <w:p>
      <w:pPr>
        <w:ind w:firstLine="2891" w:firstLineChars="600"/>
        <w:jc w:val="both"/>
        <w:rPr>
          <w:rFonts w:hint="eastAsia" w:ascii="仿宋" w:hAnsi="仿宋" w:eastAsia="仿宋" w:cs="仿宋"/>
          <w:b/>
          <w:bCs/>
          <w:sz w:val="48"/>
          <w:szCs w:val="48"/>
        </w:rPr>
      </w:pPr>
      <w:r>
        <w:rPr>
          <w:rFonts w:hint="eastAsia" w:ascii="宋体" w:hAnsi="宋体" w:cs="宋体"/>
          <w:b/>
          <w:bCs/>
          <w:sz w:val="48"/>
          <w:szCs w:val="48"/>
          <w:lang w:val="en-US" w:eastAsia="zh-CN"/>
        </w:rPr>
        <w:t>交城县教育科技局行政执法事项清单</w:t>
      </w:r>
    </w:p>
    <w:p>
      <w:pPr>
        <w:rPr>
          <w:rFonts w:hint="eastAsia" w:ascii="仿宋" w:hAnsi="仿宋" w:eastAsia="仿宋" w:cs="仿宋"/>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827"/>
        <w:gridCol w:w="867"/>
        <w:gridCol w:w="1432"/>
        <w:gridCol w:w="1821"/>
        <w:gridCol w:w="1953"/>
        <w:gridCol w:w="2359"/>
        <w:gridCol w:w="1950"/>
        <w:gridCol w:w="1774"/>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序号</w:t>
            </w:r>
          </w:p>
        </w:tc>
        <w:tc>
          <w:tcPr>
            <w:tcW w:w="827"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事项类别</w:t>
            </w:r>
          </w:p>
        </w:tc>
        <w:tc>
          <w:tcPr>
            <w:tcW w:w="867" w:type="dxa"/>
            <w:vMerge w:val="restart"/>
            <w:noWrap w:val="0"/>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事项编码</w:t>
            </w:r>
          </w:p>
        </w:tc>
        <w:tc>
          <w:tcPr>
            <w:tcW w:w="3253" w:type="dxa"/>
            <w:gridSpan w:val="2"/>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权力清单</w:t>
            </w:r>
          </w:p>
        </w:tc>
        <w:tc>
          <w:tcPr>
            <w:tcW w:w="8036" w:type="dxa"/>
            <w:gridSpan w:val="4"/>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责任清单</w:t>
            </w:r>
          </w:p>
        </w:tc>
        <w:tc>
          <w:tcPr>
            <w:tcW w:w="700" w:type="dxa"/>
            <w:vMerge w:val="restart"/>
            <w:noWrap w:val="0"/>
            <w:vAlign w:val="center"/>
          </w:tcPr>
          <w:p>
            <w:pPr>
              <w:jc w:val="center"/>
              <w:rPr>
                <w:rFonts w:hint="eastAsia" w:ascii="仿宋" w:hAnsi="仿宋" w:eastAsia="仿宋" w:cs="仿宋"/>
                <w:b/>
                <w:bCs/>
                <w:sz w:val="28"/>
                <w:szCs w:val="28"/>
                <w:vertAlign w:val="baseline"/>
              </w:rPr>
            </w:pPr>
            <w:r>
              <w:rPr>
                <w:rFonts w:hint="eastAsia" w:ascii="黑体" w:hAnsi="黑体" w:eastAsia="黑体" w:cs="黑体"/>
                <w:b w:val="0"/>
                <w:bCs w:val="0"/>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continue"/>
            <w:noWrap w:val="0"/>
            <w:vAlign w:val="center"/>
          </w:tcPr>
          <w:p>
            <w:pPr>
              <w:jc w:val="center"/>
              <w:rPr>
                <w:rFonts w:hint="eastAsia" w:ascii="黑体" w:hAnsi="黑体" w:eastAsia="黑体" w:cs="黑体"/>
                <w:b w:val="0"/>
                <w:bCs w:val="0"/>
                <w:sz w:val="28"/>
                <w:szCs w:val="28"/>
                <w:vertAlign w:val="baseline"/>
              </w:rPr>
            </w:pPr>
          </w:p>
        </w:tc>
        <w:tc>
          <w:tcPr>
            <w:tcW w:w="827" w:type="dxa"/>
            <w:vMerge w:val="continue"/>
            <w:noWrap w:val="0"/>
            <w:vAlign w:val="center"/>
          </w:tcPr>
          <w:p>
            <w:pPr>
              <w:jc w:val="center"/>
              <w:rPr>
                <w:rFonts w:hint="eastAsia" w:ascii="黑体" w:hAnsi="黑体" w:eastAsia="黑体" w:cs="黑体"/>
                <w:b w:val="0"/>
                <w:bCs w:val="0"/>
                <w:sz w:val="28"/>
                <w:szCs w:val="28"/>
                <w:vertAlign w:val="baseline"/>
              </w:rPr>
            </w:pPr>
          </w:p>
        </w:tc>
        <w:tc>
          <w:tcPr>
            <w:tcW w:w="867" w:type="dxa"/>
            <w:vMerge w:val="continue"/>
            <w:noWrap w:val="0"/>
            <w:vAlign w:val="center"/>
          </w:tcPr>
          <w:p>
            <w:pPr>
              <w:jc w:val="center"/>
              <w:rPr>
                <w:rFonts w:hint="eastAsia" w:ascii="黑体" w:hAnsi="黑体" w:eastAsia="黑体" w:cs="黑体"/>
                <w:b w:val="0"/>
                <w:bCs w:val="0"/>
                <w:sz w:val="28"/>
                <w:szCs w:val="28"/>
                <w:vertAlign w:val="baseline"/>
              </w:rPr>
            </w:pPr>
          </w:p>
        </w:tc>
        <w:tc>
          <w:tcPr>
            <w:tcW w:w="1432"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事项名称</w:t>
            </w:r>
          </w:p>
        </w:tc>
        <w:tc>
          <w:tcPr>
            <w:tcW w:w="1821"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事项依据</w:t>
            </w:r>
          </w:p>
        </w:tc>
        <w:tc>
          <w:tcPr>
            <w:tcW w:w="1953" w:type="dxa"/>
            <w:noWrap w:val="0"/>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val="en-US" w:eastAsia="zh-CN"/>
              </w:rPr>
              <w:t>责任</w:t>
            </w:r>
            <w:r>
              <w:rPr>
                <w:rFonts w:hint="eastAsia" w:ascii="黑体" w:hAnsi="黑体" w:eastAsia="黑体" w:cs="黑体"/>
                <w:b w:val="0"/>
                <w:bCs w:val="0"/>
                <w:sz w:val="28"/>
                <w:szCs w:val="28"/>
                <w:vertAlign w:val="baseline"/>
              </w:rPr>
              <w:t>事项</w:t>
            </w:r>
            <w:r>
              <w:rPr>
                <w:rFonts w:hint="eastAsia" w:ascii="黑体" w:hAnsi="黑体" w:eastAsia="黑体" w:cs="黑体"/>
                <w:b w:val="0"/>
                <w:bCs w:val="0"/>
                <w:sz w:val="28"/>
                <w:szCs w:val="28"/>
                <w:vertAlign w:val="baseline"/>
                <w:lang w:val="en-US" w:eastAsia="zh-CN"/>
              </w:rPr>
              <w:t>内容</w:t>
            </w:r>
          </w:p>
        </w:tc>
        <w:tc>
          <w:tcPr>
            <w:tcW w:w="2359"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责任事项依据</w:t>
            </w:r>
          </w:p>
        </w:tc>
        <w:tc>
          <w:tcPr>
            <w:tcW w:w="1950"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追责情形</w:t>
            </w:r>
          </w:p>
        </w:tc>
        <w:tc>
          <w:tcPr>
            <w:tcW w:w="1774"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追责形式</w:t>
            </w:r>
          </w:p>
        </w:tc>
        <w:tc>
          <w:tcPr>
            <w:tcW w:w="700" w:type="dxa"/>
            <w:vMerge w:val="continue"/>
            <w:noWrap w:val="0"/>
            <w:vAlign w:val="center"/>
          </w:tcPr>
          <w:p>
            <w:pPr>
              <w:jc w:val="center"/>
              <w:rPr>
                <w:rFonts w:hint="eastAsia" w:ascii="仿宋" w:hAnsi="仿宋" w:eastAsia="仿宋" w:cs="仿宋"/>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479" w:type="dxa"/>
            <w:noWrap w:val="0"/>
            <w:vAlign w:val="center"/>
          </w:tcPr>
          <w:p>
            <w:pPr>
              <w:ind w:firstLine="387" w:firstLineChars="0"/>
              <w:jc w:val="center"/>
              <w:rPr>
                <w:rFonts w:hint="eastAsia" w:ascii="仿宋" w:hAnsi="仿宋" w:eastAsia="仿宋" w:cs="仿宋"/>
                <w:b/>
                <w:bCs/>
                <w:sz w:val="22"/>
                <w:szCs w:val="22"/>
              </w:rPr>
            </w:pPr>
          </w:p>
        </w:tc>
        <w:tc>
          <w:tcPr>
            <w:tcW w:w="827" w:type="dxa"/>
            <w:noWrap w:val="0"/>
            <w:vAlign w:val="center"/>
          </w:tcPr>
          <w:p>
            <w:pPr>
              <w:widowControl/>
              <w:spacing w:line="300" w:lineRule="exact"/>
              <w:jc w:val="left"/>
              <w:textAlignment w:val="center"/>
              <w:rPr>
                <w:rFonts w:hint="eastAsia" w:ascii="宋体" w:hAnsi="宋体" w:eastAsia="宋体" w:cs="宋体"/>
                <w:kern w:val="0"/>
                <w:sz w:val="18"/>
                <w:szCs w:val="18"/>
                <w:lang w:val="en-US" w:eastAsia="zh-CN" w:bidi="ar-SA"/>
              </w:rPr>
            </w:pPr>
            <w:r>
              <w:rPr>
                <w:rFonts w:hint="eastAsia" w:ascii="宋体" w:hAnsi="宋体" w:cs="宋体"/>
                <w:color w:val="000000"/>
                <w:kern w:val="0"/>
                <w:sz w:val="18"/>
                <w:szCs w:val="18"/>
              </w:rPr>
              <w:t>其他权力</w:t>
            </w:r>
          </w:p>
        </w:tc>
        <w:tc>
          <w:tcPr>
            <w:tcW w:w="867" w:type="dxa"/>
            <w:noWrap w:val="0"/>
            <w:vAlign w:val="center"/>
          </w:tcPr>
          <w:p>
            <w:pPr>
              <w:widowControl/>
              <w:spacing w:line="300" w:lineRule="exact"/>
              <w:jc w:val="left"/>
              <w:textAlignment w:val="center"/>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0500-Z-00200-141122</w:t>
            </w:r>
          </w:p>
        </w:tc>
        <w:tc>
          <w:tcPr>
            <w:tcW w:w="1432" w:type="dxa"/>
            <w:noWrap w:val="0"/>
            <w:vAlign w:val="center"/>
          </w:tcPr>
          <w:p>
            <w:pPr>
              <w:spacing w:line="300" w:lineRule="exact"/>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对教师申述的处理</w:t>
            </w:r>
          </w:p>
        </w:tc>
        <w:tc>
          <w:tcPr>
            <w:tcW w:w="1821" w:type="dxa"/>
            <w:noWrap w:val="0"/>
            <w:vAlign w:val="center"/>
          </w:tcPr>
          <w:p>
            <w:p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eastAsia="宋体" w:cs="宋体"/>
                <w:i w:val="0"/>
                <w:iCs w:val="0"/>
                <w:caps w:val="0"/>
                <w:color w:val="504F4F"/>
                <w:spacing w:val="0"/>
                <w:sz w:val="18"/>
                <w:szCs w:val="18"/>
                <w:shd w:val="clear" w:fill="FFFFFF"/>
              </w:rPr>
              <w:t>《中华人民共和国教师法》第三十九条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提出申诉，同级人民政府或者上一级人民政府有关部门应当作出处理。</w:t>
            </w:r>
          </w:p>
        </w:tc>
        <w:tc>
          <w:tcPr>
            <w:tcW w:w="1953" w:type="dxa"/>
            <w:noWrap w:val="0"/>
            <w:vAlign w:val="center"/>
          </w:tcPr>
          <w:p>
            <w:pPr>
              <w:numPr>
                <w:ilvl w:val="0"/>
                <w:numId w:val="0"/>
              </w:num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eastAsia="宋体" w:cs="宋体"/>
                <w:i w:val="0"/>
                <w:iCs w:val="0"/>
                <w:caps w:val="0"/>
                <w:color w:val="333333"/>
                <w:spacing w:val="0"/>
                <w:sz w:val="18"/>
                <w:szCs w:val="18"/>
                <w:shd w:val="clear" w:fill="FFFFFF"/>
              </w:rPr>
              <w:t>1.受理责任：依法受理对教师提出的申诉。 2.调查责任：组织相关部门和2人以上的工作人员对申诉人的资格和申诉条件进行审查，做好相关审查记录。 3.处理责任：将调查情况报局办会议讨论，根据相关法律法规规章和审查结果对教师申诉做出处理决定。 4.法律法规规章规定应履行的其他责任。</w:t>
            </w:r>
          </w:p>
        </w:tc>
        <w:tc>
          <w:tcPr>
            <w:tcW w:w="2359"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504F4F"/>
                <w:spacing w:val="0"/>
                <w:sz w:val="18"/>
                <w:szCs w:val="18"/>
                <w:shd w:val="clear" w:fill="FFFFFF"/>
              </w:rPr>
              <w:t>《中华人民共和国教师法》第三十九条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提出申诉，同级人民政府或者上一级人民政府有关部门应当作出处理。</w:t>
            </w:r>
          </w:p>
        </w:tc>
        <w:tc>
          <w:tcPr>
            <w:tcW w:w="1950"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333333"/>
                <w:spacing w:val="0"/>
                <w:sz w:val="18"/>
                <w:szCs w:val="18"/>
                <w:shd w:val="clear" w:fill="FFFFFF"/>
              </w:rPr>
              <w:t>根据《中华人民共和国教育法》第八十三条 违反本法规定，侵犯教师、受教育者、学校或者其他教育机构的合法权益，造成损失、损害的，应当依法承担民事责任。 </w:t>
            </w:r>
          </w:p>
        </w:tc>
        <w:tc>
          <w:tcPr>
            <w:tcW w:w="1774"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333333"/>
                <w:spacing w:val="0"/>
                <w:sz w:val="18"/>
                <w:szCs w:val="18"/>
                <w:shd w:val="clear" w:fill="FFFFFF"/>
              </w:rPr>
              <w:t>《行政处罚法 》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700" w:type="dxa"/>
            <w:noWrap w:val="0"/>
            <w:vAlign w:val="center"/>
          </w:tcPr>
          <w:p>
            <w:pPr>
              <w:jc w:val="center"/>
              <w:rPr>
                <w:rFonts w:hint="eastAsia" w:ascii="仿宋" w:hAnsi="仿宋" w:eastAsia="仿宋" w:cs="仿宋"/>
                <w:b/>
                <w:bCs/>
                <w:sz w:val="22"/>
                <w:szCs w:val="22"/>
              </w:rPr>
            </w:pPr>
          </w:p>
        </w:tc>
      </w:tr>
    </w:tbl>
    <w:p>
      <w:pPr>
        <w:ind w:firstLine="3855" w:firstLineChars="800"/>
        <w:jc w:val="both"/>
        <w:rPr>
          <w:rFonts w:hint="eastAsia" w:ascii="仿宋" w:hAnsi="仿宋" w:eastAsia="仿宋" w:cs="仿宋"/>
          <w:b/>
          <w:bCs/>
          <w:sz w:val="48"/>
          <w:szCs w:val="48"/>
        </w:rPr>
      </w:pPr>
      <w:r>
        <w:rPr>
          <w:rFonts w:hint="eastAsia" w:ascii="宋体" w:hAnsi="宋体" w:cs="宋体"/>
          <w:b/>
          <w:bCs/>
          <w:sz w:val="48"/>
          <w:szCs w:val="48"/>
          <w:lang w:val="en-US" w:eastAsia="zh-CN"/>
        </w:rPr>
        <w:t>交城县教育科技局行政执法事项清单</w:t>
      </w:r>
    </w:p>
    <w:p>
      <w:pPr>
        <w:rPr>
          <w:rFonts w:hint="eastAsia" w:ascii="仿宋" w:hAnsi="仿宋" w:eastAsia="仿宋" w:cs="仿宋"/>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827"/>
        <w:gridCol w:w="867"/>
        <w:gridCol w:w="1432"/>
        <w:gridCol w:w="1650"/>
        <w:gridCol w:w="2124"/>
        <w:gridCol w:w="2359"/>
        <w:gridCol w:w="1950"/>
        <w:gridCol w:w="177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序号</w:t>
            </w:r>
          </w:p>
        </w:tc>
        <w:tc>
          <w:tcPr>
            <w:tcW w:w="827"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事项类别</w:t>
            </w:r>
          </w:p>
        </w:tc>
        <w:tc>
          <w:tcPr>
            <w:tcW w:w="867" w:type="dxa"/>
            <w:vMerge w:val="restart"/>
            <w:noWrap w:val="0"/>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事项编码</w:t>
            </w:r>
          </w:p>
        </w:tc>
        <w:tc>
          <w:tcPr>
            <w:tcW w:w="3082" w:type="dxa"/>
            <w:gridSpan w:val="2"/>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权力清单</w:t>
            </w:r>
          </w:p>
        </w:tc>
        <w:tc>
          <w:tcPr>
            <w:tcW w:w="8207" w:type="dxa"/>
            <w:gridSpan w:val="4"/>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责任清单</w:t>
            </w:r>
          </w:p>
        </w:tc>
        <w:tc>
          <w:tcPr>
            <w:tcW w:w="854" w:type="dxa"/>
            <w:vMerge w:val="restart"/>
            <w:noWrap w:val="0"/>
            <w:vAlign w:val="center"/>
          </w:tcPr>
          <w:p>
            <w:pPr>
              <w:jc w:val="center"/>
              <w:rPr>
                <w:rFonts w:hint="eastAsia" w:ascii="仿宋" w:hAnsi="仿宋" w:eastAsia="仿宋" w:cs="仿宋"/>
                <w:b/>
                <w:bCs/>
                <w:sz w:val="28"/>
                <w:szCs w:val="28"/>
                <w:vertAlign w:val="baseline"/>
              </w:rPr>
            </w:pPr>
            <w:r>
              <w:rPr>
                <w:rFonts w:hint="eastAsia" w:ascii="黑体" w:hAnsi="黑体" w:eastAsia="黑体" w:cs="黑体"/>
                <w:b w:val="0"/>
                <w:bCs w:val="0"/>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continue"/>
            <w:noWrap w:val="0"/>
            <w:vAlign w:val="center"/>
          </w:tcPr>
          <w:p>
            <w:pPr>
              <w:jc w:val="center"/>
              <w:rPr>
                <w:rFonts w:hint="eastAsia" w:ascii="黑体" w:hAnsi="黑体" w:eastAsia="黑体" w:cs="黑体"/>
                <w:b w:val="0"/>
                <w:bCs w:val="0"/>
                <w:sz w:val="28"/>
                <w:szCs w:val="28"/>
                <w:vertAlign w:val="baseline"/>
              </w:rPr>
            </w:pPr>
          </w:p>
        </w:tc>
        <w:tc>
          <w:tcPr>
            <w:tcW w:w="827" w:type="dxa"/>
            <w:vMerge w:val="continue"/>
            <w:noWrap w:val="0"/>
            <w:vAlign w:val="center"/>
          </w:tcPr>
          <w:p>
            <w:pPr>
              <w:jc w:val="center"/>
              <w:rPr>
                <w:rFonts w:hint="eastAsia" w:ascii="黑体" w:hAnsi="黑体" w:eastAsia="黑体" w:cs="黑体"/>
                <w:b w:val="0"/>
                <w:bCs w:val="0"/>
                <w:sz w:val="28"/>
                <w:szCs w:val="28"/>
                <w:vertAlign w:val="baseline"/>
              </w:rPr>
            </w:pPr>
          </w:p>
        </w:tc>
        <w:tc>
          <w:tcPr>
            <w:tcW w:w="867" w:type="dxa"/>
            <w:vMerge w:val="continue"/>
            <w:noWrap w:val="0"/>
            <w:vAlign w:val="center"/>
          </w:tcPr>
          <w:p>
            <w:pPr>
              <w:jc w:val="center"/>
              <w:rPr>
                <w:rFonts w:hint="eastAsia" w:ascii="黑体" w:hAnsi="黑体" w:eastAsia="黑体" w:cs="黑体"/>
                <w:b w:val="0"/>
                <w:bCs w:val="0"/>
                <w:sz w:val="28"/>
                <w:szCs w:val="28"/>
                <w:vertAlign w:val="baseline"/>
              </w:rPr>
            </w:pPr>
          </w:p>
        </w:tc>
        <w:tc>
          <w:tcPr>
            <w:tcW w:w="1432"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事项名称</w:t>
            </w:r>
          </w:p>
        </w:tc>
        <w:tc>
          <w:tcPr>
            <w:tcW w:w="1650"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事项依据</w:t>
            </w:r>
          </w:p>
        </w:tc>
        <w:tc>
          <w:tcPr>
            <w:tcW w:w="2124" w:type="dxa"/>
            <w:noWrap w:val="0"/>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val="en-US" w:eastAsia="zh-CN"/>
              </w:rPr>
              <w:t>责任</w:t>
            </w:r>
            <w:r>
              <w:rPr>
                <w:rFonts w:hint="eastAsia" w:ascii="黑体" w:hAnsi="黑体" w:eastAsia="黑体" w:cs="黑体"/>
                <w:b w:val="0"/>
                <w:bCs w:val="0"/>
                <w:sz w:val="28"/>
                <w:szCs w:val="28"/>
                <w:vertAlign w:val="baseline"/>
              </w:rPr>
              <w:t>事项</w:t>
            </w:r>
            <w:r>
              <w:rPr>
                <w:rFonts w:hint="eastAsia" w:ascii="黑体" w:hAnsi="黑体" w:eastAsia="黑体" w:cs="黑体"/>
                <w:b w:val="0"/>
                <w:bCs w:val="0"/>
                <w:sz w:val="28"/>
                <w:szCs w:val="28"/>
                <w:vertAlign w:val="baseline"/>
                <w:lang w:val="en-US" w:eastAsia="zh-CN"/>
              </w:rPr>
              <w:t>内容</w:t>
            </w:r>
          </w:p>
        </w:tc>
        <w:tc>
          <w:tcPr>
            <w:tcW w:w="2359"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责任事项依据</w:t>
            </w:r>
          </w:p>
        </w:tc>
        <w:tc>
          <w:tcPr>
            <w:tcW w:w="1950"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追责情形</w:t>
            </w:r>
          </w:p>
        </w:tc>
        <w:tc>
          <w:tcPr>
            <w:tcW w:w="1774"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追责形式</w:t>
            </w:r>
          </w:p>
        </w:tc>
        <w:tc>
          <w:tcPr>
            <w:tcW w:w="854" w:type="dxa"/>
            <w:vMerge w:val="continue"/>
            <w:noWrap w:val="0"/>
            <w:vAlign w:val="center"/>
          </w:tcPr>
          <w:p>
            <w:pPr>
              <w:jc w:val="center"/>
              <w:rPr>
                <w:rFonts w:hint="eastAsia" w:ascii="仿宋" w:hAnsi="仿宋" w:eastAsia="仿宋" w:cs="仿宋"/>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479" w:type="dxa"/>
            <w:noWrap w:val="0"/>
            <w:vAlign w:val="center"/>
          </w:tcPr>
          <w:p>
            <w:pPr>
              <w:ind w:firstLine="387" w:firstLineChars="0"/>
              <w:jc w:val="center"/>
              <w:rPr>
                <w:rFonts w:hint="eastAsia" w:ascii="仿宋" w:hAnsi="仿宋" w:eastAsia="仿宋" w:cs="仿宋"/>
                <w:b/>
                <w:bCs/>
                <w:sz w:val="22"/>
                <w:szCs w:val="22"/>
              </w:rPr>
            </w:pPr>
          </w:p>
        </w:tc>
        <w:tc>
          <w:tcPr>
            <w:tcW w:w="827" w:type="dxa"/>
            <w:noWrap w:val="0"/>
            <w:vAlign w:val="center"/>
          </w:tcPr>
          <w:p>
            <w:pPr>
              <w:widowControl/>
              <w:spacing w:line="300" w:lineRule="exact"/>
              <w:jc w:val="left"/>
              <w:textAlignment w:val="center"/>
              <w:rPr>
                <w:rFonts w:hint="eastAsia" w:ascii="宋体" w:hAnsi="宋体" w:eastAsia="宋体" w:cs="宋体"/>
                <w:kern w:val="0"/>
                <w:sz w:val="18"/>
                <w:szCs w:val="18"/>
                <w:lang w:val="en-US" w:eastAsia="zh-CN" w:bidi="ar-SA"/>
              </w:rPr>
            </w:pPr>
            <w:r>
              <w:rPr>
                <w:rFonts w:hint="eastAsia" w:ascii="宋体" w:hAnsi="宋体" w:cs="宋体"/>
                <w:color w:val="000000"/>
                <w:kern w:val="0"/>
                <w:sz w:val="18"/>
                <w:szCs w:val="18"/>
              </w:rPr>
              <w:t>其他权力</w:t>
            </w:r>
          </w:p>
        </w:tc>
        <w:tc>
          <w:tcPr>
            <w:tcW w:w="867" w:type="dxa"/>
            <w:noWrap w:val="0"/>
            <w:vAlign w:val="center"/>
          </w:tcPr>
          <w:p>
            <w:pPr>
              <w:widowControl/>
              <w:spacing w:line="300" w:lineRule="exact"/>
              <w:jc w:val="left"/>
              <w:textAlignment w:val="center"/>
              <w:rPr>
                <w:rFonts w:hint="eastAsia" w:ascii="仿宋_GB2312" w:hAnsi="Calibri" w:eastAsia="仿宋_GB2312" w:cs="Times New Roman"/>
                <w:kern w:val="2"/>
                <w:sz w:val="18"/>
                <w:szCs w:val="18"/>
                <w:lang w:val="en-US" w:eastAsia="zh-CN" w:bidi="ar-SA"/>
              </w:rPr>
            </w:pPr>
            <w:r>
              <w:rPr>
                <w:rFonts w:hint="eastAsia" w:ascii="仿宋_GB2312" w:eastAsia="仿宋_GB2312" w:cs="Times New Roman"/>
                <w:kern w:val="2"/>
                <w:sz w:val="18"/>
                <w:szCs w:val="18"/>
                <w:lang w:val="en-US" w:eastAsia="zh-CN" w:bidi="ar-SA"/>
              </w:rPr>
              <w:t>0500-Z-01300-141122</w:t>
            </w:r>
          </w:p>
        </w:tc>
        <w:tc>
          <w:tcPr>
            <w:tcW w:w="1432" w:type="dxa"/>
            <w:noWrap w:val="0"/>
            <w:vAlign w:val="center"/>
          </w:tcPr>
          <w:p>
            <w:pPr>
              <w:spacing w:line="300" w:lineRule="exact"/>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民办学校学籍、教学管理制度备案</w:t>
            </w:r>
          </w:p>
        </w:tc>
        <w:tc>
          <w:tcPr>
            <w:tcW w:w="1650" w:type="dxa"/>
            <w:noWrap w:val="0"/>
            <w:vAlign w:val="center"/>
          </w:tcPr>
          <w:p>
            <w:p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eastAsia="宋体" w:cs="宋体"/>
                <w:i w:val="0"/>
                <w:iCs w:val="0"/>
                <w:caps w:val="0"/>
                <w:color w:val="000000"/>
                <w:spacing w:val="0"/>
                <w:sz w:val="18"/>
                <w:szCs w:val="18"/>
              </w:rPr>
              <w:t>【规范性文件】《中华人民共和国民办教育促进法实施条例》第28条：“民办学校应当依法建立学籍和教学管理制度，并报审批机关备案。</w:t>
            </w:r>
          </w:p>
        </w:tc>
        <w:tc>
          <w:tcPr>
            <w:tcW w:w="2124" w:type="dxa"/>
            <w:noWrap w:val="0"/>
            <w:vAlign w:val="center"/>
          </w:tcPr>
          <w:p>
            <w:pPr>
              <w:numPr>
                <w:ilvl w:val="0"/>
                <w:numId w:val="0"/>
              </w:num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eastAsia="宋体" w:cs="宋体"/>
                <w:i w:val="0"/>
                <w:iCs w:val="0"/>
                <w:caps w:val="0"/>
                <w:color w:val="000000"/>
                <w:spacing w:val="0"/>
                <w:sz w:val="18"/>
                <w:szCs w:val="18"/>
              </w:rPr>
              <w:t>1.受理责任：公示应当提交的材料，一次性告知补正材料，依法受理或不予受理（不予受理应当告知理由）。</w:t>
            </w:r>
            <w:r>
              <w:rPr>
                <w:rFonts w:hint="eastAsia" w:ascii="宋体" w:hAnsi="宋体" w:eastAsia="宋体" w:cs="宋体"/>
                <w:i w:val="0"/>
                <w:iCs w:val="0"/>
                <w:caps w:val="0"/>
                <w:color w:val="000000"/>
                <w:spacing w:val="0"/>
                <w:sz w:val="18"/>
                <w:szCs w:val="18"/>
              </w:rPr>
              <w:br w:type="textWrapping"/>
            </w:r>
            <w:r>
              <w:rPr>
                <w:rFonts w:hint="eastAsia" w:ascii="宋体" w:hAnsi="宋体" w:eastAsia="宋体" w:cs="宋体"/>
                <w:i w:val="0"/>
                <w:iCs w:val="0"/>
                <w:caps w:val="0"/>
                <w:color w:val="000000"/>
                <w:spacing w:val="0"/>
                <w:sz w:val="18"/>
                <w:szCs w:val="18"/>
              </w:rPr>
              <w:t>2.审查责任：按照法律、法规规定的条件和标准，对书面申请材料进行审核，组织勘察。</w:t>
            </w:r>
            <w:r>
              <w:rPr>
                <w:rFonts w:hint="eastAsia" w:ascii="宋体" w:hAnsi="宋体" w:eastAsia="宋体" w:cs="宋体"/>
                <w:i w:val="0"/>
                <w:iCs w:val="0"/>
                <w:caps w:val="0"/>
                <w:color w:val="000000"/>
                <w:spacing w:val="0"/>
                <w:sz w:val="18"/>
                <w:szCs w:val="18"/>
              </w:rPr>
              <w:br w:type="textWrapping"/>
            </w:r>
            <w:r>
              <w:rPr>
                <w:rFonts w:hint="eastAsia" w:ascii="宋体" w:hAnsi="宋体" w:eastAsia="宋体" w:cs="宋体"/>
                <w:i w:val="0"/>
                <w:iCs w:val="0"/>
                <w:caps w:val="0"/>
                <w:color w:val="000000"/>
                <w:spacing w:val="0"/>
                <w:sz w:val="18"/>
                <w:szCs w:val="18"/>
              </w:rPr>
              <w:t>3.决定责任；作出行政许可或者不予行政许可决定，法定告知。</w:t>
            </w:r>
            <w:r>
              <w:rPr>
                <w:rFonts w:hint="eastAsia" w:ascii="宋体" w:hAnsi="宋体" w:eastAsia="宋体" w:cs="宋体"/>
                <w:i w:val="0"/>
                <w:iCs w:val="0"/>
                <w:caps w:val="0"/>
                <w:color w:val="000000"/>
                <w:spacing w:val="0"/>
                <w:sz w:val="18"/>
                <w:szCs w:val="18"/>
              </w:rPr>
              <w:br w:type="textWrapping"/>
            </w:r>
            <w:r>
              <w:rPr>
                <w:rFonts w:hint="eastAsia" w:ascii="宋体" w:hAnsi="宋体" w:eastAsia="宋体" w:cs="宋体"/>
                <w:i w:val="0"/>
                <w:iCs w:val="0"/>
                <w:caps w:val="0"/>
                <w:color w:val="000000"/>
                <w:spacing w:val="0"/>
                <w:sz w:val="18"/>
                <w:szCs w:val="18"/>
              </w:rPr>
              <w:t>4.送达责任：准予许可的，核发许可证，送达并信息公开。</w:t>
            </w:r>
            <w:r>
              <w:rPr>
                <w:rFonts w:hint="eastAsia" w:ascii="宋体" w:hAnsi="宋体" w:eastAsia="宋体" w:cs="宋体"/>
                <w:i w:val="0"/>
                <w:iCs w:val="0"/>
                <w:caps w:val="0"/>
                <w:color w:val="000000"/>
                <w:spacing w:val="0"/>
                <w:sz w:val="18"/>
                <w:szCs w:val="18"/>
              </w:rPr>
              <w:br w:type="textWrapping"/>
            </w:r>
            <w:r>
              <w:rPr>
                <w:rFonts w:hint="eastAsia" w:ascii="宋体" w:hAnsi="宋体" w:eastAsia="宋体" w:cs="宋体"/>
                <w:i w:val="0"/>
                <w:iCs w:val="0"/>
                <w:caps w:val="0"/>
                <w:color w:val="000000"/>
                <w:spacing w:val="0"/>
                <w:sz w:val="18"/>
                <w:szCs w:val="18"/>
              </w:rPr>
              <w:t>5.事后监管责任：建立实施监督检查的运行机制和管理制度，开展定期和不定期检查，依法采取相关处置措施。</w:t>
            </w:r>
            <w:r>
              <w:rPr>
                <w:rFonts w:hint="eastAsia" w:ascii="宋体" w:hAnsi="宋体" w:eastAsia="宋体" w:cs="宋体"/>
                <w:i w:val="0"/>
                <w:iCs w:val="0"/>
                <w:caps w:val="0"/>
                <w:color w:val="000000"/>
                <w:spacing w:val="0"/>
                <w:sz w:val="18"/>
                <w:szCs w:val="18"/>
              </w:rPr>
              <w:br w:type="textWrapping"/>
            </w:r>
            <w:r>
              <w:rPr>
                <w:rFonts w:hint="eastAsia" w:ascii="宋体" w:hAnsi="宋体" w:eastAsia="宋体" w:cs="宋体"/>
                <w:i w:val="0"/>
                <w:iCs w:val="0"/>
                <w:caps w:val="0"/>
                <w:color w:val="000000"/>
                <w:spacing w:val="0"/>
                <w:sz w:val="18"/>
                <w:szCs w:val="18"/>
              </w:rPr>
              <w:t>       </w:t>
            </w:r>
          </w:p>
        </w:tc>
        <w:tc>
          <w:tcPr>
            <w:tcW w:w="2359"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000000"/>
                <w:spacing w:val="0"/>
                <w:sz w:val="18"/>
                <w:szCs w:val="18"/>
              </w:rPr>
              <w:t>《中华人民共和国民办教育促进法实施条例》第28条</w:t>
            </w:r>
          </w:p>
        </w:tc>
        <w:tc>
          <w:tcPr>
            <w:tcW w:w="1950"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000000"/>
                <w:spacing w:val="0"/>
                <w:sz w:val="18"/>
                <w:szCs w:val="18"/>
              </w:rPr>
              <w:t>《山西省实施中华人民共和国义务教育法办法》</w:t>
            </w:r>
          </w:p>
        </w:tc>
        <w:tc>
          <w:tcPr>
            <w:tcW w:w="1774" w:type="dxa"/>
            <w:noWrap w:val="0"/>
            <w:vAlign w:val="center"/>
          </w:tcPr>
          <w:p>
            <w:pPr>
              <w:jc w:val="center"/>
              <w:rPr>
                <w:rFonts w:hint="eastAsia" w:ascii="宋体" w:hAnsi="宋体" w:eastAsia="宋体" w:cs="宋体"/>
                <w:b/>
                <w:bCs/>
                <w:sz w:val="18"/>
                <w:szCs w:val="18"/>
              </w:rPr>
            </w:pPr>
            <w:r>
              <w:rPr>
                <w:rFonts w:hint="eastAsia" w:ascii="宋体" w:hAnsi="宋体" w:eastAsia="宋体" w:cs="宋体"/>
                <w:i w:val="0"/>
                <w:iCs w:val="0"/>
                <w:caps w:val="0"/>
                <w:color w:val="000000"/>
                <w:spacing w:val="0"/>
                <w:sz w:val="18"/>
                <w:szCs w:val="18"/>
              </w:rPr>
              <w:t>建立实施监督检查的运行机制和管理制度，开展定期和不定期检查，依法采取相关处置措施。</w:t>
            </w:r>
            <w:r>
              <w:rPr>
                <w:rFonts w:hint="eastAsia" w:ascii="宋体" w:hAnsi="宋体" w:eastAsia="宋体" w:cs="宋体"/>
                <w:i w:val="0"/>
                <w:iCs w:val="0"/>
                <w:caps w:val="0"/>
                <w:color w:val="000000"/>
                <w:spacing w:val="0"/>
                <w:sz w:val="18"/>
                <w:szCs w:val="18"/>
              </w:rPr>
              <w:br w:type="textWrapping"/>
            </w:r>
          </w:p>
        </w:tc>
        <w:tc>
          <w:tcPr>
            <w:tcW w:w="854" w:type="dxa"/>
            <w:noWrap w:val="0"/>
            <w:vAlign w:val="center"/>
          </w:tcPr>
          <w:p>
            <w:pPr>
              <w:jc w:val="center"/>
              <w:rPr>
                <w:rFonts w:hint="eastAsia" w:ascii="仿宋" w:hAnsi="仿宋" w:eastAsia="仿宋" w:cs="仿宋"/>
                <w:b/>
                <w:bCs/>
                <w:sz w:val="22"/>
                <w:szCs w:val="22"/>
              </w:rPr>
            </w:pPr>
          </w:p>
        </w:tc>
      </w:tr>
    </w:tbl>
    <w:p>
      <w:pPr>
        <w:ind w:firstLine="3855" w:firstLineChars="800"/>
        <w:jc w:val="both"/>
        <w:rPr>
          <w:rFonts w:hint="eastAsia" w:ascii="仿宋" w:hAnsi="仿宋" w:eastAsia="仿宋" w:cs="仿宋"/>
          <w:b/>
          <w:bCs/>
          <w:sz w:val="48"/>
          <w:szCs w:val="48"/>
        </w:rPr>
      </w:pPr>
      <w:r>
        <w:rPr>
          <w:rFonts w:hint="eastAsia" w:ascii="宋体" w:hAnsi="宋体" w:cs="宋体"/>
          <w:b/>
          <w:bCs/>
          <w:sz w:val="48"/>
          <w:szCs w:val="48"/>
          <w:lang w:val="en-US" w:eastAsia="zh-CN"/>
        </w:rPr>
        <w:t>交城县教育科技局行政执法事项清单</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827"/>
        <w:gridCol w:w="867"/>
        <w:gridCol w:w="1432"/>
        <w:gridCol w:w="1650"/>
        <w:gridCol w:w="2124"/>
        <w:gridCol w:w="2359"/>
        <w:gridCol w:w="1950"/>
        <w:gridCol w:w="177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序号</w:t>
            </w:r>
          </w:p>
        </w:tc>
        <w:tc>
          <w:tcPr>
            <w:tcW w:w="827"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事项类别</w:t>
            </w:r>
          </w:p>
        </w:tc>
        <w:tc>
          <w:tcPr>
            <w:tcW w:w="867" w:type="dxa"/>
            <w:vMerge w:val="restart"/>
            <w:noWrap w:val="0"/>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事项编码</w:t>
            </w:r>
          </w:p>
        </w:tc>
        <w:tc>
          <w:tcPr>
            <w:tcW w:w="3082" w:type="dxa"/>
            <w:gridSpan w:val="2"/>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权力清单</w:t>
            </w:r>
          </w:p>
        </w:tc>
        <w:tc>
          <w:tcPr>
            <w:tcW w:w="8207" w:type="dxa"/>
            <w:gridSpan w:val="4"/>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责任清单</w:t>
            </w:r>
          </w:p>
        </w:tc>
        <w:tc>
          <w:tcPr>
            <w:tcW w:w="854" w:type="dxa"/>
            <w:vMerge w:val="restart"/>
            <w:noWrap w:val="0"/>
            <w:vAlign w:val="center"/>
          </w:tcPr>
          <w:p>
            <w:pPr>
              <w:jc w:val="center"/>
              <w:rPr>
                <w:rFonts w:hint="eastAsia" w:ascii="仿宋" w:hAnsi="仿宋" w:eastAsia="仿宋" w:cs="仿宋"/>
                <w:b/>
                <w:bCs/>
                <w:sz w:val="28"/>
                <w:szCs w:val="28"/>
                <w:vertAlign w:val="baseline"/>
              </w:rPr>
            </w:pPr>
            <w:r>
              <w:rPr>
                <w:rFonts w:hint="eastAsia" w:ascii="黑体" w:hAnsi="黑体" w:eastAsia="黑体" w:cs="黑体"/>
                <w:b w:val="0"/>
                <w:bCs w:val="0"/>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continue"/>
            <w:noWrap w:val="0"/>
            <w:vAlign w:val="center"/>
          </w:tcPr>
          <w:p>
            <w:pPr>
              <w:jc w:val="center"/>
              <w:rPr>
                <w:rFonts w:hint="eastAsia" w:ascii="黑体" w:hAnsi="黑体" w:eastAsia="黑体" w:cs="黑体"/>
                <w:b w:val="0"/>
                <w:bCs w:val="0"/>
                <w:sz w:val="28"/>
                <w:szCs w:val="28"/>
                <w:vertAlign w:val="baseline"/>
              </w:rPr>
            </w:pPr>
          </w:p>
        </w:tc>
        <w:tc>
          <w:tcPr>
            <w:tcW w:w="827" w:type="dxa"/>
            <w:vMerge w:val="continue"/>
            <w:noWrap w:val="0"/>
            <w:vAlign w:val="center"/>
          </w:tcPr>
          <w:p>
            <w:pPr>
              <w:jc w:val="center"/>
              <w:rPr>
                <w:rFonts w:hint="eastAsia" w:ascii="黑体" w:hAnsi="黑体" w:eastAsia="黑体" w:cs="黑体"/>
                <w:b w:val="0"/>
                <w:bCs w:val="0"/>
                <w:sz w:val="28"/>
                <w:szCs w:val="28"/>
                <w:vertAlign w:val="baseline"/>
              </w:rPr>
            </w:pPr>
          </w:p>
        </w:tc>
        <w:tc>
          <w:tcPr>
            <w:tcW w:w="867" w:type="dxa"/>
            <w:vMerge w:val="continue"/>
            <w:noWrap w:val="0"/>
            <w:vAlign w:val="center"/>
          </w:tcPr>
          <w:p>
            <w:pPr>
              <w:jc w:val="center"/>
              <w:rPr>
                <w:rFonts w:hint="eastAsia" w:ascii="黑体" w:hAnsi="黑体" w:eastAsia="黑体" w:cs="黑体"/>
                <w:b w:val="0"/>
                <w:bCs w:val="0"/>
                <w:sz w:val="28"/>
                <w:szCs w:val="28"/>
                <w:vertAlign w:val="baseline"/>
              </w:rPr>
            </w:pPr>
          </w:p>
        </w:tc>
        <w:tc>
          <w:tcPr>
            <w:tcW w:w="1432"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事项名称</w:t>
            </w:r>
          </w:p>
        </w:tc>
        <w:tc>
          <w:tcPr>
            <w:tcW w:w="1650"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事项依据</w:t>
            </w:r>
          </w:p>
        </w:tc>
        <w:tc>
          <w:tcPr>
            <w:tcW w:w="2124" w:type="dxa"/>
            <w:noWrap w:val="0"/>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val="en-US" w:eastAsia="zh-CN"/>
              </w:rPr>
              <w:t>责任</w:t>
            </w:r>
            <w:r>
              <w:rPr>
                <w:rFonts w:hint="eastAsia" w:ascii="黑体" w:hAnsi="黑体" w:eastAsia="黑体" w:cs="黑体"/>
                <w:b w:val="0"/>
                <w:bCs w:val="0"/>
                <w:sz w:val="28"/>
                <w:szCs w:val="28"/>
                <w:vertAlign w:val="baseline"/>
              </w:rPr>
              <w:t>事项</w:t>
            </w:r>
            <w:r>
              <w:rPr>
                <w:rFonts w:hint="eastAsia" w:ascii="黑体" w:hAnsi="黑体" w:eastAsia="黑体" w:cs="黑体"/>
                <w:b w:val="0"/>
                <w:bCs w:val="0"/>
                <w:sz w:val="28"/>
                <w:szCs w:val="28"/>
                <w:vertAlign w:val="baseline"/>
                <w:lang w:val="en-US" w:eastAsia="zh-CN"/>
              </w:rPr>
              <w:t>内容</w:t>
            </w:r>
          </w:p>
        </w:tc>
        <w:tc>
          <w:tcPr>
            <w:tcW w:w="2359"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责任事项依据</w:t>
            </w:r>
          </w:p>
        </w:tc>
        <w:tc>
          <w:tcPr>
            <w:tcW w:w="1950"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追责情形</w:t>
            </w:r>
          </w:p>
        </w:tc>
        <w:tc>
          <w:tcPr>
            <w:tcW w:w="1774"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追责形式</w:t>
            </w:r>
          </w:p>
        </w:tc>
        <w:tc>
          <w:tcPr>
            <w:tcW w:w="854" w:type="dxa"/>
            <w:vMerge w:val="continue"/>
            <w:noWrap w:val="0"/>
            <w:vAlign w:val="center"/>
          </w:tcPr>
          <w:p>
            <w:pPr>
              <w:jc w:val="center"/>
              <w:rPr>
                <w:rFonts w:hint="eastAsia" w:ascii="仿宋" w:hAnsi="仿宋" w:eastAsia="仿宋" w:cs="仿宋"/>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479" w:type="dxa"/>
            <w:noWrap w:val="0"/>
            <w:vAlign w:val="center"/>
          </w:tcPr>
          <w:p>
            <w:pPr>
              <w:ind w:firstLine="387" w:firstLineChars="0"/>
              <w:jc w:val="center"/>
              <w:rPr>
                <w:rFonts w:hint="eastAsia" w:ascii="仿宋" w:hAnsi="仿宋" w:eastAsia="仿宋" w:cs="仿宋"/>
                <w:b/>
                <w:bCs/>
                <w:sz w:val="22"/>
                <w:szCs w:val="22"/>
              </w:rPr>
            </w:pPr>
          </w:p>
        </w:tc>
        <w:tc>
          <w:tcPr>
            <w:tcW w:w="827" w:type="dxa"/>
            <w:noWrap w:val="0"/>
            <w:vAlign w:val="center"/>
          </w:tcPr>
          <w:p>
            <w:pPr>
              <w:widowControl/>
              <w:spacing w:line="300" w:lineRule="exact"/>
              <w:jc w:val="left"/>
              <w:textAlignment w:val="center"/>
              <w:rPr>
                <w:rFonts w:hint="eastAsia" w:ascii="宋体" w:hAnsi="宋体" w:eastAsia="宋体" w:cs="宋体"/>
                <w:kern w:val="0"/>
                <w:sz w:val="18"/>
                <w:szCs w:val="18"/>
                <w:lang w:val="en-US" w:eastAsia="zh-CN" w:bidi="ar-SA"/>
              </w:rPr>
            </w:pPr>
            <w:r>
              <w:rPr>
                <w:rFonts w:hint="eastAsia" w:ascii="宋体" w:hAnsi="宋体" w:cs="宋体"/>
                <w:color w:val="000000"/>
                <w:kern w:val="0"/>
                <w:sz w:val="18"/>
                <w:szCs w:val="18"/>
              </w:rPr>
              <w:t>其他权力</w:t>
            </w:r>
          </w:p>
        </w:tc>
        <w:tc>
          <w:tcPr>
            <w:tcW w:w="867" w:type="dxa"/>
            <w:noWrap w:val="0"/>
            <w:vAlign w:val="center"/>
          </w:tcPr>
          <w:p>
            <w:pPr>
              <w:widowControl/>
              <w:spacing w:line="300" w:lineRule="exact"/>
              <w:jc w:val="left"/>
              <w:textAlignment w:val="center"/>
              <w:rPr>
                <w:rFonts w:hint="default" w:ascii="仿宋_GB2312" w:hAnsi="Calibri" w:eastAsia="仿宋_GB2312" w:cs="Times New Roman"/>
                <w:kern w:val="2"/>
                <w:sz w:val="18"/>
                <w:szCs w:val="18"/>
                <w:lang w:val="en-US" w:eastAsia="zh-CN" w:bidi="ar-SA"/>
              </w:rPr>
            </w:pPr>
            <w:r>
              <w:rPr>
                <w:rFonts w:hint="eastAsia" w:ascii="仿宋_GB2312" w:eastAsia="仿宋_GB2312" w:cs="Times New Roman"/>
                <w:kern w:val="2"/>
                <w:sz w:val="18"/>
                <w:szCs w:val="18"/>
                <w:lang w:val="en-US" w:eastAsia="zh-CN" w:bidi="ar-SA"/>
              </w:rPr>
              <w:t>0500-Z-01300-141122</w:t>
            </w:r>
          </w:p>
        </w:tc>
        <w:tc>
          <w:tcPr>
            <w:tcW w:w="1432" w:type="dxa"/>
            <w:noWrap w:val="0"/>
            <w:vAlign w:val="center"/>
          </w:tcPr>
          <w:p>
            <w:pPr>
              <w:spacing w:line="300" w:lineRule="exac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确定义务教育阶段学生划片入学的服务范围</w:t>
            </w:r>
          </w:p>
        </w:tc>
        <w:tc>
          <w:tcPr>
            <w:tcW w:w="1650" w:type="dxa"/>
            <w:noWrap w:val="0"/>
            <w:vAlign w:val="center"/>
          </w:tcPr>
          <w:p>
            <w:pPr>
              <w:widowControl/>
              <w:spacing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【法律】</w:t>
            </w:r>
          </w:p>
          <w:p>
            <w:pPr>
              <w:widowControl/>
              <w:spacing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《中华人民共和国义务教育法》第十二条；                              【法规】</w:t>
            </w:r>
          </w:p>
          <w:p>
            <w:pPr>
              <w:widowControl/>
              <w:spacing w:line="3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《山西省实施中华人民共和国义务教育法办法》第十四条；                      </w:t>
            </w:r>
          </w:p>
          <w:p>
            <w:pPr>
              <w:widowControl/>
              <w:spacing w:line="300" w:lineRule="exact"/>
              <w:jc w:val="left"/>
              <w:textAlignment w:val="center"/>
              <w:rPr>
                <w:rFonts w:hint="eastAsia" w:ascii="宋体" w:hAnsi="宋体" w:eastAsia="宋体" w:cs="宋体"/>
                <w:kern w:val="2"/>
                <w:sz w:val="18"/>
                <w:szCs w:val="18"/>
                <w:shd w:val="clear" w:color="auto" w:fill="FFFFFF"/>
                <w:lang w:val="en-US" w:eastAsia="zh-CN" w:bidi="ar-SA"/>
              </w:rPr>
            </w:pPr>
            <w:r>
              <w:rPr>
                <w:rFonts w:hint="eastAsia" w:ascii="宋体" w:hAnsi="宋体" w:cs="宋体"/>
                <w:color w:val="000000"/>
                <w:kern w:val="0"/>
                <w:sz w:val="18"/>
                <w:szCs w:val="18"/>
              </w:rPr>
              <w:t>《山西省中小学学籍管理办法实施细则（试行）》第九条第三款。</w:t>
            </w:r>
          </w:p>
        </w:tc>
        <w:tc>
          <w:tcPr>
            <w:tcW w:w="2124" w:type="dxa"/>
            <w:noWrap w:val="0"/>
            <w:vAlign w:val="center"/>
          </w:tcPr>
          <w:p>
            <w:pPr>
              <w:widowControl/>
              <w:spacing w:line="300" w:lineRule="exact"/>
              <w:jc w:val="left"/>
              <w:textAlignment w:val="center"/>
              <w:rPr>
                <w:rFonts w:hint="eastAsia" w:ascii="宋体" w:hAnsi="宋体" w:eastAsia="宋体" w:cs="宋体"/>
                <w:kern w:val="2"/>
                <w:sz w:val="18"/>
                <w:szCs w:val="18"/>
                <w:shd w:val="clear" w:color="auto" w:fill="FFFFFF"/>
                <w:lang w:val="en-US" w:eastAsia="zh-CN" w:bidi="ar-SA"/>
              </w:rPr>
            </w:pPr>
            <w:r>
              <w:rPr>
                <w:rFonts w:hint="eastAsia" w:ascii="宋体" w:hAnsi="宋体" w:cs="宋体"/>
                <w:color w:val="000000"/>
                <w:kern w:val="0"/>
                <w:sz w:val="18"/>
                <w:szCs w:val="18"/>
              </w:rPr>
              <w:t>1.及时公示新生入学条件、服务区范围、招生计划及入学需提供的材料。</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2.根据材料审核情况，对符合入学条件的学生按服务区划片就近入学。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3.建立实施监督检查的运行机制和管理制度，开展定期和不定期检查，依法采取相关处置措施。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4.其他法律法规规章规定应履行的责任。</w:t>
            </w:r>
          </w:p>
        </w:tc>
        <w:tc>
          <w:tcPr>
            <w:tcW w:w="2359" w:type="dxa"/>
            <w:noWrap w:val="0"/>
            <w:vAlign w:val="center"/>
          </w:tcPr>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【法律】《中华人民共和国公务员法》第五十三条至五十五条。                 【行政法规】《行政机关公务员处分条例》（国务院第495号令）；                                                    </w:t>
            </w:r>
          </w:p>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【地方性法规】《山西省行政执法条例》第十三条、第四十至四十二条；</w:t>
            </w:r>
          </w:p>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【党内法规】《中国共产党纪律处分条例》；  </w:t>
            </w:r>
          </w:p>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【规范性文件】《山西省行政机关及其工作人员行政过错责任追究暂行办法 》；</w:t>
            </w:r>
          </w:p>
          <w:p>
            <w:pPr>
              <w:jc w:val="center"/>
              <w:rPr>
                <w:rFonts w:hint="eastAsia" w:ascii="仿宋" w:hAnsi="仿宋" w:eastAsia="仿宋" w:cs="仿宋"/>
                <w:b/>
                <w:bCs/>
                <w:sz w:val="22"/>
                <w:szCs w:val="22"/>
              </w:rPr>
            </w:pPr>
            <w:r>
              <w:rPr>
                <w:rFonts w:hint="eastAsia" w:ascii="宋体" w:hAnsi="宋体" w:cs="宋体"/>
                <w:sz w:val="18"/>
                <w:szCs w:val="18"/>
                <w:shd w:val="clear" w:color="auto" w:fill="FFFFFF"/>
              </w:rPr>
              <w:t>《吕梁市行政执法责任追究暂行办法》第八条、第二十三条、第二十四条、第二十五条</w:t>
            </w:r>
          </w:p>
        </w:tc>
        <w:tc>
          <w:tcPr>
            <w:tcW w:w="1950" w:type="dxa"/>
            <w:noWrap w:val="0"/>
            <w:vAlign w:val="center"/>
          </w:tcPr>
          <w:p>
            <w:pPr>
              <w:jc w:val="center"/>
              <w:rPr>
                <w:rFonts w:hint="eastAsia" w:ascii="仿宋" w:hAnsi="仿宋" w:eastAsia="仿宋" w:cs="仿宋"/>
                <w:b/>
                <w:bCs/>
                <w:sz w:val="22"/>
                <w:szCs w:val="22"/>
              </w:rPr>
            </w:pPr>
            <w:r>
              <w:rPr>
                <w:rFonts w:hint="eastAsia" w:ascii="宋体" w:hAnsi="宋体" w:cs="宋体"/>
                <w:color w:val="000000"/>
                <w:kern w:val="0"/>
                <w:sz w:val="18"/>
                <w:szCs w:val="18"/>
              </w:rPr>
              <w:t>1.不按规定及时公示入学条件、服务区范围、招生办法、招生计划等信息的。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2.不按规定时间公布划分名单。                             3.其他违反法律法规规章规定的行为。</w:t>
            </w:r>
          </w:p>
        </w:tc>
        <w:tc>
          <w:tcPr>
            <w:tcW w:w="1774" w:type="dxa"/>
            <w:noWrap w:val="0"/>
            <w:vAlign w:val="center"/>
          </w:tcPr>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（一）行政处理</w:t>
            </w:r>
          </w:p>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1.诫勉谈话或者责令书面检讨；                  2.通报批评；                    3.暂扣行政执法证件；                             4.责令离岗培训；                     5.调离执法岗位；                             6.取消执法资格；          7.依法追偿部分或者全部行政赔偿费用。        </w:t>
            </w:r>
          </w:p>
          <w:p>
            <w:pPr>
              <w:spacing w:line="300" w:lineRule="exact"/>
              <w:jc w:val="left"/>
              <w:rPr>
                <w:rFonts w:hint="eastAsia" w:ascii="宋体" w:hAnsi="宋体" w:cs="宋体"/>
                <w:sz w:val="18"/>
                <w:szCs w:val="18"/>
                <w:shd w:val="clear" w:color="auto" w:fill="FFFFFF"/>
              </w:rPr>
            </w:pPr>
            <w:r>
              <w:rPr>
                <w:rFonts w:hint="eastAsia" w:ascii="宋体" w:hAnsi="宋体" w:cs="宋体"/>
                <w:sz w:val="18"/>
                <w:szCs w:val="18"/>
                <w:shd w:val="clear" w:color="auto" w:fill="FFFFFF"/>
              </w:rPr>
              <w:t xml:space="preserve">（二)行政处分：警告、记过、记大过、降级、撤职、开除              </w:t>
            </w:r>
          </w:p>
          <w:p>
            <w:p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cs="宋体"/>
                <w:sz w:val="18"/>
                <w:szCs w:val="18"/>
                <w:shd w:val="clear" w:color="auto" w:fill="FFFFFF"/>
              </w:rPr>
              <w:t>（三）党纪处分：警告、严重警告、撤销党内职务、留党察看、开除党籍。              （四）其他法律责任。</w:t>
            </w:r>
          </w:p>
        </w:tc>
        <w:tc>
          <w:tcPr>
            <w:tcW w:w="854" w:type="dxa"/>
            <w:noWrap w:val="0"/>
            <w:vAlign w:val="center"/>
          </w:tcPr>
          <w:p>
            <w:pPr>
              <w:jc w:val="center"/>
              <w:rPr>
                <w:rFonts w:hint="eastAsia" w:ascii="仿宋" w:hAnsi="仿宋" w:eastAsia="仿宋" w:cs="仿宋"/>
                <w:b/>
                <w:bCs/>
                <w:sz w:val="22"/>
                <w:szCs w:val="22"/>
              </w:rPr>
            </w:pPr>
          </w:p>
        </w:tc>
      </w:tr>
    </w:tbl>
    <w:p>
      <w:pPr>
        <w:ind w:firstLine="3855" w:firstLineChars="800"/>
        <w:jc w:val="both"/>
        <w:rPr>
          <w:rFonts w:hint="eastAsia" w:ascii="仿宋" w:hAnsi="仿宋" w:eastAsia="仿宋" w:cs="仿宋"/>
          <w:b/>
          <w:bCs/>
          <w:sz w:val="48"/>
          <w:szCs w:val="48"/>
        </w:rPr>
      </w:pPr>
      <w:r>
        <w:rPr>
          <w:rFonts w:hint="eastAsia" w:ascii="宋体" w:hAnsi="宋体" w:cs="宋体"/>
          <w:b/>
          <w:bCs/>
          <w:sz w:val="48"/>
          <w:szCs w:val="48"/>
          <w:lang w:val="en-US" w:eastAsia="zh-CN"/>
        </w:rPr>
        <w:t>交城县教育科技局行政执法事项清单</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827"/>
        <w:gridCol w:w="867"/>
        <w:gridCol w:w="1432"/>
        <w:gridCol w:w="1650"/>
        <w:gridCol w:w="2124"/>
        <w:gridCol w:w="2359"/>
        <w:gridCol w:w="1950"/>
        <w:gridCol w:w="177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序号</w:t>
            </w:r>
          </w:p>
        </w:tc>
        <w:tc>
          <w:tcPr>
            <w:tcW w:w="827" w:type="dxa"/>
            <w:vMerge w:val="restart"/>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事项类别</w:t>
            </w:r>
          </w:p>
        </w:tc>
        <w:tc>
          <w:tcPr>
            <w:tcW w:w="867" w:type="dxa"/>
            <w:vMerge w:val="restart"/>
            <w:noWrap w:val="0"/>
            <w:vAlign w:val="center"/>
          </w:tcPr>
          <w:p>
            <w:pPr>
              <w:jc w:val="center"/>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事项编码</w:t>
            </w:r>
          </w:p>
        </w:tc>
        <w:tc>
          <w:tcPr>
            <w:tcW w:w="3082" w:type="dxa"/>
            <w:gridSpan w:val="2"/>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权力清单</w:t>
            </w:r>
          </w:p>
        </w:tc>
        <w:tc>
          <w:tcPr>
            <w:tcW w:w="8207" w:type="dxa"/>
            <w:gridSpan w:val="4"/>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责任清单</w:t>
            </w:r>
          </w:p>
        </w:tc>
        <w:tc>
          <w:tcPr>
            <w:tcW w:w="854" w:type="dxa"/>
            <w:vMerge w:val="restart"/>
            <w:noWrap w:val="0"/>
            <w:vAlign w:val="center"/>
          </w:tcPr>
          <w:p>
            <w:pPr>
              <w:jc w:val="center"/>
              <w:rPr>
                <w:rFonts w:hint="eastAsia" w:ascii="仿宋" w:hAnsi="仿宋" w:eastAsia="仿宋" w:cs="仿宋"/>
                <w:b/>
                <w:bCs/>
                <w:sz w:val="28"/>
                <w:szCs w:val="28"/>
                <w:vertAlign w:val="baseline"/>
              </w:rPr>
            </w:pPr>
            <w:r>
              <w:rPr>
                <w:rFonts w:hint="eastAsia" w:ascii="黑体" w:hAnsi="黑体" w:eastAsia="黑体" w:cs="黑体"/>
                <w:b w:val="0"/>
                <w:bCs w:val="0"/>
                <w:sz w:val="28"/>
                <w:szCs w:val="28"/>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79" w:type="dxa"/>
            <w:vMerge w:val="continue"/>
            <w:noWrap w:val="0"/>
            <w:vAlign w:val="center"/>
          </w:tcPr>
          <w:p>
            <w:pPr>
              <w:jc w:val="center"/>
              <w:rPr>
                <w:rFonts w:hint="eastAsia" w:ascii="黑体" w:hAnsi="黑体" w:eastAsia="黑体" w:cs="黑体"/>
                <w:b w:val="0"/>
                <w:bCs w:val="0"/>
                <w:sz w:val="28"/>
                <w:szCs w:val="28"/>
                <w:vertAlign w:val="baseline"/>
              </w:rPr>
            </w:pPr>
          </w:p>
        </w:tc>
        <w:tc>
          <w:tcPr>
            <w:tcW w:w="827" w:type="dxa"/>
            <w:vMerge w:val="continue"/>
            <w:noWrap w:val="0"/>
            <w:vAlign w:val="center"/>
          </w:tcPr>
          <w:p>
            <w:pPr>
              <w:jc w:val="center"/>
              <w:rPr>
                <w:rFonts w:hint="eastAsia" w:ascii="黑体" w:hAnsi="黑体" w:eastAsia="黑体" w:cs="黑体"/>
                <w:b w:val="0"/>
                <w:bCs w:val="0"/>
                <w:sz w:val="28"/>
                <w:szCs w:val="28"/>
                <w:vertAlign w:val="baseline"/>
              </w:rPr>
            </w:pPr>
          </w:p>
        </w:tc>
        <w:tc>
          <w:tcPr>
            <w:tcW w:w="867" w:type="dxa"/>
            <w:vMerge w:val="continue"/>
            <w:noWrap w:val="0"/>
            <w:vAlign w:val="center"/>
          </w:tcPr>
          <w:p>
            <w:pPr>
              <w:jc w:val="center"/>
              <w:rPr>
                <w:rFonts w:hint="eastAsia" w:ascii="黑体" w:hAnsi="黑体" w:eastAsia="黑体" w:cs="黑体"/>
                <w:b w:val="0"/>
                <w:bCs w:val="0"/>
                <w:sz w:val="28"/>
                <w:szCs w:val="28"/>
                <w:vertAlign w:val="baseline"/>
              </w:rPr>
            </w:pPr>
          </w:p>
        </w:tc>
        <w:tc>
          <w:tcPr>
            <w:tcW w:w="1432"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事项名称</w:t>
            </w:r>
          </w:p>
        </w:tc>
        <w:tc>
          <w:tcPr>
            <w:tcW w:w="1650"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事项依据</w:t>
            </w:r>
          </w:p>
        </w:tc>
        <w:tc>
          <w:tcPr>
            <w:tcW w:w="2124" w:type="dxa"/>
            <w:noWrap w:val="0"/>
            <w:vAlign w:val="center"/>
          </w:tcPr>
          <w:p>
            <w:pPr>
              <w:jc w:val="center"/>
              <w:rPr>
                <w:rFonts w:hint="eastAsia" w:ascii="黑体" w:hAnsi="黑体" w:eastAsia="黑体" w:cs="黑体"/>
                <w:b w:val="0"/>
                <w:bCs w:val="0"/>
                <w:sz w:val="28"/>
                <w:szCs w:val="28"/>
                <w:vertAlign w:val="baseline"/>
                <w:lang w:eastAsia="zh-CN"/>
              </w:rPr>
            </w:pPr>
            <w:r>
              <w:rPr>
                <w:rFonts w:hint="eastAsia" w:ascii="黑体" w:hAnsi="黑体" w:eastAsia="黑体" w:cs="黑体"/>
                <w:b w:val="0"/>
                <w:bCs w:val="0"/>
                <w:sz w:val="28"/>
                <w:szCs w:val="28"/>
                <w:vertAlign w:val="baseline"/>
                <w:lang w:val="en-US" w:eastAsia="zh-CN"/>
              </w:rPr>
              <w:t>责任</w:t>
            </w:r>
            <w:r>
              <w:rPr>
                <w:rFonts w:hint="eastAsia" w:ascii="黑体" w:hAnsi="黑体" w:eastAsia="黑体" w:cs="黑体"/>
                <w:b w:val="0"/>
                <w:bCs w:val="0"/>
                <w:sz w:val="28"/>
                <w:szCs w:val="28"/>
                <w:vertAlign w:val="baseline"/>
              </w:rPr>
              <w:t>事项</w:t>
            </w:r>
            <w:r>
              <w:rPr>
                <w:rFonts w:hint="eastAsia" w:ascii="黑体" w:hAnsi="黑体" w:eastAsia="黑体" w:cs="黑体"/>
                <w:b w:val="0"/>
                <w:bCs w:val="0"/>
                <w:sz w:val="28"/>
                <w:szCs w:val="28"/>
                <w:vertAlign w:val="baseline"/>
                <w:lang w:val="en-US" w:eastAsia="zh-CN"/>
              </w:rPr>
              <w:t>内容</w:t>
            </w:r>
          </w:p>
        </w:tc>
        <w:tc>
          <w:tcPr>
            <w:tcW w:w="2359" w:type="dxa"/>
            <w:noWrap w:val="0"/>
            <w:vAlign w:val="center"/>
          </w:tcPr>
          <w:p>
            <w:pPr>
              <w:jc w:val="center"/>
              <w:rPr>
                <w:rFonts w:hint="eastAsia" w:ascii="黑体" w:hAnsi="黑体" w:eastAsia="黑体" w:cs="黑体"/>
                <w:b w:val="0"/>
                <w:bCs w:val="0"/>
                <w:sz w:val="28"/>
                <w:szCs w:val="28"/>
                <w:vertAlign w:val="baseline"/>
              </w:rPr>
            </w:pPr>
            <w:r>
              <w:rPr>
                <w:rFonts w:hint="eastAsia" w:ascii="黑体" w:hAnsi="黑体" w:eastAsia="黑体" w:cs="黑体"/>
                <w:b w:val="0"/>
                <w:bCs w:val="0"/>
                <w:sz w:val="28"/>
                <w:szCs w:val="28"/>
                <w:vertAlign w:val="baseline"/>
              </w:rPr>
              <w:t>责任事项依据</w:t>
            </w:r>
          </w:p>
        </w:tc>
        <w:tc>
          <w:tcPr>
            <w:tcW w:w="1950"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追责情形</w:t>
            </w:r>
          </w:p>
        </w:tc>
        <w:tc>
          <w:tcPr>
            <w:tcW w:w="1774" w:type="dxa"/>
            <w:noWrap w:val="0"/>
            <w:vAlign w:val="center"/>
          </w:tcPr>
          <w:p>
            <w:pPr>
              <w:jc w:val="center"/>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追责形式</w:t>
            </w:r>
          </w:p>
        </w:tc>
        <w:tc>
          <w:tcPr>
            <w:tcW w:w="854" w:type="dxa"/>
            <w:vMerge w:val="continue"/>
            <w:noWrap w:val="0"/>
            <w:vAlign w:val="center"/>
          </w:tcPr>
          <w:p>
            <w:pPr>
              <w:jc w:val="center"/>
              <w:rPr>
                <w:rFonts w:hint="eastAsia" w:ascii="仿宋" w:hAnsi="仿宋" w:eastAsia="仿宋" w:cs="仿宋"/>
                <w:b/>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1" w:hRule="atLeast"/>
        </w:trPr>
        <w:tc>
          <w:tcPr>
            <w:tcW w:w="479" w:type="dxa"/>
            <w:noWrap w:val="0"/>
            <w:vAlign w:val="center"/>
          </w:tcPr>
          <w:p>
            <w:pPr>
              <w:ind w:firstLine="387" w:firstLineChars="0"/>
              <w:jc w:val="center"/>
              <w:rPr>
                <w:rFonts w:hint="eastAsia" w:ascii="仿宋" w:hAnsi="仿宋" w:eastAsia="仿宋" w:cs="仿宋"/>
                <w:b/>
                <w:bCs/>
                <w:sz w:val="22"/>
                <w:szCs w:val="22"/>
              </w:rPr>
            </w:pPr>
          </w:p>
        </w:tc>
        <w:tc>
          <w:tcPr>
            <w:tcW w:w="827" w:type="dxa"/>
            <w:noWrap w:val="0"/>
            <w:vAlign w:val="center"/>
          </w:tcPr>
          <w:p>
            <w:pPr>
              <w:spacing w:line="300" w:lineRule="exac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行政许可</w:t>
            </w:r>
          </w:p>
        </w:tc>
        <w:tc>
          <w:tcPr>
            <w:tcW w:w="867" w:type="dxa"/>
            <w:noWrap w:val="0"/>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仿宋_GB2312" w:eastAsia="仿宋_GB2312" w:cs="Times New Roman"/>
                <w:kern w:val="2"/>
                <w:sz w:val="18"/>
                <w:szCs w:val="18"/>
                <w:lang w:val="en-US" w:eastAsia="zh-CN" w:bidi="ar-SA"/>
              </w:rPr>
              <w:t>0500-A-02800-141122</w:t>
            </w:r>
          </w:p>
        </w:tc>
        <w:tc>
          <w:tcPr>
            <w:tcW w:w="1432" w:type="dxa"/>
            <w:noWrap w:val="0"/>
            <w:vAlign w:val="center"/>
          </w:tcPr>
          <w:p>
            <w:pPr>
              <w:spacing w:line="300" w:lineRule="exact"/>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举办初等职业学校审核</w:t>
            </w:r>
          </w:p>
        </w:tc>
        <w:tc>
          <w:tcPr>
            <w:tcW w:w="1650" w:type="dxa"/>
            <w:noWrap w:val="0"/>
            <w:vAlign w:val="center"/>
          </w:tcPr>
          <w:p>
            <w:pPr>
              <w:spacing w:line="300" w:lineRule="exact"/>
              <w:jc w:val="left"/>
              <w:rPr>
                <w:rFonts w:hint="eastAsia" w:ascii="宋体" w:hAnsi="宋体" w:eastAsia="宋体" w:cs="宋体"/>
                <w:kern w:val="2"/>
                <w:sz w:val="18"/>
                <w:szCs w:val="18"/>
                <w:shd w:val="clear" w:color="auto" w:fill="FFFFFF"/>
                <w:lang w:val="en-US" w:eastAsia="zh-CN" w:bidi="ar-SA"/>
              </w:rPr>
            </w:pPr>
            <w:r>
              <w:rPr>
                <w:rFonts w:hint="eastAsia" w:ascii="宋体" w:hAnsi="宋体" w:eastAsia="宋体" w:cs="宋体"/>
                <w:kern w:val="2"/>
                <w:sz w:val="18"/>
                <w:szCs w:val="18"/>
                <w:shd w:val="clear" w:color="auto" w:fill="FFFFFF"/>
                <w:lang w:val="en-US" w:eastAsia="zh-CN" w:bidi="ar-SA"/>
              </w:rPr>
              <w:t>【法律】《民办教育促进法》（2002年12月通过，2018年12月修正）第十二条：“举办实施学历教育、学前教育、自学考试助学及其他文化教育的民办学校，由县级以上人民政府教育行政部门按照国家规定的权限审批。” 第五十三条第一款：“民办学校的分立、合并，在进行财务清算后，由学校理事会或者董事会报审批机关批准。”</w:t>
            </w:r>
          </w:p>
        </w:tc>
        <w:tc>
          <w:tcPr>
            <w:tcW w:w="2124" w:type="dxa"/>
            <w:noWrap w:val="0"/>
            <w:vAlign w:val="center"/>
          </w:tcPr>
          <w:p>
            <w:pPr>
              <w:numPr>
                <w:ilvl w:val="0"/>
                <w:numId w:val="0"/>
              </w:numPr>
              <w:spacing w:line="300" w:lineRule="exact"/>
              <w:jc w:val="left"/>
              <w:rPr>
                <w:rFonts w:hint="eastAsia" w:ascii="宋体" w:hAnsi="宋体" w:eastAsia="宋体" w:cs="宋体"/>
                <w:kern w:val="2"/>
                <w:sz w:val="18"/>
                <w:szCs w:val="18"/>
                <w:shd w:val="clear" w:color="auto" w:fill="FFFFFF"/>
                <w:lang w:val="en-US" w:eastAsia="zh-CN" w:bidi="ar-SA"/>
              </w:rPr>
            </w:pPr>
          </w:p>
        </w:tc>
        <w:tc>
          <w:tcPr>
            <w:tcW w:w="2359" w:type="dxa"/>
            <w:noWrap w:val="0"/>
            <w:vAlign w:val="center"/>
          </w:tcPr>
          <w:p>
            <w:pPr>
              <w:jc w:val="center"/>
              <w:rPr>
                <w:rFonts w:hint="eastAsia" w:ascii="仿宋" w:hAnsi="仿宋" w:eastAsia="仿宋" w:cs="仿宋"/>
                <w:b/>
                <w:bCs/>
                <w:sz w:val="22"/>
                <w:szCs w:val="22"/>
              </w:rPr>
            </w:pPr>
            <w:r>
              <w:rPr>
                <w:rFonts w:hint="eastAsia" w:ascii="仿宋" w:hAnsi="仿宋" w:eastAsia="仿宋" w:cs="仿宋"/>
                <w:b/>
                <w:bCs/>
                <w:sz w:val="22"/>
                <w:szCs w:val="22"/>
              </w:rPr>
              <w:t>【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w:t>
            </w:r>
            <w:r>
              <w:rPr>
                <w:rFonts w:hint="eastAsia" w:ascii="仿宋" w:hAnsi="仿宋" w:eastAsia="仿宋" w:cs="仿宋"/>
                <w:b/>
                <w:bCs/>
                <w:sz w:val="22"/>
                <w:szCs w:val="22"/>
                <w:lang w:eastAsia="zh-CN"/>
              </w:rPr>
              <w:t>。</w:t>
            </w:r>
          </w:p>
        </w:tc>
        <w:tc>
          <w:tcPr>
            <w:tcW w:w="1950" w:type="dxa"/>
            <w:noWrap w:val="0"/>
            <w:vAlign w:val="center"/>
          </w:tcPr>
          <w:p>
            <w:pPr>
              <w:jc w:val="center"/>
              <w:rPr>
                <w:rFonts w:hint="eastAsia" w:ascii="仿宋" w:hAnsi="仿宋" w:eastAsia="仿宋" w:cs="仿宋"/>
                <w:b/>
                <w:bCs/>
                <w:sz w:val="22"/>
                <w:szCs w:val="22"/>
                <w:lang w:eastAsia="zh-CN"/>
              </w:rPr>
            </w:pPr>
            <w:r>
              <w:rPr>
                <w:rFonts w:hint="eastAsia" w:ascii="仿宋" w:hAnsi="仿宋" w:eastAsia="仿宋" w:cs="仿宋"/>
                <w:b/>
                <w:bCs/>
                <w:sz w:val="22"/>
                <w:szCs w:val="22"/>
                <w:lang w:eastAsia="zh-CN"/>
              </w:rPr>
              <w:t>（一）已受理设立申请，逾期不予答复的；（二）批准不符合本法规定条件申请的；（三）疏于管理，造成严重后果的；（四）违反国家有关规定收取费用的；（五）侵犯民办学校合法权益的；（六）其他滥用职权、徇私舞弊的。</w:t>
            </w:r>
          </w:p>
        </w:tc>
        <w:tc>
          <w:tcPr>
            <w:tcW w:w="1774" w:type="dxa"/>
            <w:noWrap w:val="0"/>
            <w:vAlign w:val="center"/>
          </w:tcPr>
          <w:p>
            <w:pPr>
              <w:jc w:val="center"/>
              <w:rPr>
                <w:rFonts w:hint="eastAsia" w:ascii="仿宋" w:hAnsi="仿宋" w:eastAsia="仿宋" w:cs="仿宋"/>
                <w:b/>
                <w:bCs/>
                <w:sz w:val="22"/>
                <w:szCs w:val="22"/>
              </w:rPr>
            </w:pPr>
            <w:r>
              <w:rPr>
                <w:rFonts w:hint="eastAsia" w:ascii="仿宋" w:hAnsi="仿宋" w:eastAsia="仿宋" w:cs="仿宋"/>
                <w:b/>
                <w:bCs/>
                <w:sz w:val="22"/>
                <w:szCs w:val="22"/>
              </w:rPr>
              <w:t>【其他法律法规规章】《监察法》《行政许可法》《国家赔偿法》《公务员法》《行政机关公务员处分条例》《政府信息公开条例》《山东省行政执法监督条例》等规定的追责情形。</w:t>
            </w:r>
          </w:p>
        </w:tc>
        <w:tc>
          <w:tcPr>
            <w:tcW w:w="854" w:type="dxa"/>
            <w:noWrap w:val="0"/>
            <w:vAlign w:val="center"/>
          </w:tcPr>
          <w:p>
            <w:pPr>
              <w:jc w:val="center"/>
              <w:rPr>
                <w:rFonts w:hint="eastAsia" w:ascii="仿宋" w:hAnsi="仿宋" w:eastAsia="仿宋" w:cs="仿宋"/>
                <w:b/>
                <w:bCs/>
                <w:sz w:val="22"/>
                <w:szCs w:val="22"/>
              </w:rPr>
            </w:pPr>
          </w:p>
        </w:tc>
      </w:tr>
    </w:tbl>
    <w:p>
      <w:pPr>
        <w:bidi w:val="0"/>
        <w:jc w:val="left"/>
        <w:rPr>
          <w:lang w:val="en-US" w:eastAsia="zh-CN"/>
        </w:rPr>
      </w:pPr>
      <w:bookmarkStart w:id="0" w:name="_GoBack"/>
      <w:bookmarkEnd w:id="0"/>
    </w:p>
    <w:sectPr>
      <w:pgSz w:w="16838" w:h="11906" w:orient="landscape"/>
      <w:pgMar w:top="1417" w:right="1134" w:bottom="141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chineseCountingThousand"/>
      <w:isLgl/>
      <w:lvlText w:val="%1"/>
      <w:lvlJc w:val="left"/>
      <w:pPr>
        <w:tabs>
          <w:tab w:val="left" w:pos="425"/>
        </w:tabs>
        <w:ind w:left="425" w:hanging="425"/>
      </w:pPr>
      <w:rPr>
        <w:rFonts w:hint="default" w:ascii="Times New Roman" w:hAnsi="Times New Roman" w:eastAsia="宋体"/>
        <w:b/>
        <w:i w:val="0"/>
        <w:sz w:val="32"/>
        <w:szCs w:val="32"/>
      </w:rPr>
    </w:lvl>
    <w:lvl w:ilvl="1" w:tentative="0">
      <w:start w:val="1"/>
      <w:numFmt w:val="decimal"/>
      <w:pStyle w:val="2"/>
      <w:isLgl/>
      <w:lvlText w:val="%1.%2"/>
      <w:lvlJc w:val="left"/>
      <w:pPr>
        <w:tabs>
          <w:tab w:val="left" w:pos="567"/>
        </w:tabs>
        <w:ind w:left="397" w:hanging="397"/>
      </w:pPr>
      <w:rPr>
        <w:rFonts w:hint="eastAsia"/>
        <w:b/>
        <w:i w:val="0"/>
        <w:sz w:val="30"/>
        <w:szCs w:val="30"/>
      </w:rPr>
    </w:lvl>
    <w:lvl w:ilvl="2" w:tentative="0">
      <w:start w:val="1"/>
      <w:numFmt w:val="decimal"/>
      <w:isLgl/>
      <w:lvlText w:val="%1.%2.%3"/>
      <w:lvlJc w:val="left"/>
      <w:pPr>
        <w:tabs>
          <w:tab w:val="left" w:pos="425"/>
        </w:tabs>
        <w:ind w:left="425" w:hanging="425"/>
      </w:pPr>
      <w:rPr>
        <w:rFonts w:hint="eastAsia"/>
        <w:b/>
        <w:sz w:val="28"/>
        <w:szCs w:val="28"/>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56407776"/>
    <w:multiLevelType w:val="singleLevel"/>
    <w:tmpl w:val="5640777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A1E14"/>
    <w:rsid w:val="00BB4575"/>
    <w:rsid w:val="00FF0D63"/>
    <w:rsid w:val="07EF6F42"/>
    <w:rsid w:val="08BD3507"/>
    <w:rsid w:val="0BAE4630"/>
    <w:rsid w:val="0F613D9E"/>
    <w:rsid w:val="119E0516"/>
    <w:rsid w:val="11BC0475"/>
    <w:rsid w:val="12590282"/>
    <w:rsid w:val="133C6579"/>
    <w:rsid w:val="14E84272"/>
    <w:rsid w:val="15E97075"/>
    <w:rsid w:val="16533B6E"/>
    <w:rsid w:val="182D221E"/>
    <w:rsid w:val="195C52D1"/>
    <w:rsid w:val="1983320C"/>
    <w:rsid w:val="1D2E4C10"/>
    <w:rsid w:val="1EF32AAB"/>
    <w:rsid w:val="20D30158"/>
    <w:rsid w:val="22125994"/>
    <w:rsid w:val="250229CF"/>
    <w:rsid w:val="26AB6142"/>
    <w:rsid w:val="2A821A99"/>
    <w:rsid w:val="2C28328D"/>
    <w:rsid w:val="2CD7678D"/>
    <w:rsid w:val="2D207F05"/>
    <w:rsid w:val="2ED8358E"/>
    <w:rsid w:val="320745DB"/>
    <w:rsid w:val="34273C24"/>
    <w:rsid w:val="345F2886"/>
    <w:rsid w:val="36042403"/>
    <w:rsid w:val="362B6145"/>
    <w:rsid w:val="374E3D64"/>
    <w:rsid w:val="3A2C0B05"/>
    <w:rsid w:val="3AC73044"/>
    <w:rsid w:val="3B0C3047"/>
    <w:rsid w:val="3BCE2870"/>
    <w:rsid w:val="3F8A2DB2"/>
    <w:rsid w:val="3FA235AE"/>
    <w:rsid w:val="40CA1E14"/>
    <w:rsid w:val="41124C09"/>
    <w:rsid w:val="416E36D5"/>
    <w:rsid w:val="41944B38"/>
    <w:rsid w:val="47FE2D92"/>
    <w:rsid w:val="486C2565"/>
    <w:rsid w:val="4C404ACD"/>
    <w:rsid w:val="4D08250A"/>
    <w:rsid w:val="4DB33ED8"/>
    <w:rsid w:val="4E0C7886"/>
    <w:rsid w:val="4EEC24AE"/>
    <w:rsid w:val="51585343"/>
    <w:rsid w:val="51C325BE"/>
    <w:rsid w:val="52240B2C"/>
    <w:rsid w:val="52EE0AFB"/>
    <w:rsid w:val="54C06EB0"/>
    <w:rsid w:val="554329E2"/>
    <w:rsid w:val="56234E62"/>
    <w:rsid w:val="5D003DAD"/>
    <w:rsid w:val="5D2F0F86"/>
    <w:rsid w:val="5D494ED6"/>
    <w:rsid w:val="5DA53C16"/>
    <w:rsid w:val="5E5239DD"/>
    <w:rsid w:val="5F4E1CD3"/>
    <w:rsid w:val="5FEB5B22"/>
    <w:rsid w:val="60155738"/>
    <w:rsid w:val="663C5CCA"/>
    <w:rsid w:val="69DB34BC"/>
    <w:rsid w:val="6B042117"/>
    <w:rsid w:val="6B4F3462"/>
    <w:rsid w:val="6BE25DED"/>
    <w:rsid w:val="6CB116A0"/>
    <w:rsid w:val="6CF951E3"/>
    <w:rsid w:val="6F066E48"/>
    <w:rsid w:val="72663157"/>
    <w:rsid w:val="74207972"/>
    <w:rsid w:val="74E5607D"/>
    <w:rsid w:val="74FB6B55"/>
    <w:rsid w:val="7599701E"/>
    <w:rsid w:val="771D118D"/>
    <w:rsid w:val="78445323"/>
    <w:rsid w:val="786E30D1"/>
    <w:rsid w:val="79086EEB"/>
    <w:rsid w:val="7A986292"/>
    <w:rsid w:val="7C165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spacing w:before="156" w:beforeLines="50" w:after="156" w:afterLines="50"/>
      <w:outlineLvl w:val="1"/>
    </w:pPr>
    <w:rPr>
      <w:rFonts w:ascii="Arial" w:hAnsi="Arial"/>
      <w:b/>
      <w:bCs/>
      <w:kern w:val="2"/>
      <w:sz w:val="30"/>
      <w:szCs w:val="32"/>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2021-05-14T02:02:00Z</dcterms:created>
  <dc:creator>hp</dc:creator>
  <cp:lastModifiedBy>hp</cp:lastModifiedBy>
  <dcterms:modified xsi:type="dcterms:W3CDTF">2021-06-24T10:17:05Z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C32C4D0D395D453E88392A5E39F69AD0</vt:lpwstr>
  </property>
</Properties>
</file>