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970005</w:t>
      </w:r>
      <w:bookmarkStart w:id="0" w:name="_GoBack"/>
      <w:bookmarkEnd w:id="0"/>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val="en-US"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val="en-US" w:eastAsia="zh-CN"/>
        </w:rPr>
        <w:t>行政检查、行政处罚</w:t>
      </w:r>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val="en-US" w:eastAsia="zh-CN"/>
        </w:rPr>
        <w:t>对侵占、毁损、拆除或者擅自移动地震监测设施，危害地震观测环境，破坏典型地震遗址、遗迹行为</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A、对侵占、毁损、拆除或者擅自移动地震监测设施，危害地震观测环境，破坏典型地震遗址、遗迹行为的</w:t>
      </w:r>
      <w:r>
        <w:rPr>
          <w:rFonts w:hint="eastAsia" w:ascii="宋体" w:hAnsi="宋体" w:eastAsia="宋体" w:cs="宋体"/>
          <w:sz w:val="28"/>
          <w:szCs w:val="28"/>
          <w:lang w:eastAsia="zh-CN"/>
        </w:rPr>
        <w:t>行政检查：《地震监测管理条例》第五条：“国务院地震工作主管部门负责全国地震监测的监督管理工作。县级以上地方人民政府负责管理地震工作的部门或者机构，负责本行政区域内地震监测的监督管理工作。”《中华人民共和国防震减灾法》、《地震监测管理条例》已设定行政处罚</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B、对侵占、毁损、拆除或者擅自移动地震监测设施，危害地震观测环境，破坏典型地震遗址、遗迹行为的</w:t>
      </w:r>
      <w:r>
        <w:rPr>
          <w:rFonts w:hint="eastAsia" w:ascii="宋体" w:hAnsi="宋体" w:eastAsia="宋体" w:cs="宋体"/>
          <w:sz w:val="28"/>
          <w:szCs w:val="28"/>
          <w:lang w:eastAsia="zh-CN"/>
        </w:rPr>
        <w:t>行政处罚：1、《中华人民共和国防震减灾法》第八十四条：“违反本法规定，有下列行为之一的，由国务院地震工作主管部门或者县级以上地方人民政府负责管理地震工作的部门或者机构责令停止违法行为，恢复原状或者采取其他补救措施；造成损失的，依法承担赔偿责任：（一）侵占、毁损、拆除或者擅自移动地震监测设施的；（二）危害地震观测环境的；（三）破坏典型地震遗址、遗迹的。单位有前款所列违法行为，情节严重的，处二万元以上二十万元以下的罚款；个人有前款所列违法行为，情节严重的，处二千元以下的罚款。构成违反治安管理行为的，由公安机关依法给予处罚。”2、《地震监测管理条例》第二十六条：“禁止占用、拆除、损坏下列地震监测设施：（一）地震监测仪器、设备和装置；（二）供地震监测使用的山洞、观测井（泉）；（三）地震监测台网中心、中继站、遥测点的用房；（四）地震监测标志；（五）地震监测专用无线通信频段、信道和通信设施；（六）用于地震监测的供电、供水设施。”3、《地震监测管理条例》第二十八条：“除依法从事本条例第三十二条、第三十三条规定的建设活动外，禁止在已划定的地震观测环境保护范围内从事下列活动：（一）爆破、采矿、采石、钻井、抽水、注水；（二）在测震观测环境保护范围内设置无线信号发射装置、进行振动作业和往复机械运动；（三）在电磁观测环境保护范围内铺设金属管线、电力电缆线路、堆放磁性物品和设置高频电磁辐射装置；（四）在地形变观测环境保护范围内进行振动作业；（五）在地下流体观测环境保护范围内堆积和填埋垃圾、进行污水处理；（六）在观测线和观测标志周围设置障碍物或者擅自移动地震观测标志。”4、《地震监测管理条例》第三十六条：“有本条例第二十六条、第二十八条所列行为之一的，由国务院地震工作主管部门或者县级以上地方人民政府负责管理地震工作的部门或者机构给予警告，责令停止违法行为，对个人可以处5000元以下的罚款，对单位处2万元以上10万元以下的罚款；构成犯罪的，依法追究刑事责任；造成损失的，依法承担赔偿责任。”</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办理方式：</w:t>
      </w:r>
      <w:r>
        <w:rPr>
          <w:rFonts w:hint="eastAsia" w:ascii="宋体" w:hAnsi="宋体" w:eastAsia="宋体" w:cs="宋体"/>
          <w:sz w:val="28"/>
          <w:szCs w:val="28"/>
          <w:lang w:val="en-US"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lang w:eastAsia="zh-CN"/>
        </w:rPr>
        <w:t>行政检查</w:t>
      </w:r>
      <w:r>
        <w:rPr>
          <w:rFonts w:hint="eastAsia" w:ascii="宋体" w:hAnsi="宋体" w:eastAsia="宋体" w:cs="宋体"/>
          <w:sz w:val="28"/>
          <w:szCs w:val="28"/>
          <w:lang w:val="en-US" w:eastAsia="zh-CN"/>
        </w:rPr>
        <w:t xml:space="preserve"> ：1、</w:t>
      </w:r>
      <w:r>
        <w:rPr>
          <w:rFonts w:hint="eastAsia" w:ascii="宋体" w:hAnsi="宋体" w:eastAsia="宋体" w:cs="宋体"/>
          <w:sz w:val="28"/>
          <w:szCs w:val="28"/>
          <w:lang w:eastAsia="zh-CN"/>
        </w:rPr>
        <w:t>制定巡查方案；2、现场核查处置；3、责令停止违法行为，恢复原状或者采取其他补救措施；4、提出处理意见。</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B、</w:t>
      </w:r>
      <w:r>
        <w:rPr>
          <w:rFonts w:hint="eastAsia" w:ascii="宋体" w:hAnsi="宋体" w:eastAsia="宋体" w:cs="宋体"/>
          <w:sz w:val="28"/>
          <w:szCs w:val="28"/>
          <w:lang w:eastAsia="zh-CN"/>
        </w:rPr>
        <w:t>行政处罚</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根据检查结果，作出行政处罚决定或移交公安机关处理；3、行政处罚决定的执行；4、结案，行政处罚材料归档。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lang w:eastAsia="zh-CN"/>
        </w:rPr>
        <w:t>行政检查：</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未发现问题；2、发现问题，情节严重的，进入行政处罚程序。</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B、</w:t>
      </w:r>
      <w:r>
        <w:rPr>
          <w:rFonts w:hint="eastAsia" w:ascii="宋体" w:hAnsi="宋体" w:eastAsia="宋体" w:cs="宋体"/>
          <w:sz w:val="28"/>
          <w:szCs w:val="28"/>
          <w:lang w:eastAsia="zh-CN"/>
        </w:rPr>
        <w:t>行政处罚：1、情节严重的，处以罚款；3、移交公安部门处理。</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02D21574"/>
    <w:rsid w:val="072812F3"/>
    <w:rsid w:val="24500D42"/>
    <w:rsid w:val="245A4EDB"/>
    <w:rsid w:val="44DE0085"/>
    <w:rsid w:val="4E7D2ECA"/>
    <w:rsid w:val="5BE11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2019-09-18T00:09:46Z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