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</w:pPr>
      <w:r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  <w:t>行政执法事项服务指南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事项编码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14210116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实施部门：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交城县应急管理局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事项类别：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行政检查、行政处罚</w:t>
      </w:r>
      <w:bookmarkStart w:id="0" w:name="_GoBack"/>
      <w:bookmarkEnd w:id="0"/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适用范围：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危化品生产经营企业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设立依据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>A、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对危险化学品生产企业安全标准化建设情况的行政检查：《山西省安全生产条例》（2016年12月8日山西省第十二届人民代表大会常务委员会第三十二次会议修订）第二十七条 矿山、金属冶炼、建筑施工、道路运输和危险物品的生产、经营、储存单位应当开展安全生产标准化建设。鼓励其他生产经营单位开展安全生产标准化建设。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办理条件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申办材料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办理方式：</w:t>
      </w:r>
      <w:r>
        <w:rPr>
          <w:rFonts w:hint="eastAsia"/>
          <w:lang w:eastAsia="zh-CN"/>
        </w:rPr>
        <w:t>现场检查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办理流程：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1、选取检查对象；2、对危险化学品生产、经营企业开展行政检查；3、未发现问题终止检查，并告知检查结果；对发现的问题依法进行处理；4、行政检查材料归档。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办理时限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收费依据及标准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结果送达：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现场下达、专人送达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行政救济途径与方式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咨询方式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监督投诉渠道：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03583535808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办理进程和结果查询：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1、未发现问题终止检查并向当事人告知检查结果；2、发现问题作出行政指导；3、对违法行为依法予以处理。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23E2D"/>
    <w:multiLevelType w:val="singleLevel"/>
    <w:tmpl w:val="41B23E2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500D42"/>
    <w:rsid w:val="11162DAF"/>
    <w:rsid w:val="1C6054E7"/>
    <w:rsid w:val="23E04739"/>
    <w:rsid w:val="24500D42"/>
    <w:rsid w:val="3A875D7D"/>
    <w:rsid w:val="57E61103"/>
    <w:rsid w:val="5BE11E4E"/>
    <w:rsid w:val="78C32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Office_11.1.0.9069_F1E327BC-269C-435d-A152-05C5408002CA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2019-09-11T00:17:00Z</dcterms:created>
  <dc:creator>Acer</dc:creator>
  <cp:lastModifiedBy>Administrator</cp:lastModifiedBy>
  <dcterms:modified xsi:type="dcterms:W3CDTF">2019-09-18T07:48:55Z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