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14210110</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lang w:eastAsia="zh-CN"/>
        </w:rPr>
        <w:t>：</w:t>
      </w:r>
      <w:r>
        <w:rPr>
          <w:rFonts w:hint="eastAsia" w:ascii="宋体" w:hAnsi="宋体" w:eastAsia="宋体" w:cs="宋体"/>
          <w:sz w:val="28"/>
          <w:szCs w:val="28"/>
          <w:lang w:val="en-US" w:eastAsia="zh-CN"/>
        </w:rPr>
        <w:t>第二类非药品类易制毒化学品经营企业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rPr>
        <w:t>对第二类非药品类易制毒化学品经营的行政检查</w:t>
      </w:r>
      <w:r>
        <w:rPr>
          <w:rFonts w:hint="eastAsia" w:ascii="宋体" w:hAnsi="宋体" w:eastAsia="宋体" w:cs="宋体"/>
          <w:sz w:val="28"/>
          <w:szCs w:val="28"/>
          <w:lang w:eastAsia="zh-CN"/>
        </w:rPr>
        <w:t>：《易制毒化学品管理条例》（国务院令第445号）第十三条第二款：经营第二类易制毒化学品的，应当自经营之日起30日内，将经营的品种、数量、主要流向等情况，向所在地的设区的市级人民政府安全生产监督管理部门备案。</w:t>
      </w:r>
    </w:p>
    <w:p>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rPr>
        <w:t>对第一类中的非药品类易制毒化学品经营的行政检查</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易制毒化学品管理条例》（国务院令第445号）第十条第二款：申请经营第一类中的非药品类易制毒化学品的，由省、自治区、直辖市人民政府安全生产监督管理部门审批。2、《山西省安全生产条例》（2016年12月8日山西省第十二届人民代表大会常务委员会第三十二次会议修订）第五十九条：负有安全生产监督管理职责的部门依法履行下列职责：</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（一）组织开展安全生产法律、法规和安全生产知识的宣传培训教育；</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（二）研究制定安全生产政策措施，并负责组织实施；</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（三）制定安全生产年度监督检查计划，开展安全生产监督检查，查处安全生产违法行为；</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（四）建立安全风险评估制度和重大安全风险源头防控制度；</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（五）建立健全重大事故隐患治理督办制度，督促生产经营单位消除重大事故隐患；</w:t>
      </w:r>
    </w:p>
    <w:p>
      <w:pPr>
        <w:rPr>
          <w:rFonts w:hint="eastAsia" w:ascii="宋体" w:hAnsi="宋体" w:eastAsia="宋体" w:cs="宋体"/>
          <w:sz w:val="28"/>
          <w:szCs w:val="28"/>
          <w:lang w:val="en-US" w:eastAsia="zh-CN"/>
        </w:rPr>
      </w:pPr>
      <w:r>
        <w:rPr>
          <w:rFonts w:hint="eastAsia" w:ascii="宋体" w:hAnsi="宋体" w:eastAsia="宋体" w:cs="宋体"/>
          <w:sz w:val="28"/>
          <w:szCs w:val="28"/>
          <w:lang w:eastAsia="zh-CN"/>
        </w:rPr>
        <w:t>  （六）法律、法规和上级以及同级人民政府规定的其他职责。3、《山西省人民政府办公厅关于印发（山西省应急管理厅职能配置、内设机构和人员编制规定）》的通知（厅字【2018】115号第十六条：危险化学品安全监督管理处（省烟火爆竹安全管理办公室）负责化工（含石油化工）、医药、危险化学品和烟花爆竹安全生产监督管理工作，依法监督检查相关行业生产、经营单位贯彻落实安全生产法律法规和标准情况，承担危险化学品安全监督管理综合工作，组织指导危险化学品登记注册和非药品类易制毒化学品生产经营监督管理等工作。</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w:t>
      </w:r>
      <w:r>
        <w:rPr>
          <w:rFonts w:hint="eastAsia" w:ascii="宋体" w:hAnsi="宋体" w:eastAsia="宋体" w:cs="宋体"/>
          <w:sz w:val="28"/>
          <w:szCs w:val="28"/>
        </w:rPr>
        <w:t>对第三类非药品类易制毒化学品经营的行政检查</w:t>
      </w:r>
      <w:r>
        <w:rPr>
          <w:rFonts w:hint="eastAsia" w:ascii="宋体" w:hAnsi="宋体" w:eastAsia="宋体" w:cs="宋体"/>
          <w:sz w:val="28"/>
          <w:szCs w:val="28"/>
          <w:lang w:eastAsia="zh-CN"/>
        </w:rPr>
        <w:t>：《易制毒化学品管理条例》（国务院令第445号）第十三条第三款：经营第三类易制毒化学品的，应当自经营之日起30日内，将经营的品种、数量、主要流向等情况，向所在地的县级人民政府安全生产监督管理部门备案。</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hint="eastAsia" w:ascii="宋体" w:hAnsi="宋体" w:eastAsia="宋体" w:cs="宋体"/>
          <w:sz w:val="28"/>
          <w:szCs w:val="28"/>
        </w:rPr>
        <w:t>对第二类非药品类易制毒化学品未经许可或者备案擅自经营的行政处罚</w:t>
      </w:r>
      <w:r>
        <w:rPr>
          <w:rFonts w:hint="eastAsia" w:ascii="宋体" w:hAnsi="宋体" w:eastAsia="宋体" w:cs="宋体"/>
          <w:sz w:val="28"/>
          <w:szCs w:val="28"/>
          <w:lang w:eastAsia="zh-CN"/>
        </w:rPr>
        <w:t>：《易制毒化学品管理条例》（国务院令第445号）第三十八条：未经许可或者备案擅自生产、经营、购买、运输易制毒化学品，伪造申请材料骗取易制毒化学品生产、经营、购买或者运输许可证，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10倍以上20倍以下的罚款，货值的20倍不足1万元的，按1万元罚款；有违法所得的，没收违法所得；有营业执照的，由市场监督管理部门吊销营业执照；构成犯罪的，依法追究刑事责任。 对有前款规定违法行为的单位或者个人，有关行政主管部门可以自作出行政处罚决定之日起3年内，停止受理其易制毒化学品生产、经营、购买、运输或者进口、出口许可申请。</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w:t>
      </w:r>
      <w:r>
        <w:rPr>
          <w:rFonts w:hint="eastAsia" w:ascii="宋体" w:hAnsi="宋体" w:eastAsia="宋体" w:cs="宋体"/>
          <w:sz w:val="28"/>
          <w:szCs w:val="28"/>
        </w:rPr>
        <w:t>对第二类非药品类易制毒化学品经营管理的行政处罚</w:t>
      </w:r>
      <w:r>
        <w:rPr>
          <w:rFonts w:hint="eastAsia" w:ascii="宋体" w:hAnsi="宋体" w:eastAsia="宋体" w:cs="宋体"/>
          <w:sz w:val="28"/>
          <w:szCs w:val="28"/>
          <w:lang w:eastAsia="zh-CN"/>
        </w:rPr>
        <w:t>：《易制毒化学品管理条例》（国务院令第445号）第四十条：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一）易制毒化学品生产、经营、购买、运输或者进口、出口单位未按规定建立安全管理制度的；（二）将许可证或者备案证明转借他人使用的；（三）超出许可的品种、数量生产、经营、购买易制毒化学品的；…（七）易制毒化学品的产品包装和使用说明书不符合本条例规定要求的；（八）生产、经营易制毒化学品的单位不如实或者不按时向有关行政主管部门和公安机关报告年度生产、经销和库存等情况的。…</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F、</w:t>
      </w:r>
      <w:r>
        <w:rPr>
          <w:rFonts w:hint="eastAsia" w:ascii="宋体" w:hAnsi="宋体" w:eastAsia="宋体" w:cs="宋体"/>
          <w:sz w:val="28"/>
          <w:szCs w:val="28"/>
        </w:rPr>
        <w:t>对第三类非药品类易制毒化学品经营管理的行政处罚</w:t>
      </w:r>
      <w:r>
        <w:rPr>
          <w:rFonts w:hint="eastAsia" w:ascii="宋体" w:hAnsi="宋体" w:eastAsia="宋体" w:cs="宋体"/>
          <w:sz w:val="28"/>
          <w:szCs w:val="28"/>
          <w:lang w:eastAsia="zh-CN"/>
        </w:rPr>
        <w:t>：《易制毒化学品管理条例》（国务院令第445号）第四十条：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一）易制毒化学品生产、经营、购买、运输或者进口、出口单位未按规定建立安全管理制度的；（二）将许可证或者备案证明转借他人使用的；（三）超出许可的品种、数量生产、经营、购买易制毒化学品的；…（七）易制毒化学品的产品包装和使用说明书不符合本条例规定要求的；（八）生产、经营易制毒化学品的单位不如实或者不按时向有关行政主管部门和公安机关报告年度生产、经销和库存等情况的。…</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w:t>
      </w:r>
      <w:r>
        <w:rPr>
          <w:rFonts w:hint="eastAsia" w:ascii="宋体" w:hAnsi="宋体" w:eastAsia="宋体" w:cs="宋体"/>
          <w:sz w:val="28"/>
          <w:szCs w:val="28"/>
        </w:rPr>
        <w:t>对第三类非药品类易制毒化学品未经许可或者备案擅自经营的行政处罚</w:t>
      </w:r>
      <w:r>
        <w:rPr>
          <w:rFonts w:hint="eastAsia" w:ascii="宋体" w:hAnsi="宋体" w:eastAsia="宋体" w:cs="宋体"/>
          <w:sz w:val="28"/>
          <w:szCs w:val="28"/>
          <w:lang w:eastAsia="zh-CN"/>
        </w:rPr>
        <w:t>：《易制毒化学品管理条例》（国务院令第445号）第三十八条：未经许可或者备案擅自生产、经营、购买、运输易制毒化学品，伪造申请材料骗取易制毒化学品生产、经营、购买或者运输许可证，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10倍以上20倍以下的罚款，货值的20倍不足1万元的，按1万元罚款；有违法所得的，没收违法所得；有营业执照的，由市场监督管理部门吊销营业执照；构成犯罪的，依法追究刑事责任。 对有前款规定违法行为的单位或者个人，有关行政主管部门可以自作出行政处罚决定之日起3年内，停止受理其易制毒化学品生产、经营、购买、运输或者进口、出口许可申请。</w:t>
      </w:r>
    </w:p>
    <w:p>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H、</w:t>
      </w:r>
      <w:r>
        <w:rPr>
          <w:rFonts w:hint="eastAsia" w:ascii="宋体" w:hAnsi="宋体" w:eastAsia="宋体" w:cs="宋体"/>
          <w:sz w:val="28"/>
          <w:szCs w:val="28"/>
        </w:rPr>
        <w:t>对第一类中的非药品类易制毒化学品未经许可或者备案擅自经营的行政处罚</w:t>
      </w:r>
      <w:r>
        <w:rPr>
          <w:rFonts w:hint="eastAsia" w:ascii="宋体" w:hAnsi="宋体" w:eastAsia="宋体" w:cs="宋体"/>
          <w:sz w:val="28"/>
          <w:szCs w:val="28"/>
          <w:lang w:eastAsia="zh-CN"/>
        </w:rPr>
        <w:t>：《易制毒化学品管理条例》第四十条：有下列行为之一的，由负有监督管理职责的行政主管部门给予警告，责令限期改正，处1万元以上5万元以下的罚款；对违反规定生产、经营、购买的易制毒化学品可以予以没收；逾期不改正的，责令限期停产停业整顿；逾期整顿不合格的，吊销相应的许可证：（一）易制毒化学品生产、经营、购买、运输或者进口、出口单位未按规定建立安全管理制度的；（二）将许可证或者备案证明转借他人使用的；（三）超出许可的品种、数量生产、经营、购买易制毒化学品的；…（七）易制毒化学品的产品包装和使用说</w:t>
      </w:r>
      <w:r>
        <w:rPr>
          <w:rFonts w:hint="eastAsia" w:ascii="宋体" w:hAnsi="宋体" w:eastAsia="宋体" w:cs="宋体"/>
          <w:sz w:val="28"/>
          <w:szCs w:val="28"/>
          <w:lang w:eastAsia="zh-CN"/>
        </w:rPr>
        <w:t>明书不符合本条例规定要求的；（八）生产、经营易制毒化学品的单位不如实或者不按时向有关行政主管部门和公安机关报告年度生产、经销和库存等情况的。 企业的易制毒化学品生产经营许可被依法吊销后，未及时到市场监督管理部门办理经营范围变更或者企业注销登记的，依照前款规定，对易制毒化学品予以没收，并处罚款。</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I、</w:t>
      </w:r>
      <w:r>
        <w:rPr>
          <w:rFonts w:hint="eastAsia" w:ascii="宋体" w:hAnsi="宋体" w:eastAsia="宋体" w:cs="宋体"/>
          <w:sz w:val="28"/>
          <w:szCs w:val="28"/>
        </w:rPr>
        <w:t>对第一类中的非药品类易制毒化学品未经许可或者备案擅自经营的行政处罚</w:t>
      </w:r>
      <w:r>
        <w:rPr>
          <w:rFonts w:hint="eastAsia" w:ascii="宋体" w:hAnsi="宋体" w:eastAsia="宋体" w:cs="宋体"/>
          <w:sz w:val="28"/>
          <w:szCs w:val="28"/>
          <w:lang w:eastAsia="zh-CN"/>
        </w:rPr>
        <w:t>：《易制毒化学品管理条例》（国务院令第445号）第三十八条：未经许可或者备案擅自生产、经营、购买、运输易制毒化学品，伪造申请材料骗取易制毒化学品生产、经营、购买或者运输许可证，使用他人的或者伪造、变造、失效的许可证生产、经营、购买、运输易制毒化学品的，由公安机关没收非法生产、经营、购买或者运输的易制毒化学品、用于非法生产易制毒化学品的原料以及非法生产、经营、购买或者运输易制毒化学品的设备、工具，处非法生产、经营、购买或者运输的易制毒化学品货值10倍以上20倍以下的罚款，货值的20倍不足1万元的，按1万元罚款；有违法所得的，没收违法所得；有营业执照的，由市场监督管理部门吊销营业执照；构成犯罪的，依法追究刑事责任。 对有前款规定违法行为的单位或者个人，有关行政主管部门可以自作出行政处罚决定之日起3年内，停止受理其易制毒化学品生产、经营、购买、运输或者进口、出口许可申请。</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ascii="宋体" w:hAnsi="宋体" w:eastAsia="宋体" w:cs="宋体"/>
          <w:sz w:val="28"/>
          <w:szCs w:val="28"/>
          <w:lang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1、制定计划；2、发放通知；3、抽取检查对象。</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B、1、制定计划；2、发放通知；3、抽取检查对象。</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C、1、制定计划；2、发放通知；3、抽取检查对象。</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F、1、对行政检查发现的违法线索启动处罚程序；2、作出处罚决定；3、结案，处罚资料归档。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H、1、对行政检查发现的违法线索启动处罚程序；2、作出处罚决定；3、结案，处罚资料归档。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I、1、对行政检查发现的违法线索启动处罚程序；2、作出处罚决定；3、结案，处罚资料归档。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现场送达、专人送达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bookmarkStart w:id="0" w:name="_GoBack"/>
      <w:bookmarkEnd w:id="0"/>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A、1、未发现问题；2、发现问题已责令整改；3、不配合检查情节严重。</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B、1、未发现问题；2、发现问题已责令整改；3、不配合检查情节严重。</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C、1、未发现问题；2、发现问题已责令整改；3、不配合检查情节严重。</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F、1、发现问题，责令限期改正可以同时处以罚款；2、逾期未改正，责令停产停业，并处罚款。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H、1、发现问题，责令限期改正可以同时处以罚款；2、逾期未改正，责令停产停业，并处罚款。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I、1、发现问题，责令限期改正可以同时处以罚款；2、逾期未改正，责令停产停业，并处罚款。</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24500D42"/>
    <w:rsid w:val="286A121B"/>
    <w:rsid w:val="336105E7"/>
    <w:rsid w:val="53947D89"/>
    <w:rsid w:val="5BE11E4E"/>
    <w:rsid w:val="5D7D107A"/>
    <w:rsid w:val="77182A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2019-09-17T08:18:07Z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