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jc w:val="left"/>
        <w:textAlignment w:val="auto"/>
        <w:rPr>
          <w:rStyle w:val="8"/>
          <w:rFonts w:hint="default" w:ascii="仿宋" w:hAnsi="仿宋" w:eastAsia="仿宋" w:cs="仿宋"/>
          <w:i w:val="0"/>
          <w:iCs w:val="0"/>
          <w:caps w:val="0"/>
          <w:color w:val="000000"/>
          <w:spacing w:val="0"/>
          <w:sz w:val="32"/>
          <w:szCs w:val="32"/>
          <w:u w:val="none"/>
          <w:shd w:val="clear" w:fill="FFFFFF"/>
          <w:lang w:val="en-US" w:eastAsia="zh-CN"/>
        </w:rPr>
      </w:pPr>
      <w:r>
        <w:rPr>
          <w:rStyle w:val="8"/>
          <w:rFonts w:hint="eastAsia" w:ascii="仿宋" w:hAnsi="仿宋" w:eastAsia="仿宋" w:cs="仿宋"/>
          <w:i w:val="0"/>
          <w:iCs w:val="0"/>
          <w:caps w:val="0"/>
          <w:color w:val="000000"/>
          <w:spacing w:val="0"/>
          <w:sz w:val="32"/>
          <w:szCs w:val="32"/>
          <w:u w:val="none"/>
          <w:shd w:val="clear" w:fill="FFFFFF"/>
          <w:lang w:val="en-US" w:eastAsia="zh-CN"/>
        </w:rPr>
        <w:t>附件2：</w:t>
      </w: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autoSpaceDE/>
        <w:autoSpaceDN/>
        <w:bidi w:val="0"/>
        <w:adjustRightInd/>
        <w:snapToGrid/>
        <w:spacing w:before="0" w:beforeAutospacing="0" w:after="0" w:afterAutospacing="0" w:line="578" w:lineRule="exact"/>
        <w:ind w:right="0"/>
        <w:jc w:val="center"/>
        <w:textAlignment w:val="auto"/>
        <w:rPr>
          <w:rFonts w:hint="eastAsia" w:ascii="仿宋" w:hAnsi="仿宋" w:eastAsia="仿宋" w:cs="仿宋"/>
          <w:i w:val="0"/>
          <w:iCs w:val="0"/>
          <w:caps w:val="0"/>
          <w:color w:val="000000"/>
          <w:spacing w:val="0"/>
          <w:sz w:val="32"/>
          <w:szCs w:val="32"/>
          <w:u w:val="none"/>
          <w:shd w:val="clear" w:fill="FFFFFF"/>
        </w:rPr>
      </w:pP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begin"/>
      </w:r>
      <w:r>
        <w:rPr>
          <w:rFonts w:hint="eastAsia" w:ascii="新宋体" w:hAnsi="新宋体" w:eastAsia="新宋体" w:cs="新宋体"/>
          <w:b/>
          <w:bCs/>
          <w:i w:val="0"/>
          <w:iCs w:val="0"/>
          <w:caps w:val="0"/>
          <w:color w:val="333333"/>
          <w:spacing w:val="0"/>
          <w:kern w:val="0"/>
          <w:sz w:val="44"/>
          <w:szCs w:val="44"/>
          <w:shd w:val="clear" w:fill="FFFFFF"/>
          <w:lang w:val="en-US" w:eastAsia="zh-CN" w:bidi="ar"/>
        </w:rPr>
        <w:instrText xml:space="preserve"> HYPERLINK "http://www.fenyang.gov.cn/zwgk/chnl1155/tzgg/202605/P020260529333835674692.docx" </w:instrTex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separate"/>
      </w:r>
      <w:r>
        <w:rPr>
          <w:rFonts w:hint="eastAsia" w:ascii="新宋体" w:hAnsi="新宋体" w:eastAsia="新宋体" w:cs="新宋体"/>
          <w:b/>
          <w:bCs/>
          <w:i w:val="0"/>
          <w:iCs w:val="0"/>
          <w:caps w:val="0"/>
          <w:color w:val="333333"/>
          <w:spacing w:val="0"/>
          <w:kern w:val="0"/>
          <w:sz w:val="44"/>
          <w:szCs w:val="44"/>
          <w:shd w:val="clear" w:fill="FFFFFF"/>
          <w:lang w:val="en-US" w:eastAsia="zh-CN" w:bidi="ar"/>
        </w:rPr>
        <w:t>第三轮中央生态环境保护督察（整改任务九号）整改任务验收公示</w:t>
      </w:r>
      <w:r>
        <w:rPr>
          <w:rFonts w:hint="eastAsia" w:ascii="新宋体" w:hAnsi="新宋体" w:eastAsia="新宋体" w:cs="新宋体"/>
          <w:b/>
          <w:bCs/>
          <w:i w:val="0"/>
          <w:iCs w:val="0"/>
          <w:caps w:val="0"/>
          <w:color w:val="333333"/>
          <w:spacing w:val="0"/>
          <w:kern w:val="0"/>
          <w:sz w:val="44"/>
          <w:szCs w:val="44"/>
          <w:shd w:val="clear" w:fill="FFFFFF"/>
          <w:lang w:val="en-US" w:eastAsia="zh-CN" w:bidi="ar"/>
        </w:rPr>
        <w:fldChar w:fldCharType="end"/>
      </w: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val="0"/>
        <w:topLinePunct/>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第三轮中央生态环境保护督察第九项整改任务已完成整改，并通过核查验收。按照《中央生态环境保护督察整改工作办法》验收销号有关要求，现将整改情况公示如下：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一、整改任务</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eastAsia="zh-CN"/>
        </w:rPr>
        <w:t>监测弄虚作假行为屡有发生。山西省2023年开展打击环境监测作假行为专项行动,但部分企业和第三方检测机构弄虚作假问题依然突出,有关部门监管不到位。吕梁市鑫明泰化工公司在开展的自行监测中漏项缺项,排污许可证规定应监测的15种污染物,仅监测9种,且未按要求开展化学需氧量、氨氮浓度监测。大同市兴华特钢等企业采用拔采样管、虚假标记、高标低校方式人为掩盖超标数据。山西科维检测技术公司存在采样人员无证上岗、擅自修改监测结果等问题,2023年以来为23家企业出具26份不实、2份虚假监测报告。山西嘉誉检测科技公司为朔州市隆豫环境治理公司出具的地下水监测报告中,地下水监测点位实际不存在,明显作假。同时,一些地方监测设施重建设轻运行,太原市清徐经济开发区挥发性有机物自动监测站点管理粗放,57个监测组分中,除了3-甲基戊烷外,均不满足质控要求。</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二、整改措施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default" w:ascii="CESI仿宋-GB13000" w:hAnsi="CESI仿宋-GB13000" w:eastAsia="CESI仿宋-GB13000" w:cs="CESI仿宋-GB13000"/>
          <w:sz w:val="32"/>
          <w:szCs w:val="32"/>
          <w:vertAlign w:val="baseline"/>
          <w:lang w:val="en-US" w:eastAsia="zh-CN"/>
        </w:rPr>
        <w:t>1</w:t>
      </w:r>
      <w:r>
        <w:rPr>
          <w:rFonts w:hint="eastAsia" w:ascii="CESI仿宋-GB13000" w:hAnsi="CESI仿宋-GB13000" w:eastAsia="CESI仿宋-GB13000" w:cs="CESI仿宋-GB13000"/>
          <w:sz w:val="32"/>
          <w:szCs w:val="32"/>
          <w:vertAlign w:val="baseline"/>
          <w:lang w:val="en-US" w:eastAsia="zh-CN"/>
        </w:rPr>
        <w:t>.</w:t>
      </w:r>
      <w:r>
        <w:rPr>
          <w:rFonts w:hint="default" w:ascii="CESI仿宋-GB13000" w:hAnsi="CESI仿宋-GB13000" w:eastAsia="CESI仿宋-GB13000" w:cs="CESI仿宋-GB13000"/>
          <w:sz w:val="32"/>
          <w:szCs w:val="32"/>
          <w:vertAlign w:val="baseline"/>
          <w:lang w:val="en-US" w:eastAsia="zh-CN"/>
        </w:rPr>
        <w:t>2025年12月底前对山西科维检测技术公司出具涉及交城县23份监测报告逐一开展审查，根据专家审查意见，分类做出处理。涉嫌出具虚假检验检测报告行为的，依据属地管理原则，移送注册地市场监督管理部门查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eastAsia" w:ascii="CESI仿宋-GB13000" w:hAnsi="CESI仿宋-GB13000" w:eastAsia="CESI仿宋-GB13000" w:cs="CESI仿宋-GB13000"/>
          <w:sz w:val="32"/>
          <w:szCs w:val="32"/>
          <w:vertAlign w:val="baseline"/>
          <w:lang w:val="en-US" w:eastAsia="zh-CN"/>
        </w:rPr>
        <w:t>2.</w:t>
      </w:r>
      <w:r>
        <w:rPr>
          <w:rFonts w:hint="default" w:ascii="CESI仿宋-GB13000" w:hAnsi="CESI仿宋-GB13000" w:eastAsia="CESI仿宋-GB13000" w:cs="CESI仿宋-GB13000"/>
          <w:sz w:val="32"/>
          <w:szCs w:val="32"/>
          <w:vertAlign w:val="baseline"/>
          <w:lang w:val="en-US" w:eastAsia="zh-CN"/>
        </w:rPr>
        <w:t>规范完善监测机构人员持证上岗和岗位管理制度。</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val="en-US" w:eastAsia="zh-CN"/>
        </w:rPr>
        <w:t>3.</w:t>
      </w:r>
      <w:r>
        <w:rPr>
          <w:rFonts w:hint="default" w:ascii="CESI仿宋-GB13000" w:hAnsi="CESI仿宋-GB13000" w:eastAsia="CESI仿宋-GB13000" w:cs="CESI仿宋-GB13000"/>
          <w:sz w:val="32"/>
          <w:szCs w:val="32"/>
          <w:vertAlign w:val="baseline"/>
          <w:lang w:val="en-US" w:eastAsia="zh-CN"/>
        </w:rPr>
        <w:t>在全</w:t>
      </w:r>
      <w:r>
        <w:rPr>
          <w:rFonts w:hint="eastAsia" w:ascii="CESI仿宋-GB13000" w:hAnsi="CESI仿宋-GB13000" w:eastAsia="CESI仿宋-GB13000" w:cs="CESI仿宋-GB13000"/>
          <w:sz w:val="32"/>
          <w:szCs w:val="32"/>
          <w:vertAlign w:val="baseline"/>
          <w:lang w:val="en-US" w:eastAsia="zh-CN"/>
        </w:rPr>
        <w:t>县</w:t>
      </w:r>
      <w:r>
        <w:rPr>
          <w:rFonts w:hint="default" w:ascii="CESI仿宋-GB13000" w:hAnsi="CESI仿宋-GB13000" w:eastAsia="CESI仿宋-GB13000" w:cs="CESI仿宋-GB13000"/>
          <w:sz w:val="32"/>
          <w:szCs w:val="32"/>
          <w:vertAlign w:val="baseline"/>
          <w:lang w:val="en-US" w:eastAsia="zh-CN"/>
        </w:rPr>
        <w:t>范围内继续开展打击环境监测数据造假专项行动，严厉打击环境监测数据造假行为。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三、整改落实情况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CESI仿宋-GB13000" w:hAnsi="CESI仿宋-GB13000" w:eastAsia="CESI仿宋-GB13000" w:cs="CESI仿宋-GB13000"/>
          <w:sz w:val="32"/>
          <w:szCs w:val="32"/>
          <w:vertAlign w:val="baseline"/>
          <w:lang w:val="en-US" w:eastAsia="zh-CN"/>
        </w:rPr>
      </w:pPr>
      <w:r>
        <w:rPr>
          <w:rFonts w:hint="eastAsia" w:ascii="CESI仿宋-GB13000" w:hAnsi="CESI仿宋-GB13000" w:eastAsia="CESI仿宋-GB13000" w:cs="CESI仿宋-GB13000"/>
          <w:kern w:val="2"/>
          <w:sz w:val="32"/>
          <w:szCs w:val="32"/>
          <w:vertAlign w:val="baseline"/>
          <w:lang w:val="en-US" w:eastAsia="zh-CN" w:bidi="ar-SA"/>
        </w:rPr>
        <w:t>1.吕梁市生态环境局交城分局于</w:t>
      </w:r>
      <w:r>
        <w:rPr>
          <w:rFonts w:hint="default" w:ascii="CESI仿宋-GB13000" w:hAnsi="CESI仿宋-GB13000" w:eastAsia="CESI仿宋-GB13000" w:cs="CESI仿宋-GB13000"/>
          <w:sz w:val="32"/>
          <w:szCs w:val="32"/>
          <w:vertAlign w:val="baseline"/>
          <w:lang w:val="en-US" w:eastAsia="zh-CN"/>
        </w:rPr>
        <w:t>2025年12月底前对山西科维检测技术公司出具的</w:t>
      </w:r>
      <w:r>
        <w:rPr>
          <w:rFonts w:hint="eastAsia" w:ascii="CESI仿宋-GB13000" w:hAnsi="CESI仿宋-GB13000" w:eastAsia="CESI仿宋-GB13000" w:cs="CESI仿宋-GB13000"/>
          <w:sz w:val="32"/>
          <w:szCs w:val="32"/>
          <w:vertAlign w:val="baseline"/>
          <w:lang w:val="en-US" w:eastAsia="zh-CN"/>
        </w:rPr>
        <w:t>涉及我</w:t>
      </w:r>
      <w:r>
        <w:rPr>
          <w:rFonts w:hint="default" w:ascii="CESI仿宋-GB13000" w:hAnsi="CESI仿宋-GB13000" w:eastAsia="CESI仿宋-GB13000" w:cs="CESI仿宋-GB13000"/>
          <w:sz w:val="32"/>
          <w:szCs w:val="32"/>
          <w:vertAlign w:val="baseline"/>
          <w:lang w:val="en-US" w:eastAsia="zh-CN"/>
        </w:rPr>
        <w:t>县23份监测报告逐一开展审查，</w:t>
      </w:r>
      <w:r>
        <w:rPr>
          <w:rFonts w:hint="eastAsia" w:ascii="CESI仿宋-GB13000" w:hAnsi="CESI仿宋-GB13000" w:eastAsia="CESI仿宋-GB13000" w:cs="CESI仿宋-GB13000"/>
          <w:sz w:val="32"/>
          <w:szCs w:val="32"/>
          <w:vertAlign w:val="baseline"/>
          <w:lang w:val="en-US" w:eastAsia="zh-CN"/>
        </w:rPr>
        <w:t>该公司在交城开展自行监测的3户企业监测报告及原始记录存在弄虚作假的问题，我局已将问题线索移送至太原市尖草坪区市场监督管理局（吕交环移[2026]1号移送函）。</w:t>
      </w:r>
    </w:p>
    <w:p>
      <w:pPr>
        <w:pStyle w:val="4"/>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Fonts w:hint="default" w:ascii="CESI仿宋-GB13000" w:hAnsi="CESI仿宋-GB13000" w:eastAsia="CESI仿宋-GB13000" w:cs="CESI仿宋-GB13000"/>
          <w:sz w:val="32"/>
          <w:szCs w:val="32"/>
          <w:vertAlign w:val="baseline"/>
          <w:lang w:val="en-US" w:eastAsia="zh-CN"/>
        </w:rPr>
      </w:pPr>
      <w:r>
        <w:rPr>
          <w:rFonts w:hint="eastAsia" w:ascii="CESI仿宋-GB13000" w:hAnsi="CESI仿宋-GB13000" w:eastAsia="CESI仿宋-GB13000" w:cs="CESI仿宋-GB13000"/>
          <w:kern w:val="2"/>
          <w:sz w:val="32"/>
          <w:szCs w:val="32"/>
          <w:vertAlign w:val="baseline"/>
          <w:lang w:val="en-US" w:eastAsia="zh-CN" w:bidi="ar-SA"/>
        </w:rPr>
        <w:t>2.交城县相关</w:t>
      </w:r>
      <w:r>
        <w:rPr>
          <w:rFonts w:hint="default" w:ascii="CESI仿宋-GB13000" w:hAnsi="CESI仿宋-GB13000" w:eastAsia="CESI仿宋-GB13000" w:cs="CESI仿宋-GB13000"/>
          <w:sz w:val="32"/>
          <w:szCs w:val="32"/>
          <w:vertAlign w:val="baseline"/>
          <w:lang w:val="en-US" w:eastAsia="zh-CN"/>
        </w:rPr>
        <w:t>监测机构人员持证上岗和岗位管理制度</w:t>
      </w:r>
      <w:r>
        <w:rPr>
          <w:rFonts w:hint="eastAsia" w:ascii="CESI仿宋-GB13000" w:hAnsi="CESI仿宋-GB13000" w:eastAsia="CESI仿宋-GB13000" w:cs="CESI仿宋-GB13000"/>
          <w:sz w:val="32"/>
          <w:szCs w:val="32"/>
          <w:vertAlign w:val="baseline"/>
          <w:lang w:val="en-US" w:eastAsia="zh-CN"/>
        </w:rPr>
        <w:t>已整改</w:t>
      </w:r>
      <w:bookmarkStart w:id="0" w:name="_GoBack"/>
      <w:bookmarkEnd w:id="0"/>
      <w:r>
        <w:rPr>
          <w:rFonts w:hint="eastAsia" w:ascii="CESI仿宋-GB13000" w:hAnsi="CESI仿宋-GB13000" w:eastAsia="CESI仿宋-GB13000" w:cs="CESI仿宋-GB13000"/>
          <w:sz w:val="32"/>
          <w:szCs w:val="32"/>
          <w:vertAlign w:val="baseline"/>
          <w:lang w:val="en-US" w:eastAsia="zh-CN"/>
        </w:rPr>
        <w:t>并完善</w:t>
      </w:r>
      <w:r>
        <w:rPr>
          <w:rFonts w:hint="default" w:ascii="CESI仿宋-GB13000" w:hAnsi="CESI仿宋-GB13000" w:eastAsia="CESI仿宋-GB13000" w:cs="CESI仿宋-GB13000"/>
          <w:sz w:val="32"/>
          <w:szCs w:val="32"/>
          <w:vertAlign w:val="baseli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CESI仿宋-GB13000" w:hAnsi="CESI仿宋-GB13000" w:eastAsia="CESI仿宋-GB13000" w:cs="CESI仿宋-GB13000"/>
          <w:sz w:val="32"/>
          <w:szCs w:val="32"/>
          <w:vertAlign w:val="baseline"/>
          <w:lang w:val="en-US" w:eastAsia="zh-CN"/>
        </w:rPr>
        <w:t>3.</w:t>
      </w:r>
      <w:r>
        <w:rPr>
          <w:rFonts w:hint="default" w:ascii="CESI仿宋-GB13000" w:hAnsi="CESI仿宋-GB13000" w:eastAsia="CESI仿宋-GB13000" w:cs="CESI仿宋-GB13000"/>
          <w:sz w:val="32"/>
          <w:szCs w:val="32"/>
          <w:vertAlign w:val="baseline"/>
          <w:lang w:val="en-US" w:eastAsia="zh-CN"/>
        </w:rPr>
        <w:t>在全</w:t>
      </w:r>
      <w:r>
        <w:rPr>
          <w:rFonts w:hint="eastAsia" w:ascii="CESI仿宋-GB13000" w:hAnsi="CESI仿宋-GB13000" w:eastAsia="CESI仿宋-GB13000" w:cs="CESI仿宋-GB13000"/>
          <w:sz w:val="32"/>
          <w:szCs w:val="32"/>
          <w:vertAlign w:val="baseline"/>
          <w:lang w:val="en-US" w:eastAsia="zh-CN"/>
        </w:rPr>
        <w:t>县</w:t>
      </w:r>
      <w:r>
        <w:rPr>
          <w:rFonts w:hint="default" w:ascii="CESI仿宋-GB13000" w:hAnsi="CESI仿宋-GB13000" w:eastAsia="CESI仿宋-GB13000" w:cs="CESI仿宋-GB13000"/>
          <w:sz w:val="32"/>
          <w:szCs w:val="32"/>
          <w:vertAlign w:val="baseline"/>
          <w:lang w:val="en-US" w:eastAsia="zh-CN"/>
        </w:rPr>
        <w:t>范围内继续开展打击环境监测数据造假专项行动，</w:t>
      </w:r>
      <w:r>
        <w:rPr>
          <w:rFonts w:hint="eastAsia" w:ascii="CESI仿宋-GB13000" w:hAnsi="CESI仿宋-GB13000" w:eastAsia="CESI仿宋-GB13000" w:cs="CESI仿宋-GB13000"/>
          <w:sz w:val="32"/>
          <w:szCs w:val="32"/>
          <w:vertAlign w:val="baseline"/>
          <w:lang w:val="en-US" w:eastAsia="zh-CN"/>
        </w:rPr>
        <w:t>吕梁市生态环境局交城分局分别出台了《关于严厉打击污染源监测数据弄虚作假整治工作的通知》（交环字[2026]17号）、《关于第三方环保服务机构弄虚作假问题专项行动的通知》（交环字[2026]18号）文件，</w:t>
      </w:r>
      <w:r>
        <w:rPr>
          <w:rFonts w:hint="default" w:ascii="CESI仿宋-GB13000" w:hAnsi="CESI仿宋-GB13000" w:eastAsia="CESI仿宋-GB13000" w:cs="CESI仿宋-GB13000"/>
          <w:sz w:val="32"/>
          <w:szCs w:val="32"/>
          <w:vertAlign w:val="baseline"/>
          <w:lang w:val="en-US" w:eastAsia="zh-CN"/>
        </w:rPr>
        <w:t>严厉打击环境监测数据造假行为。</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如果对该任务整改公示情况有异议，请在公示期间向吕梁市生态环境局交城分局反馈。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 系 人：梁国栋</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固定电话：0358-3523758</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电子邮箱：sxjc19870321@163.com</w:t>
      </w:r>
    </w:p>
    <w:p>
      <w:pPr>
        <w:keepNext w:val="0"/>
        <w:keepLines w:val="0"/>
        <w:pageBreakBefore w:val="0"/>
        <w:widowControl w:val="0"/>
        <w:kinsoku/>
        <w:wordWrap/>
        <w:overflowPunct w:val="0"/>
        <w:topLinePunct/>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5"/>
        <w:keepNext w:val="0"/>
        <w:keepLines w:val="0"/>
        <w:pageBreakBefore w:val="0"/>
        <w:widowControl w:val="0"/>
        <w:kinsoku/>
        <w:wordWrap/>
        <w:autoSpaceDE/>
        <w:autoSpaceDN/>
        <w:bidi w:val="0"/>
        <w:adjustRightInd/>
        <w:snapToGrid/>
        <w:spacing w:after="0" w:line="578" w:lineRule="exact"/>
        <w:ind w:left="0" w:leftChars="0" w:firstLine="0" w:firstLineChars="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                          2026年5月29日</w:t>
      </w: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pStyle w:val="2"/>
        <w:keepNext w:val="0"/>
        <w:keepLines w:val="0"/>
        <w:pageBreakBefore w:val="0"/>
        <w:kinsoku/>
        <w:wordWrap/>
        <w:autoSpaceDE/>
        <w:autoSpaceDN/>
        <w:bidi w:val="0"/>
        <w:adjustRightInd/>
        <w:snapToGrid/>
        <w:spacing w:line="578" w:lineRule="exac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黑体_GBK">
    <w:panose1 w:val="02000000000000000000"/>
    <w:charset w:val="86"/>
    <w:family w:val="auto"/>
    <w:pitch w:val="default"/>
    <w:sig w:usb0="A00002BF" w:usb1="38CF7CFA" w:usb2="00082016" w:usb3="00000000" w:csb0="00040001" w:csb1="00000000"/>
  </w:font>
  <w:font w:name="CESI仿宋-GB13000">
    <w:panose1 w:val="02000500000000000000"/>
    <w:charset w:val="86"/>
    <w:family w:val="auto"/>
    <w:pitch w:val="default"/>
    <w:sig w:usb0="800002BF" w:usb1="1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073A5"/>
    <w:rsid w:val="77574161"/>
    <w:rsid w:val="BFF0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华文中宋" w:eastAsia="华文中宋"/>
      <w:sz w:val="44"/>
    </w:rPr>
  </w:style>
  <w:style w:type="paragraph" w:styleId="3">
    <w:name w:val="Body Text Indent"/>
    <w:basedOn w:val="1"/>
    <w:qFormat/>
    <w:uiPriority w:val="0"/>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2026-05-30T01:04:00Z</dcterms:created>
  <dc:creator>蜡笔小新</dc:creator>
  <cp:lastModifiedBy>蜡笔小新</cp:lastModifiedBy>
  <dcterms:modified xsi:type="dcterms:W3CDTF">2026-05-29T17:20:52Z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