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年度报告不符合要求机构名单（限期整改）</w:t>
      </w:r>
    </w:p>
    <w:tbl>
      <w:tblPr>
        <w:tblStyle w:val="3"/>
        <w:tblW w:w="90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342"/>
        <w:gridCol w:w="29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8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3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9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山西华振新生涯人力资源有限公司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不足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3名专职人员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正在办理注销手续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未开展业务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吕梁米老猫人力资源有限公司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不足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3名专职人员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未开展业务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center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7247"/>
    <w:rsid w:val="7B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文档正文"/>
    <w:basedOn w:val="1"/>
    <w:qFormat/>
    <w:uiPriority w:val="0"/>
    <w:pPr>
      <w:snapToGrid w:val="0"/>
      <w:spacing w:line="440" w:lineRule="exact"/>
      <w:ind w:firstLine="567"/>
    </w:pPr>
    <w:rPr>
      <w:rFonts w:ascii="等线" w:hAnsi="等线" w:eastAsia="等线" w:cs="黑体"/>
      <w:sz w:val="28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2026-05-20T09:32:00Z</dcterms:created>
  <dc:creator>蜡笔小新</dc:creator>
  <cp:lastModifiedBy>蜡笔小新</cp:lastModifiedBy>
  <dcterms:modified xsi:type="dcterms:W3CDTF">2026-05-20T09:32:08Z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