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7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华文中宋" w:eastAsia="方正小标宋简体"/>
          <w:color w:val="000000"/>
          <w:spacing w:val="11"/>
          <w:sz w:val="44"/>
          <w:szCs w:val="44"/>
          <w:lang w:val="en"/>
        </w:rPr>
      </w:pPr>
      <w:r>
        <w:rPr>
          <w:rFonts w:hint="eastAsia" w:ascii="方正小标宋简体" w:hAnsi="华文中宋" w:eastAsia="方正小标宋简体"/>
          <w:color w:val="000000"/>
          <w:spacing w:val="11"/>
          <w:sz w:val="44"/>
          <w:szCs w:val="44"/>
          <w:lang w:val="en"/>
        </w:rPr>
        <w:t>正常经营、未发现异常情况机构名单</w:t>
      </w:r>
    </w:p>
    <w:tbl>
      <w:tblPr>
        <w:tblStyle w:val="3"/>
        <w:tblW w:w="85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574"/>
        <w:gridCol w:w="22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5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机构名称</w:t>
            </w:r>
            <w:bookmarkStart w:id="0" w:name="_GoBack"/>
            <w:bookmarkEnd w:id="0"/>
          </w:p>
        </w:tc>
        <w:tc>
          <w:tcPr>
            <w:tcW w:w="225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21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山西众恒信达人力资源服务有限公司交城分公司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21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山西众恒信达人力资源服务有限公司交城新开路分公司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21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5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山西九广成人力资源管理有限公司交城分公司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21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谦德（山西）人才测评中心有限公司交城分公司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2025年度未开展业务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21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21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山西振邦人力资源有限公司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FFC2E"/>
    <w:rsid w:val="265FF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0"/>
    <w:pPr>
      <w:spacing w:after="120" w:afterLines="0"/>
    </w:p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正文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2026-05-20T09:31:00Z</dcterms:created>
  <dc:creator>蜡笔小新</dc:creator>
  <cp:lastModifiedBy>蜡笔小新</cp:lastModifiedBy>
  <dcterms:modified xsi:type="dcterms:W3CDTF">2026-05-20T09:31:50Z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