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197" w:firstLineChars="38"/>
        <w:rPr>
          <w:bCs/>
          <w:sz w:val="52"/>
        </w:rPr>
      </w:pPr>
    </w:p>
    <w:p>
      <w:pPr>
        <w:ind w:firstLine="197" w:firstLineChars="38"/>
        <w:rPr>
          <w:bCs/>
          <w:sz w:val="52"/>
        </w:rPr>
      </w:pPr>
    </w:p>
    <w:p>
      <w:pPr>
        <w:ind w:firstLine="197" w:firstLineChars="38"/>
        <w:rPr>
          <w:bCs/>
          <w:sz w:val="52"/>
        </w:rPr>
      </w:pPr>
    </w:p>
    <w:p>
      <w:pPr>
        <w:ind w:firstLine="197" w:firstLineChars="38"/>
        <w:rPr>
          <w:bCs/>
          <w:sz w:val="52"/>
        </w:rPr>
      </w:pPr>
    </w:p>
    <w:p>
      <w:pPr>
        <w:ind w:firstLine="197" w:firstLineChars="38"/>
        <w:rPr>
          <w:bCs/>
          <w:sz w:val="52"/>
        </w:rPr>
      </w:pPr>
    </w:p>
    <w:p>
      <w:pPr>
        <w:spacing w:line="240" w:lineRule="auto"/>
        <w:ind w:firstLine="0" w:firstLineChars="0"/>
        <w:jc w:val="center"/>
        <w:rPr>
          <w:rFonts w:ascii="黑体" w:hAnsi="黑体" w:eastAsia="黑体"/>
          <w:bCs/>
          <w:sz w:val="72"/>
          <w:szCs w:val="72"/>
        </w:rPr>
      </w:pPr>
      <w:r>
        <w:rPr>
          <w:rFonts w:ascii="黑体" w:hAnsi="黑体" w:eastAsia="黑体"/>
          <w:bCs/>
          <w:sz w:val="72"/>
          <w:szCs w:val="72"/>
        </w:rPr>
        <w:t>建设项目环境影响报告表</w:t>
      </w:r>
    </w:p>
    <w:p>
      <w:pPr>
        <w:ind w:firstLine="0" w:firstLineChars="0"/>
        <w:jc w:val="center"/>
        <w:rPr>
          <w:rFonts w:ascii="楷体_GB2312" w:eastAsia="楷体_GB2312"/>
          <w:b/>
          <w:bCs/>
          <w:sz w:val="32"/>
          <w:szCs w:val="32"/>
        </w:rPr>
      </w:pPr>
      <w:r>
        <w:rPr>
          <w:rFonts w:hint="eastAsia" w:ascii="楷体_GB2312" w:eastAsia="楷体_GB2312"/>
          <w:b/>
          <w:bCs/>
          <w:sz w:val="32"/>
          <w:szCs w:val="32"/>
        </w:rPr>
        <w:t>（报 批 本）</w:t>
      </w:r>
    </w:p>
    <w:p>
      <w:pPr>
        <w:ind w:firstLine="640"/>
        <w:jc w:val="center"/>
        <w:rPr>
          <w:rFonts w:ascii="楷体_GB2312" w:eastAsia="楷体_GB2312"/>
          <w:bCs/>
          <w:sz w:val="32"/>
          <w:szCs w:val="32"/>
        </w:rPr>
      </w:pPr>
    </w:p>
    <w:p>
      <w:pPr>
        <w:ind w:firstLine="560"/>
        <w:jc w:val="center"/>
        <w:rPr>
          <w:bCs/>
          <w:sz w:val="28"/>
        </w:rPr>
      </w:pPr>
    </w:p>
    <w:p>
      <w:pPr>
        <w:ind w:firstLine="560"/>
        <w:rPr>
          <w:bCs/>
          <w:sz w:val="28"/>
        </w:rPr>
      </w:pPr>
    </w:p>
    <w:p>
      <w:pPr>
        <w:ind w:firstLine="560"/>
        <w:rPr>
          <w:bCs/>
          <w:sz w:val="28"/>
        </w:rPr>
      </w:pPr>
    </w:p>
    <w:p>
      <w:pPr>
        <w:ind w:firstLine="560"/>
        <w:rPr>
          <w:bCs/>
          <w:sz w:val="28"/>
        </w:rPr>
      </w:pPr>
    </w:p>
    <w:p>
      <w:pPr>
        <w:ind w:firstLine="560"/>
        <w:rPr>
          <w:bCs/>
          <w:sz w:val="28"/>
        </w:rPr>
      </w:pPr>
    </w:p>
    <w:p>
      <w:pPr>
        <w:ind w:firstLine="560"/>
        <w:rPr>
          <w:bCs/>
          <w:sz w:val="28"/>
        </w:rPr>
      </w:pPr>
    </w:p>
    <w:p>
      <w:pPr>
        <w:ind w:firstLine="560"/>
        <w:rPr>
          <w:bCs/>
          <w:sz w:val="28"/>
        </w:rPr>
      </w:pPr>
    </w:p>
    <w:p>
      <w:pPr>
        <w:spacing w:line="600" w:lineRule="exact"/>
        <w:ind w:firstLine="0" w:firstLineChars="0"/>
        <w:jc w:val="center"/>
        <w:rPr>
          <w:rFonts w:ascii="黑体" w:hAnsi="黑体" w:eastAsia="黑体"/>
          <w:b/>
          <w:sz w:val="28"/>
          <w:szCs w:val="28"/>
          <w:u w:val="single"/>
        </w:rPr>
      </w:pPr>
      <w:r>
        <w:rPr>
          <w:rFonts w:hint="eastAsia" w:ascii="黑体" w:eastAsia="黑体"/>
          <w:b/>
          <w:bCs/>
          <w:sz w:val="28"/>
          <w:szCs w:val="28"/>
        </w:rPr>
        <w:t>项  目  名  称：</w:t>
      </w:r>
      <w:r>
        <w:rPr>
          <w:rFonts w:hint="eastAsia" w:ascii="黑体" w:hAnsi="黑体" w:eastAsia="黑体"/>
          <w:b/>
          <w:sz w:val="28"/>
          <w:szCs w:val="28"/>
          <w:u w:val="single"/>
        </w:rPr>
        <w:t>交城县西冶兴威矿石加工厂</w:t>
      </w:r>
    </w:p>
    <w:p>
      <w:pPr>
        <w:spacing w:line="600" w:lineRule="exact"/>
        <w:ind w:firstLine="0" w:firstLineChars="0"/>
        <w:jc w:val="center"/>
        <w:rPr>
          <w:rFonts w:ascii="黑体" w:eastAsia="黑体"/>
          <w:b/>
          <w:sz w:val="28"/>
          <w:szCs w:val="28"/>
          <w:u w:val="single"/>
        </w:rPr>
      </w:pPr>
      <w:r>
        <w:rPr>
          <w:rFonts w:hint="eastAsia" w:ascii="黑体" w:hAnsi="黑体" w:eastAsia="黑体"/>
          <w:b/>
          <w:sz w:val="28"/>
          <w:szCs w:val="28"/>
          <w:u w:val="single"/>
        </w:rPr>
        <w:t>利用尾矿石加工建筑骨料及微粉生产线技改项目</w:t>
      </w:r>
    </w:p>
    <w:p>
      <w:pPr>
        <w:spacing w:line="600" w:lineRule="exact"/>
        <w:ind w:right="89" w:rightChars="37" w:firstLine="0" w:firstLineChars="0"/>
        <w:jc w:val="center"/>
        <w:rPr>
          <w:rFonts w:ascii="黑体" w:eastAsia="黑体"/>
          <w:b/>
          <w:bCs/>
          <w:sz w:val="28"/>
        </w:rPr>
      </w:pPr>
      <w:r>
        <w:rPr>
          <w:rFonts w:hint="eastAsia" w:ascii="黑体" w:eastAsia="黑体"/>
          <w:b/>
          <w:bCs/>
          <w:sz w:val="28"/>
          <w:szCs w:val="28"/>
        </w:rPr>
        <w:t>建设单位(盖章)：</w:t>
      </w:r>
      <w:r>
        <w:rPr>
          <w:rFonts w:hint="eastAsia" w:ascii="黑体" w:hAnsi="黑体" w:eastAsia="黑体"/>
          <w:b/>
          <w:sz w:val="28"/>
          <w:szCs w:val="28"/>
          <w:u w:val="single"/>
        </w:rPr>
        <w:t>交城县西冶兴威矿石加工厂</w:t>
      </w:r>
    </w:p>
    <w:p>
      <w:pPr>
        <w:ind w:firstLine="840" w:firstLineChars="300"/>
        <w:rPr>
          <w:bCs/>
          <w:sz w:val="28"/>
        </w:rPr>
      </w:pPr>
    </w:p>
    <w:p>
      <w:pPr>
        <w:ind w:firstLine="840" w:firstLineChars="300"/>
        <w:rPr>
          <w:bCs/>
          <w:sz w:val="28"/>
        </w:rPr>
      </w:pPr>
    </w:p>
    <w:p>
      <w:pPr>
        <w:ind w:firstLine="840" w:firstLineChars="300"/>
        <w:rPr>
          <w:bCs/>
          <w:sz w:val="28"/>
        </w:rPr>
      </w:pPr>
    </w:p>
    <w:p>
      <w:pPr>
        <w:ind w:firstLine="840" w:firstLineChars="300"/>
        <w:rPr>
          <w:bCs/>
          <w:sz w:val="28"/>
        </w:rPr>
      </w:pPr>
    </w:p>
    <w:p>
      <w:pPr>
        <w:ind w:firstLine="840" w:firstLineChars="300"/>
        <w:rPr>
          <w:bCs/>
          <w:sz w:val="28"/>
        </w:rPr>
      </w:pPr>
    </w:p>
    <w:p>
      <w:pPr>
        <w:ind w:firstLine="840" w:firstLineChars="300"/>
        <w:rPr>
          <w:bCs/>
          <w:sz w:val="28"/>
        </w:rPr>
      </w:pPr>
    </w:p>
    <w:p>
      <w:pPr>
        <w:ind w:firstLine="560"/>
        <w:jc w:val="center"/>
        <w:rPr>
          <w:bCs/>
          <w:sz w:val="28"/>
          <w:szCs w:val="28"/>
        </w:rPr>
      </w:pPr>
    </w:p>
    <w:p>
      <w:pPr>
        <w:ind w:firstLine="0" w:firstLineChars="0"/>
        <w:jc w:val="center"/>
        <w:rPr>
          <w:b/>
          <w:bCs/>
          <w:sz w:val="32"/>
          <w:szCs w:val="28"/>
        </w:rPr>
      </w:pPr>
      <w:r>
        <w:rPr>
          <w:rFonts w:hint="eastAsia"/>
          <w:b/>
          <w:bCs/>
          <w:sz w:val="32"/>
          <w:szCs w:val="28"/>
        </w:rPr>
        <w:t>编制日期：</w:t>
      </w:r>
      <w:r>
        <w:rPr>
          <w:b/>
          <w:bCs/>
          <w:sz w:val="32"/>
          <w:szCs w:val="28"/>
        </w:rPr>
        <w:t>202</w:t>
      </w:r>
      <w:r>
        <w:rPr>
          <w:rFonts w:hint="eastAsia"/>
          <w:b/>
          <w:bCs/>
          <w:sz w:val="32"/>
          <w:szCs w:val="28"/>
          <w:lang w:val="en-US" w:eastAsia="zh-CN"/>
        </w:rPr>
        <w:t>1</w:t>
      </w:r>
      <w:r>
        <w:rPr>
          <w:b/>
          <w:bCs/>
          <w:sz w:val="32"/>
          <w:szCs w:val="28"/>
        </w:rPr>
        <w:t>年1月</w:t>
      </w:r>
    </w:p>
    <w:p>
      <w:pPr>
        <w:pStyle w:val="65"/>
        <w:adjustRightInd w:val="0"/>
        <w:snapToGrid w:val="0"/>
        <w:spacing w:before="0" w:beforeAutospacing="0" w:after="0" w:afterAutospacing="0" w:line="680" w:lineRule="exact"/>
        <w:ind w:firstLine="0" w:firstLineChars="0"/>
        <w:jc w:val="center"/>
        <w:rPr>
          <w:rFonts w:ascii="Times New Roman" w:hAnsi="Times New Roman"/>
          <w:sz w:val="32"/>
        </w:rPr>
      </w:pPr>
    </w:p>
    <w:p>
      <w:pPr>
        <w:pStyle w:val="65"/>
        <w:adjustRightInd w:val="0"/>
        <w:snapToGrid w:val="0"/>
        <w:spacing w:before="0" w:beforeAutospacing="0" w:after="0" w:afterAutospacing="0" w:line="680" w:lineRule="exact"/>
        <w:ind w:firstLine="0" w:firstLineChars="0"/>
        <w:jc w:val="center"/>
        <w:rPr>
          <w:rFonts w:ascii="Times New Roman" w:hAnsi="Times New Roman"/>
          <w:sz w:val="32"/>
        </w:rPr>
      </w:pPr>
      <w:r>
        <w:rPr>
          <w:rFonts w:ascii="Times New Roman" w:hAnsi="Times New Roman"/>
          <w:sz w:val="32"/>
        </w:rPr>
        <w:t>《建设项目环境影响报告表》编制说明</w:t>
      </w:r>
    </w:p>
    <w:p>
      <w:pPr>
        <w:pStyle w:val="65"/>
        <w:adjustRightInd w:val="0"/>
        <w:snapToGrid w:val="0"/>
        <w:spacing w:before="0" w:beforeAutospacing="0" w:after="0" w:afterAutospacing="0" w:line="680" w:lineRule="exact"/>
        <w:ind w:firstLine="0" w:firstLineChars="0"/>
        <w:jc w:val="center"/>
        <w:rPr>
          <w:rFonts w:ascii="Times New Roman" w:hAnsi="Times New Roman"/>
          <w:sz w:val="32"/>
        </w:rPr>
      </w:pPr>
    </w:p>
    <w:p>
      <w:pPr>
        <w:pStyle w:val="144"/>
        <w:ind w:firstLine="480"/>
      </w:pPr>
      <w:r>
        <w:t>《建设项目环境影响报告表》由具有从事环境影响评价工作资质的单位编制。</w:t>
      </w:r>
    </w:p>
    <w:p>
      <w:pPr>
        <w:pStyle w:val="144"/>
        <w:ind w:firstLine="480"/>
      </w:pPr>
      <w:r>
        <w:t>1、项目名称——指项目立项批复时的名称，应不超过30个字(两个英文字段作一个汉字)。</w:t>
      </w:r>
    </w:p>
    <w:p>
      <w:pPr>
        <w:pStyle w:val="144"/>
        <w:ind w:firstLine="480"/>
      </w:pPr>
      <w:r>
        <w:t>2、建设地点——指项目所在地详细地址，公路、铁路应填写起止地点。</w:t>
      </w:r>
    </w:p>
    <w:p>
      <w:pPr>
        <w:pStyle w:val="144"/>
        <w:ind w:firstLine="480"/>
      </w:pPr>
      <w:r>
        <w:t>3、行业类别——按国标填写。</w:t>
      </w:r>
    </w:p>
    <w:p>
      <w:pPr>
        <w:pStyle w:val="144"/>
        <w:ind w:firstLine="480"/>
      </w:pPr>
      <w:r>
        <w:t>4、总</w:t>
      </w:r>
      <w:r>
        <w:rPr>
          <w:rFonts w:hint="eastAsia"/>
        </w:rPr>
        <w:t xml:space="preserve"> </w:t>
      </w:r>
      <w:r>
        <w:t>投</w:t>
      </w:r>
      <w:r>
        <w:rPr>
          <w:rFonts w:hint="eastAsia"/>
        </w:rPr>
        <w:t xml:space="preserve"> </w:t>
      </w:r>
      <w:r>
        <w:t>资——指项目投资总额。</w:t>
      </w:r>
    </w:p>
    <w:p>
      <w:pPr>
        <w:pStyle w:val="144"/>
        <w:ind w:firstLine="480"/>
      </w:pPr>
      <w:r>
        <w:t>5、主要环境保护目标——指项目区周围一定范围内集中居民住宅区、学校、医院、保护文物、风景名胜区、水源地和生态敏感点等，应尽可能给出保护目标、性质、规模和距厂界距离等。</w:t>
      </w:r>
    </w:p>
    <w:p>
      <w:pPr>
        <w:pStyle w:val="144"/>
        <w:ind w:firstLine="480"/>
      </w:pPr>
      <w:r>
        <w:t>6、结论与建议——给出本项目清洁生产、达标排放和总量控制的分析结论，确定污染防治措施的有效性，说明本项目对环境造成的影响，给出建设项目环境可行性的明确结论。同时提出减少环境影响的其他建议。</w:t>
      </w:r>
    </w:p>
    <w:p>
      <w:pPr>
        <w:pStyle w:val="144"/>
        <w:ind w:firstLine="480"/>
      </w:pPr>
      <w:r>
        <w:t xml:space="preserve">7、预审意见——由行业主管部门填写答复意见，无主管部门项目，可不填。 </w:t>
      </w:r>
    </w:p>
    <w:p>
      <w:pPr>
        <w:pStyle w:val="144"/>
        <w:ind w:firstLine="480"/>
        <w:sectPr>
          <w:headerReference r:id="rId7" w:type="first"/>
          <w:footerReference r:id="rId10" w:type="first"/>
          <w:headerReference r:id="rId5" w:type="default"/>
          <w:footerReference r:id="rId8" w:type="default"/>
          <w:headerReference r:id="rId6" w:type="even"/>
          <w:footerReference r:id="rId9" w:type="even"/>
          <w:pgSz w:w="11907" w:h="16840"/>
          <w:pgMar w:top="1418" w:right="1361" w:bottom="1418" w:left="1474" w:header="851" w:footer="992" w:gutter="0"/>
          <w:pgNumType w:start="1"/>
          <w:cols w:space="720" w:num="1"/>
          <w:titlePg/>
          <w:docGrid w:linePitch="312" w:charSpace="0"/>
        </w:sectPr>
      </w:pPr>
      <w:r>
        <w:t>8、审批意见——由负责审批该项目的环境保护行政主管部门批复。</w:t>
      </w:r>
    </w:p>
    <w:p>
      <w:pPr>
        <w:pStyle w:val="144"/>
        <w:spacing w:before="0" w:after="0" w:line="240" w:lineRule="auto"/>
        <w:ind w:firstLine="0" w:firstLineChars="0"/>
        <w:jc w:val="center"/>
        <w:sectPr>
          <w:pgSz w:w="11907" w:h="16840"/>
          <w:pgMar w:top="1418" w:right="1361" w:bottom="1418" w:left="1474" w:header="851" w:footer="992" w:gutter="0"/>
          <w:pgNumType w:start="1"/>
          <w:cols w:space="720" w:num="1"/>
          <w:titlePg/>
          <w:docGrid w:linePitch="312" w:charSpace="0"/>
        </w:sectPr>
      </w:pPr>
      <w:r>
        <w:drawing>
          <wp:inline distT="0" distB="0" distL="0" distR="0">
            <wp:extent cx="5734050" cy="888682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734050" cy="8886825"/>
                    </a:xfrm>
                    <a:prstGeom prst="rect">
                      <a:avLst/>
                    </a:prstGeom>
                    <a:noFill/>
                    <a:ln>
                      <a:noFill/>
                    </a:ln>
                  </pic:spPr>
                </pic:pic>
              </a:graphicData>
            </a:graphic>
          </wp:inline>
        </w:drawing>
      </w:r>
    </w:p>
    <w:p>
      <w:pPr>
        <w:pStyle w:val="144"/>
        <w:snapToGrid/>
        <w:spacing w:before="0" w:after="0" w:line="240" w:lineRule="auto"/>
        <w:ind w:firstLine="0" w:firstLineChars="0"/>
        <w:jc w:val="center"/>
        <w:sectPr>
          <w:pgSz w:w="16840" w:h="11907" w:orient="landscape"/>
          <w:pgMar w:top="1474" w:right="1418" w:bottom="1361" w:left="1418" w:header="851" w:footer="992" w:gutter="0"/>
          <w:pgNumType w:start="1"/>
          <w:cols w:space="720" w:num="1"/>
          <w:titlePg/>
          <w:docGrid w:linePitch="312" w:charSpace="0"/>
        </w:sectPr>
      </w:pPr>
      <w:r>
        <w:drawing>
          <wp:inline distT="0" distB="0" distL="0" distR="0">
            <wp:extent cx="7962900" cy="4943475"/>
            <wp:effectExtent l="0" t="0" r="0" b="952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4"/>
                    <a:stretch>
                      <a:fillRect/>
                    </a:stretch>
                  </pic:blipFill>
                  <pic:spPr>
                    <a:xfrm>
                      <a:off x="0" y="0"/>
                      <a:ext cx="7962900" cy="4943475"/>
                    </a:xfrm>
                    <a:prstGeom prst="rect">
                      <a:avLst/>
                    </a:prstGeom>
                  </pic:spPr>
                </pic:pic>
              </a:graphicData>
            </a:graphic>
          </wp:inline>
        </w:drawing>
      </w:r>
    </w:p>
    <w:p>
      <w:pPr>
        <w:ind w:firstLine="482"/>
        <w:jc w:val="center"/>
        <w:rPr>
          <w:rFonts w:ascii="宋体" w:hAnsi="宋体"/>
          <w:b/>
          <w:bCs/>
          <w:szCs w:val="24"/>
        </w:rPr>
      </w:pPr>
      <w:r>
        <w:rPr>
          <w:rFonts w:hint="eastAsia" w:ascii="宋体" w:hAnsi="宋体"/>
          <w:b/>
          <w:szCs w:val="24"/>
        </w:rPr>
        <w:t>《</w:t>
      </w:r>
      <w:bookmarkStart w:id="0" w:name="_Hlk43647268"/>
      <w:bookmarkStart w:id="1" w:name="_Hlk43647279"/>
      <w:r>
        <w:rPr>
          <w:rFonts w:hint="eastAsia" w:ascii="宋体" w:hAnsi="宋体"/>
          <w:b/>
          <w:bCs/>
          <w:szCs w:val="24"/>
        </w:rPr>
        <w:t>交城县西冶兴威矿石加工厂</w:t>
      </w:r>
      <w:bookmarkEnd w:id="0"/>
      <w:r>
        <w:rPr>
          <w:rFonts w:hint="eastAsia" w:ascii="宋体" w:hAnsi="宋体"/>
          <w:b/>
          <w:bCs/>
          <w:szCs w:val="24"/>
        </w:rPr>
        <w:t>利用尾矿石加工建筑骨料及微粉生产线技改项目</w:t>
      </w:r>
      <w:bookmarkEnd w:id="1"/>
    </w:p>
    <w:p>
      <w:pPr>
        <w:ind w:firstLine="482"/>
        <w:jc w:val="center"/>
        <w:rPr>
          <w:rFonts w:ascii="宋体" w:hAnsi="宋体"/>
          <w:b/>
          <w:szCs w:val="24"/>
        </w:rPr>
      </w:pPr>
      <w:r>
        <w:rPr>
          <w:rFonts w:hint="eastAsia" w:ascii="宋体" w:hAnsi="宋体"/>
          <w:b/>
          <w:szCs w:val="24"/>
        </w:rPr>
        <w:t>环境影响报告表》修改说明</w:t>
      </w:r>
    </w:p>
    <w:tbl>
      <w:tblPr>
        <w:tblStyle w:val="7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5"/>
        <w:gridCol w:w="4010"/>
        <w:gridCol w:w="46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17" w:type="dxa"/>
            <w:vAlign w:val="center"/>
          </w:tcPr>
          <w:p>
            <w:pPr>
              <w:spacing w:line="240" w:lineRule="auto"/>
              <w:ind w:firstLine="0" w:firstLineChars="0"/>
              <w:rPr>
                <w:bCs/>
                <w:szCs w:val="24"/>
              </w:rPr>
            </w:pPr>
            <w:r>
              <w:rPr>
                <w:bCs/>
                <w:szCs w:val="24"/>
              </w:rPr>
              <w:t>序号</w:t>
            </w:r>
          </w:p>
        </w:tc>
        <w:tc>
          <w:tcPr>
            <w:tcW w:w="6237" w:type="dxa"/>
            <w:vAlign w:val="center"/>
          </w:tcPr>
          <w:p>
            <w:pPr>
              <w:spacing w:line="240" w:lineRule="auto"/>
              <w:ind w:firstLine="0" w:firstLineChars="0"/>
              <w:rPr>
                <w:bCs/>
                <w:szCs w:val="24"/>
              </w:rPr>
            </w:pPr>
            <w:r>
              <w:rPr>
                <w:bCs/>
                <w:szCs w:val="24"/>
              </w:rPr>
              <w:t>技术审查意见</w:t>
            </w:r>
          </w:p>
        </w:tc>
        <w:tc>
          <w:tcPr>
            <w:tcW w:w="7120" w:type="dxa"/>
            <w:vAlign w:val="center"/>
          </w:tcPr>
          <w:p>
            <w:pPr>
              <w:spacing w:line="240" w:lineRule="auto"/>
              <w:ind w:firstLine="0" w:firstLineChars="0"/>
              <w:rPr>
                <w:bCs/>
                <w:szCs w:val="24"/>
              </w:rPr>
            </w:pPr>
            <w:r>
              <w:rPr>
                <w:bCs/>
                <w:szCs w:val="24"/>
              </w:rPr>
              <w:t>补充修改说明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17" w:type="dxa"/>
            <w:vAlign w:val="center"/>
          </w:tcPr>
          <w:p>
            <w:pPr>
              <w:spacing w:line="240" w:lineRule="auto"/>
              <w:ind w:firstLine="0" w:firstLineChars="0"/>
              <w:rPr>
                <w:bCs/>
                <w:szCs w:val="24"/>
              </w:rPr>
            </w:pPr>
            <w:r>
              <w:rPr>
                <w:bCs/>
                <w:szCs w:val="24"/>
              </w:rPr>
              <w:t>1</w:t>
            </w:r>
          </w:p>
        </w:tc>
        <w:tc>
          <w:tcPr>
            <w:tcW w:w="6237" w:type="dxa"/>
            <w:vAlign w:val="center"/>
          </w:tcPr>
          <w:p>
            <w:pPr>
              <w:spacing w:line="240" w:lineRule="auto"/>
              <w:ind w:firstLine="0" w:firstLineChars="0"/>
              <w:rPr>
                <w:bCs/>
                <w:szCs w:val="24"/>
              </w:rPr>
            </w:pPr>
            <w:r>
              <w:rPr>
                <w:bCs/>
                <w:szCs w:val="24"/>
              </w:rPr>
              <w:t>细化现有工程存在的环境问题。补充收集项目所在区域TSP的环境质量现状数据。完善环境保护目标。细化对拟利用选煤厂设施的利用、拆除、新建建（构）筑物及工程内容。</w:t>
            </w:r>
          </w:p>
        </w:tc>
        <w:tc>
          <w:tcPr>
            <w:tcW w:w="7120" w:type="dxa"/>
            <w:vAlign w:val="center"/>
          </w:tcPr>
          <w:p>
            <w:pPr>
              <w:spacing w:line="240" w:lineRule="auto"/>
              <w:ind w:firstLine="0" w:firstLineChars="0"/>
              <w:rPr>
                <w:bCs/>
                <w:szCs w:val="24"/>
              </w:rPr>
            </w:pPr>
            <w:r>
              <w:rPr>
                <w:rFonts w:hint="eastAsia"/>
                <w:bCs/>
                <w:szCs w:val="24"/>
              </w:rPr>
              <w:t>细化了现有工程存在的环境问题，现有工程于2</w:t>
            </w:r>
            <w:r>
              <w:rPr>
                <w:bCs/>
                <w:szCs w:val="24"/>
              </w:rPr>
              <w:t>020</w:t>
            </w:r>
            <w:r>
              <w:rPr>
                <w:rFonts w:hint="eastAsia"/>
                <w:bCs/>
                <w:szCs w:val="24"/>
              </w:rPr>
              <w:t>年5月2</w:t>
            </w:r>
            <w:r>
              <w:rPr>
                <w:bCs/>
                <w:szCs w:val="24"/>
              </w:rPr>
              <w:t>0</w:t>
            </w:r>
            <w:r>
              <w:rPr>
                <w:rFonts w:hint="eastAsia"/>
                <w:bCs/>
                <w:szCs w:val="24"/>
              </w:rPr>
              <w:t>日通过环保验收，</w:t>
            </w:r>
            <w:r>
              <w:rPr>
                <w:bCs/>
                <w:szCs w:val="24"/>
              </w:rPr>
              <w:t>现有工程</w:t>
            </w:r>
            <w:r>
              <w:rPr>
                <w:rFonts w:hint="eastAsia"/>
                <w:bCs/>
                <w:szCs w:val="24"/>
              </w:rPr>
              <w:t>环保设施齐全，污染物可以达标排放，满足现行环保要求；因此，不存在与本项目有关的原有污染情况及主要环境问题。详见P</w:t>
            </w:r>
            <w:r>
              <w:rPr>
                <w:bCs/>
                <w:szCs w:val="24"/>
              </w:rPr>
              <w:t>20-21</w:t>
            </w:r>
            <w:r>
              <w:rPr>
                <w:rFonts w:hint="eastAsia"/>
                <w:bCs/>
                <w:szCs w:val="24"/>
              </w:rPr>
              <w:t>。</w:t>
            </w:r>
          </w:p>
          <w:p>
            <w:pPr>
              <w:spacing w:line="240" w:lineRule="auto"/>
              <w:ind w:firstLine="0" w:firstLineChars="0"/>
              <w:rPr>
                <w:bCs/>
                <w:szCs w:val="24"/>
              </w:rPr>
            </w:pPr>
            <w:r>
              <w:rPr>
                <w:bCs/>
                <w:szCs w:val="24"/>
              </w:rPr>
              <w:t>补充</w:t>
            </w:r>
            <w:r>
              <w:rPr>
                <w:rFonts w:hint="eastAsia"/>
                <w:bCs/>
                <w:szCs w:val="24"/>
              </w:rPr>
              <w:t>了</w:t>
            </w:r>
            <w:r>
              <w:rPr>
                <w:bCs/>
                <w:szCs w:val="24"/>
              </w:rPr>
              <w:t>项目所在区域TSP的环境质量现状数据</w:t>
            </w:r>
            <w:r>
              <w:rPr>
                <w:rFonts w:hint="eastAsia"/>
                <w:bCs/>
                <w:szCs w:val="24"/>
              </w:rPr>
              <w:t>。详见P</w:t>
            </w:r>
            <w:r>
              <w:rPr>
                <w:bCs/>
                <w:szCs w:val="24"/>
              </w:rPr>
              <w:t>31-32</w:t>
            </w:r>
            <w:r>
              <w:rPr>
                <w:rFonts w:hint="eastAsia"/>
                <w:bCs/>
                <w:szCs w:val="24"/>
              </w:rPr>
              <w:t>及附件监测报告。</w:t>
            </w:r>
          </w:p>
          <w:p>
            <w:pPr>
              <w:spacing w:line="240" w:lineRule="auto"/>
              <w:ind w:firstLine="0" w:firstLineChars="0"/>
              <w:rPr>
                <w:bCs/>
                <w:szCs w:val="24"/>
              </w:rPr>
            </w:pPr>
            <w:r>
              <w:rPr>
                <w:bCs/>
                <w:szCs w:val="24"/>
              </w:rPr>
              <w:t>完善</w:t>
            </w:r>
            <w:r>
              <w:rPr>
                <w:rFonts w:hint="eastAsia"/>
                <w:bCs/>
                <w:szCs w:val="24"/>
              </w:rPr>
              <w:t>了</w:t>
            </w:r>
            <w:r>
              <w:rPr>
                <w:bCs/>
                <w:szCs w:val="24"/>
              </w:rPr>
              <w:t>环境保护目标。</w:t>
            </w:r>
            <w:r>
              <w:rPr>
                <w:rFonts w:hint="eastAsia"/>
                <w:bCs/>
                <w:szCs w:val="24"/>
              </w:rPr>
              <w:t>详见P</w:t>
            </w:r>
            <w:r>
              <w:rPr>
                <w:bCs/>
                <w:szCs w:val="24"/>
              </w:rPr>
              <w:t>34-35</w:t>
            </w:r>
            <w:r>
              <w:rPr>
                <w:rFonts w:hint="eastAsia"/>
                <w:bCs/>
                <w:szCs w:val="24"/>
              </w:rPr>
              <w:t>。</w:t>
            </w:r>
          </w:p>
          <w:p>
            <w:pPr>
              <w:spacing w:line="240" w:lineRule="auto"/>
              <w:ind w:firstLine="0" w:firstLineChars="0"/>
              <w:rPr>
                <w:bCs/>
                <w:szCs w:val="24"/>
              </w:rPr>
            </w:pPr>
            <w:r>
              <w:rPr>
                <w:bCs/>
                <w:szCs w:val="24"/>
              </w:rPr>
              <w:t>细化</w:t>
            </w:r>
            <w:r>
              <w:rPr>
                <w:rFonts w:hint="eastAsia"/>
                <w:bCs/>
                <w:szCs w:val="24"/>
              </w:rPr>
              <w:t>了</w:t>
            </w:r>
            <w:r>
              <w:rPr>
                <w:bCs/>
                <w:szCs w:val="24"/>
              </w:rPr>
              <w:t>对拟利用选煤厂设施的利用、拆除、新建建（构）筑物及工程内容。</w:t>
            </w:r>
            <w:r>
              <w:rPr>
                <w:rFonts w:hint="eastAsia"/>
                <w:bCs/>
                <w:szCs w:val="24"/>
              </w:rPr>
              <w:t>详见P</w:t>
            </w:r>
            <w:r>
              <w:rPr>
                <w:bCs/>
                <w:szCs w:val="24"/>
              </w:rPr>
              <w:t>5</w:t>
            </w:r>
            <w:r>
              <w:rPr>
                <w:rFonts w:hint="eastAsia"/>
                <w:bCs/>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17" w:type="dxa"/>
            <w:vAlign w:val="center"/>
          </w:tcPr>
          <w:p>
            <w:pPr>
              <w:spacing w:line="240" w:lineRule="auto"/>
              <w:ind w:firstLine="0" w:firstLineChars="0"/>
              <w:rPr>
                <w:bCs/>
                <w:szCs w:val="24"/>
              </w:rPr>
            </w:pPr>
            <w:r>
              <w:rPr>
                <w:bCs/>
                <w:szCs w:val="24"/>
              </w:rPr>
              <w:t>2</w:t>
            </w:r>
          </w:p>
        </w:tc>
        <w:tc>
          <w:tcPr>
            <w:tcW w:w="6237" w:type="dxa"/>
            <w:vAlign w:val="center"/>
          </w:tcPr>
          <w:p>
            <w:pPr>
              <w:spacing w:line="240" w:lineRule="auto"/>
              <w:ind w:firstLine="0" w:firstLineChars="0"/>
              <w:rPr>
                <w:bCs/>
                <w:szCs w:val="24"/>
              </w:rPr>
            </w:pPr>
            <w:r>
              <w:rPr>
                <w:bCs/>
                <w:szCs w:val="24"/>
              </w:rPr>
              <w:t>细化本项目原料来源及原料性质，明确原料、产品运输方式，对公路运输车辆提出相应的环保要求，明确厂内非道路移动机械的数量及相应环保要求。</w:t>
            </w:r>
          </w:p>
        </w:tc>
        <w:tc>
          <w:tcPr>
            <w:tcW w:w="7120" w:type="dxa"/>
            <w:vAlign w:val="center"/>
          </w:tcPr>
          <w:p>
            <w:pPr>
              <w:spacing w:line="240" w:lineRule="auto"/>
              <w:ind w:firstLine="0" w:firstLineChars="0"/>
              <w:rPr>
                <w:bCs/>
                <w:szCs w:val="24"/>
              </w:rPr>
            </w:pPr>
            <w:r>
              <w:rPr>
                <w:bCs/>
                <w:szCs w:val="24"/>
              </w:rPr>
              <w:t>细化</w:t>
            </w:r>
            <w:r>
              <w:rPr>
                <w:rFonts w:hint="eastAsia"/>
                <w:bCs/>
                <w:szCs w:val="24"/>
              </w:rPr>
              <w:t>了</w:t>
            </w:r>
            <w:r>
              <w:rPr>
                <w:bCs/>
                <w:szCs w:val="24"/>
              </w:rPr>
              <w:t>本项目原料来源及原料性质，明确</w:t>
            </w:r>
            <w:r>
              <w:rPr>
                <w:rFonts w:hint="eastAsia"/>
                <w:bCs/>
                <w:szCs w:val="24"/>
              </w:rPr>
              <w:t>了</w:t>
            </w:r>
            <w:r>
              <w:rPr>
                <w:bCs/>
                <w:szCs w:val="24"/>
              </w:rPr>
              <w:t>原料、产品运输方式，对公路运输车辆提出</w:t>
            </w:r>
            <w:r>
              <w:rPr>
                <w:rFonts w:hint="eastAsia"/>
                <w:bCs/>
                <w:szCs w:val="24"/>
              </w:rPr>
              <w:t>了</w:t>
            </w:r>
            <w:r>
              <w:rPr>
                <w:bCs/>
                <w:szCs w:val="24"/>
              </w:rPr>
              <w:t>相应的环保要求</w:t>
            </w:r>
            <w:r>
              <w:rPr>
                <w:rFonts w:hint="eastAsia"/>
                <w:bCs/>
                <w:szCs w:val="24"/>
              </w:rPr>
              <w:t>；本项目原料现有工程尾矿石及周边矿山采选过程中产生的尾矿石，环评要求所利用尾矿石应属于一般工业固体废物，</w:t>
            </w:r>
            <w:r>
              <w:rPr>
                <w:bCs/>
                <w:szCs w:val="24"/>
              </w:rPr>
              <w:t>并且</w:t>
            </w:r>
            <w:r>
              <w:rPr>
                <w:rFonts w:hint="eastAsia"/>
                <w:bCs/>
                <w:szCs w:val="24"/>
              </w:rPr>
              <w:t>可作为建筑用骨料及微粉利用。对输运车辆及非道路移动机械，应符合相关排放标准，燃用符合环保要求的油品；车斗用苫布遮盖或者采用密闭车斗。详见P</w:t>
            </w:r>
            <w:r>
              <w:rPr>
                <w:bCs/>
                <w:szCs w:val="24"/>
              </w:rPr>
              <w:t>4</w:t>
            </w:r>
            <w:r>
              <w:rPr>
                <w:rFonts w:hint="eastAsia"/>
                <w:bCs/>
                <w:szCs w:val="24"/>
              </w:rPr>
              <w:t>-</w:t>
            </w:r>
            <w:r>
              <w:rPr>
                <w:bCs/>
                <w:szCs w:val="24"/>
              </w:rPr>
              <w:t>5</w:t>
            </w:r>
            <w:r>
              <w:rPr>
                <w:rFonts w:hint="eastAsia"/>
                <w:bCs/>
                <w:szCs w:val="24"/>
              </w:rPr>
              <w:t>。</w:t>
            </w:r>
          </w:p>
          <w:p>
            <w:pPr>
              <w:spacing w:line="240" w:lineRule="auto"/>
              <w:ind w:firstLine="0" w:firstLineChars="0"/>
              <w:rPr>
                <w:bCs/>
                <w:szCs w:val="24"/>
              </w:rPr>
            </w:pPr>
            <w:r>
              <w:rPr>
                <w:rFonts w:hint="eastAsia"/>
                <w:bCs/>
                <w:szCs w:val="24"/>
              </w:rPr>
              <w:t>明确了厂内的非道路移动机械的数量，详见P</w:t>
            </w:r>
            <w:r>
              <w:rPr>
                <w:bCs/>
                <w:szCs w:val="24"/>
              </w:rPr>
              <w:t>8</w:t>
            </w:r>
            <w:r>
              <w:rPr>
                <w:rFonts w:hint="eastAsia"/>
                <w:bCs/>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17" w:type="dxa"/>
            <w:vAlign w:val="center"/>
          </w:tcPr>
          <w:p>
            <w:pPr>
              <w:spacing w:line="240" w:lineRule="auto"/>
              <w:ind w:firstLine="0" w:firstLineChars="0"/>
              <w:rPr>
                <w:bCs/>
                <w:szCs w:val="24"/>
              </w:rPr>
            </w:pPr>
            <w:r>
              <w:rPr>
                <w:bCs/>
                <w:szCs w:val="24"/>
              </w:rPr>
              <w:t>3</w:t>
            </w:r>
          </w:p>
        </w:tc>
        <w:tc>
          <w:tcPr>
            <w:tcW w:w="6237" w:type="dxa"/>
            <w:vAlign w:val="center"/>
          </w:tcPr>
          <w:p>
            <w:pPr>
              <w:spacing w:line="240" w:lineRule="auto"/>
              <w:ind w:firstLine="0" w:firstLineChars="0"/>
              <w:rPr>
                <w:bCs/>
                <w:szCs w:val="24"/>
              </w:rPr>
            </w:pPr>
            <w:r>
              <w:rPr>
                <w:bCs/>
                <w:szCs w:val="24"/>
              </w:rPr>
              <w:t>结合当地现行环境保护要求严格大气污染物排放标准限值。细化贮运工程内容，明确原料库、产品库及生产车间的规格、尺寸参数，明确物料暂存量及周转时间，强化原料、产品装卸过程扬尘的控制措施，合理估算无组织粉尘排放量。</w:t>
            </w:r>
          </w:p>
        </w:tc>
        <w:tc>
          <w:tcPr>
            <w:tcW w:w="7120" w:type="dxa"/>
            <w:vAlign w:val="center"/>
          </w:tcPr>
          <w:p>
            <w:pPr>
              <w:spacing w:line="240" w:lineRule="auto"/>
              <w:ind w:firstLine="0" w:firstLineChars="0"/>
              <w:rPr>
                <w:bCs/>
                <w:szCs w:val="24"/>
              </w:rPr>
            </w:pPr>
            <w:r>
              <w:rPr>
                <w:bCs/>
                <w:szCs w:val="24"/>
              </w:rPr>
              <w:t>结合当地现行环境保护要求严格大气污染物排放标准限值</w:t>
            </w:r>
            <w:r>
              <w:rPr>
                <w:rFonts w:hint="eastAsia"/>
                <w:bCs/>
                <w:szCs w:val="24"/>
              </w:rPr>
              <w:t>，本项目有组织粉尘外排浓度控制在1</w:t>
            </w:r>
            <w:r>
              <w:rPr>
                <w:bCs/>
                <w:szCs w:val="24"/>
              </w:rPr>
              <w:t>0</w:t>
            </w:r>
            <w:r>
              <w:rPr>
                <w:rFonts w:hint="eastAsia"/>
                <w:bCs/>
                <w:szCs w:val="24"/>
              </w:rPr>
              <w:t>mg</w:t>
            </w:r>
            <w:r>
              <w:rPr>
                <w:bCs/>
                <w:szCs w:val="24"/>
              </w:rPr>
              <w:t>/m</w:t>
            </w:r>
            <w:r>
              <w:rPr>
                <w:bCs/>
                <w:szCs w:val="24"/>
                <w:vertAlign w:val="superscript"/>
              </w:rPr>
              <w:t>3</w:t>
            </w:r>
            <w:r>
              <w:rPr>
                <w:rFonts w:hint="eastAsia"/>
                <w:bCs/>
                <w:szCs w:val="24"/>
              </w:rPr>
              <w:t>以内。</w:t>
            </w:r>
          </w:p>
          <w:p>
            <w:pPr>
              <w:spacing w:line="240" w:lineRule="auto"/>
              <w:ind w:firstLine="0" w:firstLineChars="0"/>
              <w:rPr>
                <w:bCs/>
                <w:szCs w:val="24"/>
              </w:rPr>
            </w:pPr>
            <w:r>
              <w:rPr>
                <w:bCs/>
                <w:szCs w:val="24"/>
              </w:rPr>
              <w:t>细化</w:t>
            </w:r>
            <w:r>
              <w:rPr>
                <w:rFonts w:hint="eastAsia"/>
                <w:bCs/>
                <w:szCs w:val="24"/>
              </w:rPr>
              <w:t>了</w:t>
            </w:r>
            <w:r>
              <w:rPr>
                <w:bCs/>
                <w:szCs w:val="24"/>
              </w:rPr>
              <w:t>贮运工程内容，明确</w:t>
            </w:r>
            <w:r>
              <w:rPr>
                <w:rFonts w:hint="eastAsia"/>
                <w:bCs/>
                <w:szCs w:val="24"/>
              </w:rPr>
              <w:t>了</w:t>
            </w:r>
            <w:r>
              <w:rPr>
                <w:bCs/>
                <w:szCs w:val="24"/>
              </w:rPr>
              <w:t>原料库、产品库及生产车间的规格、尺寸参数，明确</w:t>
            </w:r>
            <w:r>
              <w:rPr>
                <w:rFonts w:hint="eastAsia"/>
                <w:bCs/>
                <w:szCs w:val="24"/>
              </w:rPr>
              <w:t>了</w:t>
            </w:r>
            <w:r>
              <w:rPr>
                <w:bCs/>
                <w:szCs w:val="24"/>
              </w:rPr>
              <w:t>物料暂存量及周转时间</w:t>
            </w:r>
            <w:r>
              <w:rPr>
                <w:rFonts w:hint="eastAsia"/>
                <w:bCs/>
                <w:szCs w:val="24"/>
              </w:rPr>
              <w:t>；详见P</w:t>
            </w:r>
            <w:r>
              <w:rPr>
                <w:bCs/>
                <w:szCs w:val="24"/>
              </w:rPr>
              <w:t>6</w:t>
            </w:r>
            <w:r>
              <w:rPr>
                <w:rFonts w:hint="eastAsia"/>
                <w:bCs/>
                <w:szCs w:val="24"/>
              </w:rPr>
              <w:t>。</w:t>
            </w:r>
          </w:p>
          <w:p>
            <w:pPr>
              <w:spacing w:line="240" w:lineRule="auto"/>
              <w:ind w:firstLine="0" w:firstLineChars="0"/>
              <w:rPr>
                <w:bCs/>
                <w:szCs w:val="24"/>
              </w:rPr>
            </w:pPr>
            <w:r>
              <w:rPr>
                <w:bCs/>
                <w:szCs w:val="24"/>
              </w:rPr>
              <w:t>强化</w:t>
            </w:r>
            <w:r>
              <w:rPr>
                <w:rFonts w:hint="eastAsia"/>
                <w:bCs/>
                <w:szCs w:val="24"/>
              </w:rPr>
              <w:t>了</w:t>
            </w:r>
            <w:r>
              <w:rPr>
                <w:bCs/>
                <w:szCs w:val="24"/>
              </w:rPr>
              <w:t>原料、产品装卸过程扬尘的控制措施，合理估算</w:t>
            </w:r>
            <w:r>
              <w:rPr>
                <w:rFonts w:hint="eastAsia"/>
                <w:bCs/>
                <w:szCs w:val="24"/>
              </w:rPr>
              <w:t>了</w:t>
            </w:r>
            <w:r>
              <w:rPr>
                <w:bCs/>
                <w:szCs w:val="24"/>
              </w:rPr>
              <w:t>无组织粉尘排放量。</w:t>
            </w:r>
            <w:r>
              <w:rPr>
                <w:rFonts w:hint="eastAsia"/>
                <w:bCs/>
                <w:szCs w:val="24"/>
              </w:rPr>
              <w:t>详见P</w:t>
            </w:r>
            <w:r>
              <w:rPr>
                <w:bCs/>
                <w:szCs w:val="24"/>
              </w:rPr>
              <w:t>48-49</w:t>
            </w:r>
            <w:r>
              <w:rPr>
                <w:rFonts w:hint="eastAsia"/>
                <w:bCs/>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17" w:type="dxa"/>
            <w:vAlign w:val="center"/>
          </w:tcPr>
          <w:p>
            <w:pPr>
              <w:spacing w:line="240" w:lineRule="auto"/>
              <w:ind w:firstLine="0" w:firstLineChars="0"/>
              <w:rPr>
                <w:bCs/>
                <w:szCs w:val="24"/>
              </w:rPr>
            </w:pPr>
            <w:r>
              <w:rPr>
                <w:bCs/>
                <w:szCs w:val="24"/>
              </w:rPr>
              <w:t>4</w:t>
            </w:r>
          </w:p>
        </w:tc>
        <w:tc>
          <w:tcPr>
            <w:tcW w:w="6237" w:type="dxa"/>
            <w:vAlign w:val="center"/>
          </w:tcPr>
          <w:p>
            <w:pPr>
              <w:spacing w:line="240" w:lineRule="auto"/>
              <w:ind w:firstLine="0" w:firstLineChars="0"/>
              <w:rPr>
                <w:bCs/>
                <w:szCs w:val="24"/>
              </w:rPr>
            </w:pPr>
            <w:r>
              <w:rPr>
                <w:bCs/>
                <w:szCs w:val="24"/>
              </w:rPr>
              <w:t>补充厂区平面布置图及生产车间布置图，明确各生产设施的布置及产排污环节数量，根据主要生产设施、设备的规格、型号、产能参数及工作制度，核实本项目生产能力。规范破碎、筛分工序除尘器集气方案，要求在不影响生产操作的前提下应对各产尘环节进行封闭、集气方案。补充集气量估算依据，核实各除尘器风量参数，校核过滤风速指标，规范大气污染源排放清单。</w:t>
            </w:r>
          </w:p>
        </w:tc>
        <w:tc>
          <w:tcPr>
            <w:tcW w:w="7120" w:type="dxa"/>
            <w:vAlign w:val="center"/>
          </w:tcPr>
          <w:p>
            <w:pPr>
              <w:spacing w:line="240" w:lineRule="auto"/>
              <w:ind w:firstLine="0" w:firstLineChars="0"/>
              <w:rPr>
                <w:bCs/>
                <w:szCs w:val="24"/>
              </w:rPr>
            </w:pPr>
            <w:r>
              <w:rPr>
                <w:bCs/>
                <w:szCs w:val="24"/>
              </w:rPr>
              <w:t>补充</w:t>
            </w:r>
            <w:r>
              <w:rPr>
                <w:rFonts w:hint="eastAsia"/>
                <w:bCs/>
                <w:szCs w:val="24"/>
              </w:rPr>
              <w:t>了</w:t>
            </w:r>
            <w:r>
              <w:rPr>
                <w:bCs/>
                <w:szCs w:val="24"/>
              </w:rPr>
              <w:t>厂区平面布置图及生产车间布置图，明确</w:t>
            </w:r>
            <w:r>
              <w:rPr>
                <w:rFonts w:hint="eastAsia"/>
                <w:bCs/>
                <w:szCs w:val="24"/>
              </w:rPr>
              <w:t>了</w:t>
            </w:r>
            <w:r>
              <w:rPr>
                <w:bCs/>
                <w:szCs w:val="24"/>
              </w:rPr>
              <w:t>各生产设施的布置及产排污环节数量</w:t>
            </w:r>
            <w:r>
              <w:rPr>
                <w:rFonts w:hint="eastAsia"/>
                <w:bCs/>
                <w:szCs w:val="24"/>
              </w:rPr>
              <w:t>。详见附图5。</w:t>
            </w:r>
          </w:p>
          <w:p>
            <w:pPr>
              <w:spacing w:line="240" w:lineRule="auto"/>
              <w:ind w:firstLine="0" w:firstLineChars="0"/>
              <w:rPr>
                <w:bCs/>
                <w:szCs w:val="24"/>
              </w:rPr>
            </w:pPr>
            <w:r>
              <w:rPr>
                <w:bCs/>
                <w:szCs w:val="24"/>
              </w:rPr>
              <w:t>根据主要生产设施、设备的规格、型号、产能参数及工作制度，核实</w:t>
            </w:r>
            <w:r>
              <w:rPr>
                <w:rFonts w:hint="eastAsia"/>
                <w:bCs/>
                <w:szCs w:val="24"/>
              </w:rPr>
              <w:t>了</w:t>
            </w:r>
            <w:r>
              <w:rPr>
                <w:bCs/>
                <w:szCs w:val="24"/>
              </w:rPr>
              <w:t>本项目生产能力。</w:t>
            </w:r>
            <w:r>
              <w:rPr>
                <w:rFonts w:hint="eastAsia"/>
                <w:bCs/>
                <w:szCs w:val="24"/>
              </w:rPr>
              <w:t>详见P</w:t>
            </w:r>
            <w:r>
              <w:rPr>
                <w:bCs/>
                <w:szCs w:val="24"/>
              </w:rPr>
              <w:t>8</w:t>
            </w:r>
            <w:r>
              <w:rPr>
                <w:rFonts w:hint="eastAsia"/>
                <w:bCs/>
                <w:szCs w:val="24"/>
              </w:rPr>
              <w:t>。</w:t>
            </w:r>
          </w:p>
          <w:p>
            <w:pPr>
              <w:spacing w:line="240" w:lineRule="auto"/>
              <w:ind w:firstLine="0" w:firstLineChars="0"/>
              <w:rPr>
                <w:bCs/>
                <w:szCs w:val="24"/>
              </w:rPr>
            </w:pPr>
            <w:r>
              <w:rPr>
                <w:rFonts w:hint="eastAsia"/>
                <w:bCs/>
                <w:szCs w:val="24"/>
              </w:rPr>
              <w:t>规</w:t>
            </w:r>
            <w:r>
              <w:rPr>
                <w:bCs/>
                <w:szCs w:val="24"/>
              </w:rPr>
              <w:t>范破碎、筛分工序除尘器集气方案，</w:t>
            </w:r>
            <w:r>
              <w:rPr>
                <w:rFonts w:hint="eastAsia"/>
                <w:bCs/>
                <w:szCs w:val="24"/>
              </w:rPr>
              <w:t>要求对振动筛等筛分设备进行全封闭后集尘</w:t>
            </w:r>
            <w:r>
              <w:rPr>
                <w:bCs/>
                <w:szCs w:val="24"/>
              </w:rPr>
              <w:t>。</w:t>
            </w:r>
            <w:r>
              <w:rPr>
                <w:rFonts w:hint="eastAsia"/>
                <w:bCs/>
                <w:szCs w:val="24"/>
              </w:rPr>
              <w:t>详见P</w:t>
            </w:r>
            <w:r>
              <w:rPr>
                <w:bCs/>
                <w:szCs w:val="24"/>
              </w:rPr>
              <w:t>49-51</w:t>
            </w:r>
            <w:r>
              <w:rPr>
                <w:rFonts w:hint="eastAsia"/>
                <w:bCs/>
                <w:szCs w:val="24"/>
              </w:rPr>
              <w:t>。</w:t>
            </w:r>
          </w:p>
          <w:p>
            <w:pPr>
              <w:spacing w:line="240" w:lineRule="auto"/>
              <w:ind w:firstLine="0" w:firstLineChars="0"/>
              <w:rPr>
                <w:bCs/>
                <w:szCs w:val="24"/>
              </w:rPr>
            </w:pPr>
            <w:r>
              <w:rPr>
                <w:bCs/>
                <w:szCs w:val="24"/>
              </w:rPr>
              <w:t>补充</w:t>
            </w:r>
            <w:r>
              <w:rPr>
                <w:rFonts w:hint="eastAsia"/>
                <w:bCs/>
                <w:szCs w:val="24"/>
              </w:rPr>
              <w:t>了</w:t>
            </w:r>
            <w:r>
              <w:rPr>
                <w:bCs/>
                <w:szCs w:val="24"/>
              </w:rPr>
              <w:t>集气量估算依据，核实</w:t>
            </w:r>
            <w:r>
              <w:rPr>
                <w:rFonts w:hint="eastAsia"/>
                <w:bCs/>
                <w:szCs w:val="24"/>
              </w:rPr>
              <w:t>了</w:t>
            </w:r>
            <w:r>
              <w:rPr>
                <w:bCs/>
                <w:szCs w:val="24"/>
              </w:rPr>
              <w:t>各除尘器风量参数，校核</w:t>
            </w:r>
            <w:r>
              <w:rPr>
                <w:rFonts w:hint="eastAsia"/>
                <w:bCs/>
                <w:szCs w:val="24"/>
              </w:rPr>
              <w:t>了</w:t>
            </w:r>
            <w:r>
              <w:rPr>
                <w:bCs/>
                <w:szCs w:val="24"/>
              </w:rPr>
              <w:t>过滤风速指标，规范</w:t>
            </w:r>
            <w:r>
              <w:rPr>
                <w:rFonts w:hint="eastAsia"/>
                <w:bCs/>
                <w:szCs w:val="24"/>
              </w:rPr>
              <w:t>了</w:t>
            </w:r>
            <w:r>
              <w:rPr>
                <w:bCs/>
                <w:szCs w:val="24"/>
              </w:rPr>
              <w:t>大气污染源排放清单。</w:t>
            </w:r>
            <w:r>
              <w:rPr>
                <w:rFonts w:hint="eastAsia"/>
                <w:bCs/>
                <w:szCs w:val="24"/>
              </w:rPr>
              <w:t>详见P</w:t>
            </w:r>
            <w:r>
              <w:rPr>
                <w:bCs/>
                <w:szCs w:val="24"/>
              </w:rPr>
              <w:t>49-51</w:t>
            </w:r>
            <w:r>
              <w:rPr>
                <w:rFonts w:hint="eastAsia"/>
                <w:bCs/>
                <w:szCs w:val="24"/>
              </w:rPr>
              <w:t>，P</w:t>
            </w:r>
            <w:r>
              <w:rPr>
                <w:bCs/>
                <w:szCs w:val="24"/>
              </w:rPr>
              <w:t>69-70</w:t>
            </w:r>
            <w:r>
              <w:rPr>
                <w:rFonts w:hint="eastAsia"/>
                <w:bCs/>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17" w:type="dxa"/>
            <w:vAlign w:val="center"/>
          </w:tcPr>
          <w:p>
            <w:pPr>
              <w:spacing w:line="240" w:lineRule="auto"/>
              <w:ind w:firstLine="0" w:firstLineChars="0"/>
              <w:rPr>
                <w:bCs/>
                <w:szCs w:val="24"/>
              </w:rPr>
            </w:pPr>
            <w:r>
              <w:rPr>
                <w:bCs/>
                <w:szCs w:val="24"/>
              </w:rPr>
              <w:t>5</w:t>
            </w:r>
          </w:p>
        </w:tc>
        <w:tc>
          <w:tcPr>
            <w:tcW w:w="6237" w:type="dxa"/>
            <w:vAlign w:val="center"/>
          </w:tcPr>
          <w:p>
            <w:pPr>
              <w:spacing w:line="240" w:lineRule="auto"/>
              <w:ind w:firstLine="0" w:firstLineChars="0"/>
              <w:rPr>
                <w:bCs/>
                <w:szCs w:val="24"/>
              </w:rPr>
            </w:pPr>
            <w:r>
              <w:rPr>
                <w:bCs/>
                <w:szCs w:val="24"/>
              </w:rPr>
              <w:t>完善产品方案，补充项目生产物料平衡分析，核实各产品、除尘灰产生量指标。细化分析项目“三线一单”符合性分析。</w:t>
            </w:r>
          </w:p>
        </w:tc>
        <w:tc>
          <w:tcPr>
            <w:tcW w:w="7120" w:type="dxa"/>
            <w:vAlign w:val="center"/>
          </w:tcPr>
          <w:p>
            <w:pPr>
              <w:spacing w:line="240" w:lineRule="auto"/>
              <w:ind w:firstLine="0" w:firstLineChars="0"/>
              <w:rPr>
                <w:bCs/>
                <w:szCs w:val="24"/>
              </w:rPr>
            </w:pPr>
            <w:r>
              <w:rPr>
                <w:bCs/>
                <w:szCs w:val="24"/>
              </w:rPr>
              <w:t>完善</w:t>
            </w:r>
            <w:r>
              <w:rPr>
                <w:rFonts w:hint="eastAsia"/>
                <w:bCs/>
                <w:szCs w:val="24"/>
              </w:rPr>
              <w:t>了</w:t>
            </w:r>
            <w:r>
              <w:rPr>
                <w:bCs/>
                <w:szCs w:val="24"/>
              </w:rPr>
              <w:t>产品方案，补充</w:t>
            </w:r>
            <w:r>
              <w:rPr>
                <w:rFonts w:hint="eastAsia"/>
                <w:bCs/>
                <w:szCs w:val="24"/>
              </w:rPr>
              <w:t>了</w:t>
            </w:r>
            <w:r>
              <w:rPr>
                <w:bCs/>
                <w:szCs w:val="24"/>
              </w:rPr>
              <w:t>项目生产物料平衡分析</w:t>
            </w:r>
            <w:r>
              <w:rPr>
                <w:rFonts w:hint="eastAsia"/>
                <w:bCs/>
                <w:szCs w:val="24"/>
              </w:rPr>
              <w:t>。详见P</w:t>
            </w:r>
            <w:r>
              <w:rPr>
                <w:bCs/>
                <w:szCs w:val="24"/>
              </w:rPr>
              <w:t>5</w:t>
            </w:r>
            <w:r>
              <w:rPr>
                <w:rFonts w:hint="eastAsia"/>
                <w:bCs/>
                <w:szCs w:val="24"/>
              </w:rPr>
              <w:t>。</w:t>
            </w:r>
          </w:p>
          <w:p>
            <w:pPr>
              <w:spacing w:line="240" w:lineRule="auto"/>
              <w:ind w:firstLine="0" w:firstLineChars="0"/>
              <w:rPr>
                <w:bCs/>
                <w:szCs w:val="24"/>
              </w:rPr>
            </w:pPr>
            <w:r>
              <w:rPr>
                <w:bCs/>
                <w:szCs w:val="24"/>
              </w:rPr>
              <w:t>核实</w:t>
            </w:r>
            <w:r>
              <w:rPr>
                <w:rFonts w:hint="eastAsia"/>
                <w:bCs/>
                <w:szCs w:val="24"/>
              </w:rPr>
              <w:t>了</w:t>
            </w:r>
            <w:r>
              <w:rPr>
                <w:bCs/>
                <w:szCs w:val="24"/>
              </w:rPr>
              <w:t>各产品、除尘灰产生量指标。</w:t>
            </w:r>
            <w:r>
              <w:rPr>
                <w:rFonts w:hint="eastAsia"/>
                <w:bCs/>
                <w:szCs w:val="24"/>
              </w:rPr>
              <w:t>详见P</w:t>
            </w:r>
            <w:r>
              <w:rPr>
                <w:bCs/>
                <w:szCs w:val="24"/>
              </w:rPr>
              <w:t>59</w:t>
            </w:r>
            <w:r>
              <w:rPr>
                <w:rFonts w:hint="eastAsia"/>
                <w:bCs/>
                <w:szCs w:val="24"/>
              </w:rPr>
              <w:t>。</w:t>
            </w:r>
          </w:p>
          <w:p>
            <w:pPr>
              <w:spacing w:line="240" w:lineRule="auto"/>
              <w:ind w:firstLine="0" w:firstLineChars="0"/>
              <w:rPr>
                <w:bCs/>
                <w:szCs w:val="24"/>
              </w:rPr>
            </w:pPr>
            <w:r>
              <w:rPr>
                <w:bCs/>
                <w:szCs w:val="24"/>
              </w:rPr>
              <w:t>细化分析项目</w:t>
            </w:r>
            <w:r>
              <w:rPr>
                <w:rFonts w:hint="eastAsia"/>
                <w:bCs/>
                <w:szCs w:val="24"/>
              </w:rPr>
              <w:t>“</w:t>
            </w:r>
            <w:r>
              <w:rPr>
                <w:bCs/>
                <w:szCs w:val="24"/>
              </w:rPr>
              <w:t>三线一单</w:t>
            </w:r>
            <w:r>
              <w:rPr>
                <w:rFonts w:hint="eastAsia"/>
                <w:bCs/>
                <w:szCs w:val="24"/>
              </w:rPr>
              <w:t>”</w:t>
            </w:r>
            <w:r>
              <w:rPr>
                <w:bCs/>
                <w:szCs w:val="24"/>
              </w:rPr>
              <w:t>符合性分析。</w:t>
            </w:r>
            <w:r>
              <w:rPr>
                <w:rFonts w:hint="eastAsia"/>
                <w:bCs/>
                <w:szCs w:val="24"/>
              </w:rPr>
              <w:t>详见P</w:t>
            </w:r>
            <w:r>
              <w:rPr>
                <w:bCs/>
                <w:szCs w:val="24"/>
              </w:rPr>
              <w:t>2-3</w:t>
            </w:r>
            <w:r>
              <w:rPr>
                <w:rFonts w:hint="eastAsia"/>
                <w:bCs/>
                <w:szCs w:val="24"/>
              </w:rPr>
              <w:t>。</w:t>
            </w:r>
          </w:p>
        </w:tc>
      </w:tr>
    </w:tbl>
    <w:p>
      <w:pPr>
        <w:ind w:firstLine="480"/>
        <w:rPr>
          <w:rFonts w:ascii="宋体" w:hAnsi="宋体"/>
          <w:szCs w:val="24"/>
        </w:rPr>
      </w:pPr>
    </w:p>
    <w:p>
      <w:pPr>
        <w:pStyle w:val="144"/>
        <w:ind w:firstLine="480"/>
      </w:pPr>
    </w:p>
    <w:p>
      <w:pPr>
        <w:pStyle w:val="144"/>
        <w:ind w:firstLine="480"/>
        <w:sectPr>
          <w:pgSz w:w="11907" w:h="16840"/>
          <w:pgMar w:top="1418" w:right="1361" w:bottom="1418" w:left="1474" w:header="851" w:footer="992" w:gutter="0"/>
          <w:pgNumType w:start="1"/>
          <w:cols w:space="720" w:num="1"/>
          <w:titlePg/>
          <w:docGrid w:linePitch="312" w:charSpace="0"/>
        </w:sectPr>
      </w:pPr>
    </w:p>
    <w:p>
      <w:pPr>
        <w:pStyle w:val="186"/>
      </w:pPr>
      <w:r>
        <w:t>建设项目基本情况</w:t>
      </w:r>
    </w:p>
    <w:tbl>
      <w:tblPr>
        <w:tblStyle w:val="70"/>
        <w:tblW w:w="0" w:type="auto"/>
        <w:tblInd w:w="-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6"/>
        <w:gridCol w:w="1552"/>
        <w:gridCol w:w="1580"/>
        <w:gridCol w:w="1986"/>
        <w:gridCol w:w="1554"/>
        <w:gridCol w:w="9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pPr>
              <w:pStyle w:val="187"/>
              <w:rPr>
                <w:b/>
              </w:rPr>
            </w:pPr>
            <w:r>
              <w:rPr>
                <w:rFonts w:hAnsi="宋体"/>
                <w:b/>
              </w:rPr>
              <w:t>项目名称</w:t>
            </w:r>
          </w:p>
        </w:tc>
        <w:tc>
          <w:tcPr>
            <w:tcW w:w="0" w:type="auto"/>
            <w:gridSpan w:val="5"/>
            <w:vAlign w:val="center"/>
          </w:tcPr>
          <w:p>
            <w:pPr>
              <w:pStyle w:val="187"/>
              <w:rPr>
                <w:rStyle w:val="143"/>
                <w:rFonts w:hAnsi="宋体"/>
                <w:bCs w:val="0"/>
              </w:rPr>
            </w:pPr>
            <w:bookmarkStart w:id="2" w:name="_Hlk40342472"/>
            <w:r>
              <w:rPr>
                <w:rFonts w:hint="eastAsia"/>
              </w:rPr>
              <w:t>利用尾矿石加工建筑骨料及微粉生产线技改项目</w:t>
            </w:r>
            <w:bookmarkEnd w:id="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pPr>
              <w:pStyle w:val="187"/>
              <w:rPr>
                <w:b/>
              </w:rPr>
            </w:pPr>
            <w:r>
              <w:rPr>
                <w:rFonts w:hAnsi="宋体"/>
                <w:b/>
              </w:rPr>
              <w:t>建设单位</w:t>
            </w:r>
          </w:p>
        </w:tc>
        <w:tc>
          <w:tcPr>
            <w:tcW w:w="0" w:type="auto"/>
            <w:gridSpan w:val="5"/>
            <w:vAlign w:val="center"/>
          </w:tcPr>
          <w:p>
            <w:pPr>
              <w:pStyle w:val="187"/>
            </w:pPr>
            <w:bookmarkStart w:id="3" w:name="_Hlk40342465"/>
            <w:r>
              <w:rPr>
                <w:rFonts w:hint="eastAsia"/>
              </w:rPr>
              <w:t>交城县西冶兴威矿石加工厂</w:t>
            </w:r>
            <w:bookmarkEnd w:id="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pPr>
              <w:pStyle w:val="187"/>
              <w:rPr>
                <w:b/>
              </w:rPr>
            </w:pPr>
            <w:r>
              <w:rPr>
                <w:rFonts w:hAnsi="宋体"/>
                <w:b/>
              </w:rPr>
              <w:t>法人代表</w:t>
            </w:r>
          </w:p>
        </w:tc>
        <w:tc>
          <w:tcPr>
            <w:tcW w:w="0" w:type="auto"/>
            <w:gridSpan w:val="2"/>
            <w:vAlign w:val="center"/>
          </w:tcPr>
          <w:p>
            <w:pPr>
              <w:pStyle w:val="187"/>
            </w:pPr>
            <w:r>
              <w:rPr>
                <w:rFonts w:hint="eastAsia"/>
              </w:rPr>
              <w:t>李奇</w:t>
            </w:r>
          </w:p>
        </w:tc>
        <w:tc>
          <w:tcPr>
            <w:tcW w:w="0" w:type="auto"/>
            <w:vAlign w:val="center"/>
          </w:tcPr>
          <w:p>
            <w:pPr>
              <w:pStyle w:val="187"/>
              <w:rPr>
                <w:b/>
              </w:rPr>
            </w:pPr>
            <w:r>
              <w:rPr>
                <w:rFonts w:hAnsi="宋体"/>
                <w:b/>
              </w:rPr>
              <w:t>联系人</w:t>
            </w:r>
          </w:p>
        </w:tc>
        <w:tc>
          <w:tcPr>
            <w:tcW w:w="0" w:type="auto"/>
            <w:gridSpan w:val="2"/>
            <w:vAlign w:val="center"/>
          </w:tcPr>
          <w:p>
            <w:pPr>
              <w:pStyle w:val="187"/>
            </w:pPr>
            <w:r>
              <w:rPr>
                <w:rFonts w:hint="eastAsia"/>
              </w:rPr>
              <w:t>苏德盛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pPr>
              <w:pStyle w:val="187"/>
              <w:rPr>
                <w:b/>
              </w:rPr>
            </w:pPr>
            <w:r>
              <w:rPr>
                <w:rFonts w:hAnsi="宋体"/>
                <w:b/>
              </w:rPr>
              <w:t>通信地址</w:t>
            </w:r>
          </w:p>
        </w:tc>
        <w:tc>
          <w:tcPr>
            <w:tcW w:w="0" w:type="auto"/>
            <w:gridSpan w:val="5"/>
            <w:vAlign w:val="center"/>
          </w:tcPr>
          <w:p>
            <w:pPr>
              <w:pStyle w:val="187"/>
              <w:rPr>
                <w:rFonts w:hAnsi="宋体"/>
                <w:bCs w:val="0"/>
              </w:rPr>
            </w:pPr>
            <w:r>
              <w:rPr>
                <w:rFonts w:hint="eastAsia"/>
              </w:rPr>
              <w:t>交城县水峪贯镇西冶村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pPr>
              <w:pStyle w:val="187"/>
              <w:rPr>
                <w:b/>
              </w:rPr>
            </w:pPr>
            <w:r>
              <w:rPr>
                <w:rFonts w:hAnsi="宋体"/>
                <w:b/>
              </w:rPr>
              <w:t>联系电话</w:t>
            </w:r>
          </w:p>
        </w:tc>
        <w:tc>
          <w:tcPr>
            <w:tcW w:w="1734" w:type="dxa"/>
            <w:vAlign w:val="center"/>
          </w:tcPr>
          <w:p>
            <w:pPr>
              <w:pStyle w:val="187"/>
            </w:pPr>
            <w:bookmarkStart w:id="23" w:name="_GoBack"/>
            <w:bookmarkEnd w:id="23"/>
          </w:p>
        </w:tc>
        <w:tc>
          <w:tcPr>
            <w:tcW w:w="1804" w:type="dxa"/>
            <w:vAlign w:val="center"/>
          </w:tcPr>
          <w:p>
            <w:pPr>
              <w:pStyle w:val="187"/>
              <w:rPr>
                <w:b/>
              </w:rPr>
            </w:pPr>
            <w:r>
              <w:rPr>
                <w:rFonts w:hAnsi="宋体"/>
                <w:b/>
              </w:rPr>
              <w:t>传真</w:t>
            </w:r>
          </w:p>
        </w:tc>
        <w:tc>
          <w:tcPr>
            <w:tcW w:w="0" w:type="auto"/>
            <w:vAlign w:val="center"/>
          </w:tcPr>
          <w:p>
            <w:pPr>
              <w:pStyle w:val="187"/>
            </w:pPr>
          </w:p>
        </w:tc>
        <w:tc>
          <w:tcPr>
            <w:tcW w:w="0" w:type="auto"/>
            <w:vAlign w:val="center"/>
          </w:tcPr>
          <w:p>
            <w:pPr>
              <w:pStyle w:val="187"/>
              <w:rPr>
                <w:b/>
              </w:rPr>
            </w:pPr>
            <w:r>
              <w:rPr>
                <w:rFonts w:hAnsi="宋体"/>
                <w:b/>
              </w:rPr>
              <w:t>邮政编码</w:t>
            </w:r>
          </w:p>
        </w:tc>
        <w:tc>
          <w:tcPr>
            <w:tcW w:w="0" w:type="auto"/>
            <w:vAlign w:val="center"/>
          </w:tcPr>
          <w:p>
            <w:pPr>
              <w:pStyle w:val="187"/>
            </w:pPr>
            <w:r>
              <w:t>030599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pPr>
              <w:pStyle w:val="187"/>
              <w:rPr>
                <w:b/>
              </w:rPr>
            </w:pPr>
            <w:r>
              <w:rPr>
                <w:rFonts w:hAnsi="宋体"/>
                <w:b/>
              </w:rPr>
              <w:t>建设地点</w:t>
            </w:r>
          </w:p>
        </w:tc>
        <w:tc>
          <w:tcPr>
            <w:tcW w:w="0" w:type="auto"/>
            <w:gridSpan w:val="5"/>
            <w:vAlign w:val="center"/>
          </w:tcPr>
          <w:p>
            <w:pPr>
              <w:pStyle w:val="187"/>
            </w:pPr>
            <w:r>
              <w:rPr>
                <w:rFonts w:hint="eastAsia"/>
              </w:rPr>
              <w:t>交城县水峪贯镇西冶村，交城县西冶兴威矿石加工厂现有厂址南侧，利用废弃洗煤厂场地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0" w:type="auto"/>
            <w:vAlign w:val="center"/>
          </w:tcPr>
          <w:p>
            <w:pPr>
              <w:pStyle w:val="187"/>
              <w:rPr>
                <w:b/>
              </w:rPr>
            </w:pPr>
            <w:r>
              <w:rPr>
                <w:rFonts w:hAnsi="宋体"/>
                <w:b/>
              </w:rPr>
              <w:t>立项审批部门</w:t>
            </w:r>
          </w:p>
        </w:tc>
        <w:tc>
          <w:tcPr>
            <w:tcW w:w="0" w:type="auto"/>
            <w:gridSpan w:val="2"/>
            <w:vAlign w:val="center"/>
          </w:tcPr>
          <w:p>
            <w:pPr>
              <w:pStyle w:val="187"/>
            </w:pPr>
            <w:r>
              <w:rPr>
                <w:rFonts w:hint="eastAsia"/>
              </w:rPr>
              <w:t>交城县工业和信息化局</w:t>
            </w:r>
          </w:p>
        </w:tc>
        <w:tc>
          <w:tcPr>
            <w:tcW w:w="0" w:type="auto"/>
            <w:vAlign w:val="center"/>
          </w:tcPr>
          <w:p>
            <w:pPr>
              <w:pStyle w:val="187"/>
              <w:rPr>
                <w:b/>
              </w:rPr>
            </w:pPr>
            <w:r>
              <w:rPr>
                <w:rFonts w:hAnsi="宋体"/>
                <w:b/>
              </w:rPr>
              <w:t>批准文号</w:t>
            </w:r>
          </w:p>
        </w:tc>
        <w:tc>
          <w:tcPr>
            <w:tcW w:w="0" w:type="auto"/>
            <w:gridSpan w:val="2"/>
            <w:vAlign w:val="center"/>
          </w:tcPr>
          <w:p>
            <w:pPr>
              <w:pStyle w:val="187"/>
              <w:rPr>
                <w:szCs w:val="21"/>
              </w:rPr>
            </w:pPr>
            <w:r>
              <w:rPr>
                <w:rFonts w:hint="eastAsia"/>
                <w:szCs w:val="21"/>
              </w:rPr>
              <w:t>交工信（审）字</w:t>
            </w:r>
          </w:p>
          <w:p>
            <w:pPr>
              <w:pStyle w:val="187"/>
              <w:rPr>
                <w:szCs w:val="21"/>
              </w:rPr>
            </w:pPr>
            <w:r>
              <w:rPr>
                <w:rFonts w:hint="eastAsia"/>
                <w:szCs w:val="21"/>
              </w:rPr>
              <w:t>[</w:t>
            </w:r>
            <w:r>
              <w:rPr>
                <w:szCs w:val="21"/>
              </w:rPr>
              <w:t>2019]45</w:t>
            </w:r>
            <w:r>
              <w:rPr>
                <w:rFonts w:hint="eastAsia"/>
                <w:szCs w:val="21"/>
              </w:rPr>
              <w:t>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pPr>
              <w:pStyle w:val="187"/>
              <w:rPr>
                <w:b/>
              </w:rPr>
            </w:pPr>
            <w:r>
              <w:rPr>
                <w:rFonts w:hAnsi="宋体"/>
                <w:b/>
              </w:rPr>
              <w:t>建设性质</w:t>
            </w:r>
          </w:p>
        </w:tc>
        <w:tc>
          <w:tcPr>
            <w:tcW w:w="0" w:type="auto"/>
            <w:gridSpan w:val="2"/>
            <w:vAlign w:val="center"/>
          </w:tcPr>
          <w:p>
            <w:pPr>
              <w:pStyle w:val="187"/>
            </w:pPr>
            <w:r>
              <w:rPr>
                <w:rFonts w:hint="eastAsia"/>
              </w:rPr>
              <w:t>改扩建</w:t>
            </w:r>
          </w:p>
        </w:tc>
        <w:tc>
          <w:tcPr>
            <w:tcW w:w="0" w:type="auto"/>
            <w:vAlign w:val="center"/>
          </w:tcPr>
          <w:p>
            <w:pPr>
              <w:pStyle w:val="187"/>
              <w:rPr>
                <w:b/>
              </w:rPr>
            </w:pPr>
            <w:r>
              <w:rPr>
                <w:rFonts w:hAnsi="宋体"/>
                <w:b/>
              </w:rPr>
              <w:t>行业类别及代码</w:t>
            </w:r>
          </w:p>
        </w:tc>
        <w:tc>
          <w:tcPr>
            <w:tcW w:w="0" w:type="auto"/>
            <w:gridSpan w:val="2"/>
            <w:vAlign w:val="center"/>
          </w:tcPr>
          <w:p>
            <w:pPr>
              <w:pStyle w:val="187"/>
            </w:pPr>
            <w:r>
              <w:rPr>
                <w:rFonts w:hint="eastAsia"/>
              </w:rPr>
              <w:t>3</w:t>
            </w:r>
            <w:r>
              <w:t>099</w:t>
            </w:r>
            <w:r>
              <w:rPr>
                <w:rFonts w:hint="eastAsia"/>
              </w:rPr>
              <w:t>其他非金属矿物制品制造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pPr>
              <w:pStyle w:val="187"/>
              <w:rPr>
                <w:b/>
              </w:rPr>
            </w:pPr>
            <w:r>
              <w:rPr>
                <w:rFonts w:hAnsi="宋体"/>
                <w:b/>
              </w:rPr>
              <w:t>占地面积</w:t>
            </w:r>
          </w:p>
          <w:p>
            <w:pPr>
              <w:pStyle w:val="187"/>
              <w:rPr>
                <w:b/>
              </w:rPr>
            </w:pPr>
            <w:r>
              <w:rPr>
                <w:rFonts w:hAnsi="宋体"/>
                <w:b/>
              </w:rPr>
              <w:t>（</w:t>
            </w:r>
            <w:r>
              <w:rPr>
                <w:b/>
              </w:rPr>
              <w:t>m</w:t>
            </w:r>
            <w:r>
              <w:rPr>
                <w:b/>
                <w:vertAlign w:val="superscript"/>
              </w:rPr>
              <w:t>2</w:t>
            </w:r>
            <w:r>
              <w:rPr>
                <w:rFonts w:hAnsi="宋体"/>
                <w:b/>
              </w:rPr>
              <w:t>）</w:t>
            </w:r>
          </w:p>
        </w:tc>
        <w:tc>
          <w:tcPr>
            <w:tcW w:w="0" w:type="auto"/>
            <w:gridSpan w:val="2"/>
            <w:vAlign w:val="center"/>
          </w:tcPr>
          <w:p>
            <w:pPr>
              <w:pStyle w:val="187"/>
            </w:pPr>
            <w:r>
              <w:rPr>
                <w:rFonts w:hint="eastAsia"/>
              </w:rPr>
              <w:t>3</w:t>
            </w:r>
            <w:r>
              <w:t>7500</w:t>
            </w:r>
          </w:p>
        </w:tc>
        <w:tc>
          <w:tcPr>
            <w:tcW w:w="0" w:type="auto"/>
            <w:vAlign w:val="center"/>
          </w:tcPr>
          <w:p>
            <w:pPr>
              <w:pStyle w:val="187"/>
              <w:rPr>
                <w:b/>
              </w:rPr>
            </w:pPr>
            <w:r>
              <w:rPr>
                <w:rFonts w:hAnsi="宋体"/>
                <w:b/>
              </w:rPr>
              <w:t>绿化面积</w:t>
            </w:r>
          </w:p>
          <w:p>
            <w:pPr>
              <w:pStyle w:val="187"/>
              <w:rPr>
                <w:b/>
              </w:rPr>
            </w:pPr>
            <w:r>
              <w:rPr>
                <w:rFonts w:hAnsi="宋体"/>
                <w:b/>
              </w:rPr>
              <w:t>（</w:t>
            </w:r>
            <w:r>
              <w:rPr>
                <w:b/>
              </w:rPr>
              <w:t>m</w:t>
            </w:r>
            <w:r>
              <w:rPr>
                <w:b/>
                <w:vertAlign w:val="superscript"/>
              </w:rPr>
              <w:t>2</w:t>
            </w:r>
            <w:r>
              <w:rPr>
                <w:rFonts w:hAnsi="宋体"/>
                <w:b/>
              </w:rPr>
              <w:t>）</w:t>
            </w:r>
          </w:p>
        </w:tc>
        <w:tc>
          <w:tcPr>
            <w:tcW w:w="0" w:type="auto"/>
            <w:gridSpan w:val="2"/>
            <w:vAlign w:val="center"/>
          </w:tcPr>
          <w:p>
            <w:pPr>
              <w:pStyle w:val="187"/>
            </w:pPr>
            <w:r>
              <w:rPr>
                <w:rFonts w:hint="eastAsia"/>
              </w:rPr>
              <w:t>3</w:t>
            </w:r>
            <w:r>
              <w:t>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pPr>
              <w:pStyle w:val="187"/>
              <w:rPr>
                <w:b/>
              </w:rPr>
            </w:pPr>
            <w:r>
              <w:rPr>
                <w:rFonts w:hAnsi="宋体"/>
                <w:b/>
              </w:rPr>
              <w:t>总投资</w:t>
            </w:r>
          </w:p>
          <w:p>
            <w:pPr>
              <w:pStyle w:val="187"/>
              <w:rPr>
                <w:b/>
              </w:rPr>
            </w:pPr>
            <w:r>
              <w:rPr>
                <w:rFonts w:hAnsi="宋体"/>
                <w:b/>
              </w:rPr>
              <w:t>（万元）</w:t>
            </w:r>
          </w:p>
        </w:tc>
        <w:tc>
          <w:tcPr>
            <w:tcW w:w="1734" w:type="dxa"/>
            <w:vAlign w:val="center"/>
          </w:tcPr>
          <w:p>
            <w:pPr>
              <w:pStyle w:val="187"/>
            </w:pPr>
            <w:r>
              <w:rPr>
                <w:bCs w:val="0"/>
              </w:rPr>
              <w:t>1800</w:t>
            </w:r>
          </w:p>
        </w:tc>
        <w:tc>
          <w:tcPr>
            <w:tcW w:w="1804" w:type="dxa"/>
            <w:vAlign w:val="center"/>
          </w:tcPr>
          <w:p>
            <w:pPr>
              <w:pStyle w:val="187"/>
              <w:rPr>
                <w:b/>
              </w:rPr>
            </w:pPr>
            <w:r>
              <w:rPr>
                <w:rFonts w:hAnsi="宋体"/>
                <w:b/>
              </w:rPr>
              <w:t>其中：环保投资（万元）</w:t>
            </w:r>
          </w:p>
        </w:tc>
        <w:tc>
          <w:tcPr>
            <w:tcW w:w="0" w:type="auto"/>
            <w:vAlign w:val="center"/>
          </w:tcPr>
          <w:p>
            <w:pPr>
              <w:pStyle w:val="187"/>
            </w:pPr>
            <w:r>
              <w:t>90</w:t>
            </w:r>
          </w:p>
        </w:tc>
        <w:tc>
          <w:tcPr>
            <w:tcW w:w="0" w:type="auto"/>
            <w:vAlign w:val="center"/>
          </w:tcPr>
          <w:p>
            <w:pPr>
              <w:pStyle w:val="187"/>
              <w:rPr>
                <w:b/>
              </w:rPr>
            </w:pPr>
            <w:r>
              <w:rPr>
                <w:rFonts w:hAnsi="宋体"/>
                <w:b/>
              </w:rPr>
              <w:t>环保投资占总投资比例</w:t>
            </w:r>
          </w:p>
        </w:tc>
        <w:tc>
          <w:tcPr>
            <w:tcW w:w="0" w:type="auto"/>
            <w:vAlign w:val="center"/>
          </w:tcPr>
          <w:p>
            <w:pPr>
              <w:pStyle w:val="187"/>
              <w:rPr>
                <w:highlight w:val="cyan"/>
              </w:rPr>
            </w:pP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pPr>
              <w:pStyle w:val="187"/>
              <w:rPr>
                <w:b/>
              </w:rPr>
            </w:pPr>
            <w:r>
              <w:rPr>
                <w:rFonts w:hAnsi="宋体"/>
                <w:b/>
              </w:rPr>
              <w:t>评价经费</w:t>
            </w:r>
          </w:p>
          <w:p>
            <w:pPr>
              <w:pStyle w:val="187"/>
              <w:rPr>
                <w:b/>
              </w:rPr>
            </w:pPr>
            <w:r>
              <w:rPr>
                <w:rFonts w:hAnsi="宋体"/>
                <w:b/>
              </w:rPr>
              <w:t>（万元）</w:t>
            </w:r>
          </w:p>
        </w:tc>
        <w:tc>
          <w:tcPr>
            <w:tcW w:w="1734" w:type="dxa"/>
            <w:vAlign w:val="center"/>
          </w:tcPr>
          <w:p>
            <w:pPr>
              <w:pStyle w:val="187"/>
            </w:pPr>
          </w:p>
        </w:tc>
        <w:tc>
          <w:tcPr>
            <w:tcW w:w="1804" w:type="dxa"/>
            <w:vAlign w:val="center"/>
          </w:tcPr>
          <w:p>
            <w:pPr>
              <w:pStyle w:val="187"/>
              <w:rPr>
                <w:b/>
              </w:rPr>
            </w:pPr>
            <w:r>
              <w:rPr>
                <w:rFonts w:hAnsi="宋体"/>
                <w:b/>
              </w:rPr>
              <w:t>预期投产</w:t>
            </w:r>
          </w:p>
          <w:p>
            <w:pPr>
              <w:pStyle w:val="187"/>
              <w:rPr>
                <w:b/>
              </w:rPr>
            </w:pPr>
            <w:r>
              <w:rPr>
                <w:rFonts w:hAnsi="宋体"/>
                <w:b/>
              </w:rPr>
              <w:t>日期</w:t>
            </w:r>
          </w:p>
        </w:tc>
        <w:tc>
          <w:tcPr>
            <w:tcW w:w="0" w:type="auto"/>
            <w:gridSpan w:val="3"/>
            <w:vAlign w:val="center"/>
          </w:tcPr>
          <w:p>
            <w:pPr>
              <w:pStyle w:val="187"/>
            </w:pPr>
            <w:r>
              <w:t>2021</w:t>
            </w:r>
            <w:r>
              <w:rPr>
                <w:rFonts w:hAnsi="宋体"/>
              </w:rPr>
              <w:t>年</w:t>
            </w:r>
            <w:r>
              <w:rPr>
                <w:rFonts w:hint="eastAsia"/>
              </w:rPr>
              <w:t>8</w:t>
            </w:r>
            <w:r>
              <w:rPr>
                <w:rFonts w:hAnsi="宋体"/>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582" w:hRule="atLeast"/>
        </w:trPr>
        <w:tc>
          <w:tcPr>
            <w:tcW w:w="0" w:type="auto"/>
            <w:gridSpan w:val="6"/>
            <w:vAlign w:val="center"/>
          </w:tcPr>
          <w:p>
            <w:pPr>
              <w:ind w:firstLine="0" w:firstLineChars="0"/>
              <w:rPr>
                <w:b/>
                <w:bCs/>
                <w:szCs w:val="24"/>
              </w:rPr>
            </w:pPr>
            <w:r>
              <w:rPr>
                <w:rFonts w:hint="eastAsia" w:hAnsi="宋体"/>
                <w:b/>
                <w:bCs/>
                <w:szCs w:val="24"/>
              </w:rPr>
              <w:t>一、</w:t>
            </w:r>
            <w:r>
              <w:rPr>
                <w:rFonts w:hAnsi="宋体"/>
                <w:b/>
                <w:bCs/>
                <w:szCs w:val="24"/>
              </w:rPr>
              <w:t>工程内容及规模：</w:t>
            </w:r>
          </w:p>
          <w:p>
            <w:pPr>
              <w:pStyle w:val="144"/>
              <w:spacing w:before="0" w:after="0"/>
              <w:ind w:firstLine="0" w:firstLineChars="0"/>
              <w:rPr>
                <w:b/>
              </w:rPr>
            </w:pPr>
            <w:r>
              <w:rPr>
                <w:b/>
              </w:rPr>
              <w:t>1</w:t>
            </w:r>
            <w:r>
              <w:rPr>
                <w:rFonts w:hAnsi="宋体"/>
                <w:b/>
              </w:rPr>
              <w:t>、项目背景</w:t>
            </w:r>
          </w:p>
          <w:p>
            <w:pPr>
              <w:ind w:firstLine="480"/>
            </w:pPr>
            <w:r>
              <w:rPr>
                <w:rFonts w:hint="eastAsia"/>
              </w:rPr>
              <w:t>交城县西冶兴威矿石加工厂原名交城县西冶华钰选矿厂，2</w:t>
            </w:r>
            <w:r>
              <w:t>010</w:t>
            </w:r>
            <w:r>
              <w:rPr>
                <w:rFonts w:hint="eastAsia"/>
              </w:rPr>
              <w:t>年改为现名。交城县西冶兴威矿石加工厂现建有“年产1</w:t>
            </w:r>
            <w:r>
              <w:t>0</w:t>
            </w:r>
            <w:r>
              <w:rPr>
                <w:rFonts w:hint="eastAsia"/>
              </w:rPr>
              <w:t>万吨铁精矿粉项目”，该项目年入选原矿1</w:t>
            </w:r>
            <w:r>
              <w:t>5</w:t>
            </w:r>
            <w:r>
              <w:rPr>
                <w:rFonts w:hint="eastAsia"/>
              </w:rPr>
              <w:t>万吨，年产1</w:t>
            </w:r>
            <w:r>
              <w:t>0</w:t>
            </w:r>
            <w:r>
              <w:rPr>
                <w:rFonts w:hint="eastAsia"/>
              </w:rPr>
              <w:t>万吨铁精矿粉，项目厂址位于交城县水峪贯镇西冶村。该项目于2</w:t>
            </w:r>
            <w:r>
              <w:t>007</w:t>
            </w:r>
            <w:r>
              <w:rPr>
                <w:rFonts w:hint="eastAsia"/>
              </w:rPr>
              <w:t>年9月1</w:t>
            </w:r>
            <w:r>
              <w:t>2</w:t>
            </w:r>
            <w:r>
              <w:rPr>
                <w:rFonts w:hint="eastAsia"/>
              </w:rPr>
              <w:t>日由原交城县环境保护局以交环函[</w:t>
            </w:r>
            <w:r>
              <w:t>2007]75</w:t>
            </w:r>
            <w:r>
              <w:rPr>
                <w:rFonts w:hint="eastAsia"/>
              </w:rPr>
              <w:t>号文对项目《环境影响报告表》予以批复，于2</w:t>
            </w:r>
            <w:r>
              <w:t>019</w:t>
            </w:r>
            <w:r>
              <w:rPr>
                <w:rFonts w:hint="eastAsia"/>
              </w:rPr>
              <w:t>年4月1</w:t>
            </w:r>
            <w:r>
              <w:t>5</w:t>
            </w:r>
            <w:r>
              <w:rPr>
                <w:rFonts w:hint="eastAsia"/>
              </w:rPr>
              <w:t>日在山西省排污许可证管理信息平台申领了排污许可证，证书编号：9</w:t>
            </w:r>
            <w:r>
              <w:t>2141122MA0HBBRUXC001P</w:t>
            </w:r>
            <w:r>
              <w:rPr>
                <w:rFonts w:hint="eastAsia"/>
              </w:rPr>
              <w:t>；建设单位于2</w:t>
            </w:r>
            <w:r>
              <w:t>020</w:t>
            </w:r>
            <w:r>
              <w:rPr>
                <w:rFonts w:hint="eastAsia"/>
              </w:rPr>
              <w:t>年5月2</w:t>
            </w:r>
            <w:r>
              <w:t>0</w:t>
            </w:r>
            <w:r>
              <w:rPr>
                <w:rFonts w:hint="eastAsia"/>
              </w:rPr>
              <w:t>日组织了该项目竣工环境保护验收并通过环保验收。</w:t>
            </w:r>
          </w:p>
          <w:p>
            <w:pPr>
              <w:ind w:firstLine="480"/>
              <w:rPr>
                <w:szCs w:val="21"/>
              </w:rPr>
            </w:pPr>
            <w:r>
              <w:rPr>
                <w:rFonts w:hint="eastAsia"/>
              </w:rPr>
              <w:t>交城县西冶兴威矿石加工厂于2</w:t>
            </w:r>
            <w:r>
              <w:t>019</w:t>
            </w:r>
            <w:r>
              <w:rPr>
                <w:rFonts w:hint="eastAsia"/>
              </w:rPr>
              <w:t>年决定在交城县水峪贯镇西冶村现有厂址外南侧，利用废弃洗煤厂场地建设“利用尾矿石加工建筑骨料及微粉生产线技改项目”，交城县工业和信息化局于2</w:t>
            </w:r>
            <w:r>
              <w:t>019</w:t>
            </w:r>
            <w:r>
              <w:rPr>
                <w:rFonts w:hint="eastAsia"/>
              </w:rPr>
              <w:t>年7月2</w:t>
            </w:r>
            <w:r>
              <w:t>2</w:t>
            </w:r>
            <w:r>
              <w:rPr>
                <w:rFonts w:hint="eastAsia"/>
              </w:rPr>
              <w:t>日以</w:t>
            </w:r>
            <w:r>
              <w:rPr>
                <w:rFonts w:hint="eastAsia"/>
                <w:szCs w:val="21"/>
              </w:rPr>
              <w:t>交工信（审）字[</w:t>
            </w:r>
            <w:r>
              <w:rPr>
                <w:szCs w:val="21"/>
              </w:rPr>
              <w:t>2019]45</w:t>
            </w:r>
            <w:r>
              <w:rPr>
                <w:rFonts w:hint="eastAsia"/>
                <w:szCs w:val="21"/>
              </w:rPr>
              <w:t>号文对本项目予以备案。本项目利用现有工程尾矿石及</w:t>
            </w:r>
            <w:r>
              <w:rPr>
                <w:rFonts w:hint="eastAsia"/>
              </w:rPr>
              <w:t>周边矿山采选过程中产生的尾矿石</w:t>
            </w:r>
            <w:r>
              <w:rPr>
                <w:rFonts w:hint="eastAsia"/>
                <w:szCs w:val="21"/>
              </w:rPr>
              <w:t>，经破碎、筛分，生产建筑骨料及微粉，本项目设一条建筑骨料生产线，一条微粉生产线，项目建成后，形成4</w:t>
            </w:r>
            <w:r>
              <w:rPr>
                <w:szCs w:val="21"/>
              </w:rPr>
              <w:t>0</w:t>
            </w:r>
            <w:r>
              <w:rPr>
                <w:rFonts w:hint="eastAsia"/>
                <w:szCs w:val="21"/>
              </w:rPr>
              <w:t>万吨/年建筑砂石骨料、尾矿微粉的生产能力。</w:t>
            </w:r>
          </w:p>
          <w:p>
            <w:pPr>
              <w:ind w:firstLine="480"/>
              <w:rPr>
                <w:szCs w:val="21"/>
              </w:rPr>
            </w:pPr>
            <w:r>
              <w:rPr>
                <w:rFonts w:hint="eastAsia"/>
                <w:szCs w:val="21"/>
              </w:rPr>
              <w:t>根据现场调查，本项目尚未开始建设。</w:t>
            </w:r>
          </w:p>
          <w:p>
            <w:pPr>
              <w:pStyle w:val="144"/>
              <w:spacing w:before="0" w:after="0"/>
              <w:ind w:firstLine="0" w:firstLineChars="0"/>
              <w:rPr>
                <w:b/>
              </w:rPr>
            </w:pPr>
            <w:r>
              <w:rPr>
                <w:rFonts w:hint="eastAsia"/>
                <w:b/>
              </w:rPr>
              <w:t>2</w:t>
            </w:r>
            <w:r>
              <w:rPr>
                <w:rFonts w:hAnsi="宋体"/>
                <w:b/>
              </w:rPr>
              <w:t>、</w:t>
            </w:r>
            <w:r>
              <w:rPr>
                <w:rFonts w:hint="eastAsia" w:hAnsi="宋体"/>
                <w:b/>
              </w:rPr>
              <w:t>评价任务的由来</w:t>
            </w:r>
          </w:p>
          <w:p>
            <w:pPr>
              <w:ind w:firstLine="480"/>
            </w:pPr>
            <w:r>
              <w:rPr>
                <w:rFonts w:hint="eastAsia"/>
              </w:rPr>
              <w:t>根据《中华人民共和国环境保护法》、《中华人民共和国环境影响评价法》和《建设项目环境保护管理条例》等有关法律、法规要求，本项目须进行环境影响评价，根据《建设项目环境影响评价分类管理名录》（环境保护部令第44号）</w:t>
            </w:r>
            <w:r>
              <w:rPr>
                <w:rStyle w:val="143"/>
                <w:rFonts w:hint="eastAsia" w:hAnsi="宋体"/>
              </w:rPr>
              <w:t>及其修改单</w:t>
            </w:r>
            <w:r>
              <w:rPr>
                <w:rFonts w:hint="eastAsia"/>
              </w:rPr>
              <w:t>，本项目属于“二十七</w:t>
            </w:r>
            <w:r>
              <w:t>-</w:t>
            </w:r>
            <w:r>
              <w:rPr>
                <w:rFonts w:hint="eastAsia"/>
              </w:rPr>
              <w:t>非金属矿物制品业-60石墨及其他非金属矿物制品309”中的“其他</w:t>
            </w:r>
            <w:r>
              <w:rPr>
                <w:rFonts w:ascii="宋体" w:hAnsi="宋体"/>
              </w:rPr>
              <w:t>”</w:t>
            </w:r>
            <w:r>
              <w:rPr>
                <w:rFonts w:hint="eastAsia" w:ascii="宋体" w:hAnsi="宋体"/>
              </w:rPr>
              <w:t>类别</w:t>
            </w:r>
            <w:r>
              <w:rPr>
                <w:rFonts w:hint="eastAsia"/>
              </w:rPr>
              <w:t>，应编制环境影响报告表。</w:t>
            </w:r>
          </w:p>
          <w:p>
            <w:pPr>
              <w:ind w:firstLine="480"/>
              <w:rPr>
                <w:bCs/>
                <w:szCs w:val="24"/>
              </w:rPr>
            </w:pPr>
            <w:r>
              <w:rPr>
                <w:rStyle w:val="143"/>
                <w:rFonts w:hAnsi="宋体"/>
              </w:rPr>
              <w:t>建设单位根据环境保护法规于</w:t>
            </w:r>
            <w:r>
              <w:rPr>
                <w:rStyle w:val="143"/>
              </w:rPr>
              <w:t>2020</w:t>
            </w:r>
            <w:r>
              <w:rPr>
                <w:rStyle w:val="143"/>
                <w:rFonts w:hAnsi="宋体"/>
              </w:rPr>
              <w:t>年</w:t>
            </w:r>
            <w:r>
              <w:rPr>
                <w:rStyle w:val="143"/>
              </w:rPr>
              <w:t>1</w:t>
            </w:r>
            <w:r>
              <w:rPr>
                <w:rStyle w:val="143"/>
                <w:rFonts w:hAnsi="宋体"/>
              </w:rPr>
              <w:t>月</w:t>
            </w:r>
            <w:r>
              <w:rPr>
                <w:rStyle w:val="143"/>
                <w:rFonts w:hint="eastAsia"/>
              </w:rPr>
              <w:t>15</w:t>
            </w:r>
            <w:r>
              <w:rPr>
                <w:rStyle w:val="143"/>
                <w:rFonts w:hAnsi="宋体"/>
              </w:rPr>
              <w:t>日</w:t>
            </w:r>
            <w:r>
              <w:rPr>
                <w:rStyle w:val="143"/>
                <w:rFonts w:hint="eastAsia" w:hAnsi="宋体"/>
              </w:rPr>
              <w:t>我公司</w:t>
            </w:r>
            <w:r>
              <w:rPr>
                <w:rStyle w:val="143"/>
                <w:rFonts w:hAnsi="宋体"/>
              </w:rPr>
              <w:t>对</w:t>
            </w:r>
            <w:r>
              <w:rPr>
                <w:rStyle w:val="143"/>
                <w:rFonts w:hint="eastAsia" w:hAnsi="宋体"/>
              </w:rPr>
              <w:t>本</w:t>
            </w:r>
            <w:r>
              <w:rPr>
                <w:rStyle w:val="143"/>
                <w:rFonts w:hAnsi="宋体"/>
              </w:rPr>
              <w:t>项目进行环境影响评价工作。</w:t>
            </w:r>
            <w:r>
              <w:rPr>
                <w:bCs/>
                <w:szCs w:val="24"/>
              </w:rPr>
              <w:t>接受委托后，我</w:t>
            </w:r>
            <w:r>
              <w:rPr>
                <w:rFonts w:hint="eastAsia"/>
                <w:bCs/>
                <w:szCs w:val="24"/>
              </w:rPr>
              <w:t>公司</w:t>
            </w:r>
            <w:r>
              <w:rPr>
                <w:bCs/>
                <w:szCs w:val="24"/>
              </w:rPr>
              <w:t>立即组织有关项目参评人员深入现场，进行实地调研、踏勘、资料收集等工作。收集了当地水文、地质、气候、气象、经济发展、自然、社会环境等资料。在资料收集统计、工程分析、环境影响分析的基础上，根据环评</w:t>
            </w:r>
            <w:r>
              <w:rPr>
                <w:rFonts w:hint="eastAsia"/>
                <w:bCs/>
                <w:szCs w:val="24"/>
              </w:rPr>
              <w:t>技术</w:t>
            </w:r>
            <w:r>
              <w:rPr>
                <w:bCs/>
                <w:szCs w:val="24"/>
              </w:rPr>
              <w:t>导则及有关环评规范完成了《</w:t>
            </w:r>
            <w:r>
              <w:rPr>
                <w:rFonts w:hint="eastAsia"/>
              </w:rPr>
              <w:t>交城县西冶兴威矿石加工厂利用尾矿石加工建筑骨料及微粉生产线技改项目</w:t>
            </w:r>
            <w:r>
              <w:rPr>
                <w:bCs/>
                <w:szCs w:val="24"/>
              </w:rPr>
              <w:t>环境影响报告表》</w:t>
            </w:r>
            <w:r>
              <w:t>（</w:t>
            </w:r>
            <w:r>
              <w:rPr>
                <w:rFonts w:hint="eastAsia"/>
              </w:rPr>
              <w:t>报审本</w:t>
            </w:r>
            <w:r>
              <w:t>）</w:t>
            </w:r>
            <w:r>
              <w:rPr>
                <w:bCs/>
                <w:szCs w:val="24"/>
              </w:rPr>
              <w:t>的编制工作。</w:t>
            </w:r>
          </w:p>
          <w:p>
            <w:pPr>
              <w:ind w:firstLine="480"/>
              <w:rPr>
                <w:bCs/>
                <w:szCs w:val="24"/>
              </w:rPr>
            </w:pPr>
            <w:r>
              <w:rPr>
                <w:rFonts w:hint="eastAsia" w:hAnsi="宋体"/>
                <w:szCs w:val="24"/>
              </w:rPr>
              <w:t>2</w:t>
            </w:r>
            <w:r>
              <w:rPr>
                <w:rFonts w:hAnsi="宋体"/>
                <w:szCs w:val="24"/>
              </w:rPr>
              <w:t>020</w:t>
            </w:r>
            <w:r>
              <w:rPr>
                <w:rFonts w:hint="eastAsia" w:hAnsi="宋体"/>
                <w:szCs w:val="24"/>
              </w:rPr>
              <w:t>年6月2</w:t>
            </w:r>
            <w:r>
              <w:rPr>
                <w:rFonts w:hAnsi="宋体"/>
                <w:szCs w:val="24"/>
              </w:rPr>
              <w:t>1</w:t>
            </w:r>
            <w:r>
              <w:rPr>
                <w:rFonts w:hint="eastAsia" w:hAnsi="宋体"/>
                <w:szCs w:val="24"/>
              </w:rPr>
              <w:t>日召开的《交城县西冶兴威矿石加工厂利用尾矿石加工建筑骨料及微粉生产线技改项目环境影响报告表》技术审查会，经与会专家过认真讨论与评审，形成技术审查意见；2</w:t>
            </w:r>
            <w:r>
              <w:rPr>
                <w:rFonts w:hAnsi="宋体"/>
                <w:szCs w:val="24"/>
              </w:rPr>
              <w:t>020</w:t>
            </w:r>
            <w:r>
              <w:rPr>
                <w:rFonts w:hint="eastAsia" w:hAnsi="宋体"/>
                <w:szCs w:val="24"/>
              </w:rPr>
              <w:t>年1</w:t>
            </w:r>
            <w:r>
              <w:rPr>
                <w:rFonts w:hAnsi="宋体"/>
                <w:szCs w:val="24"/>
              </w:rPr>
              <w:t>0</w:t>
            </w:r>
            <w:r>
              <w:rPr>
                <w:rFonts w:hint="eastAsia" w:hAnsi="宋体"/>
                <w:szCs w:val="24"/>
              </w:rPr>
              <w:t>月2</w:t>
            </w:r>
            <w:r>
              <w:rPr>
                <w:rFonts w:hAnsi="宋体"/>
                <w:szCs w:val="24"/>
              </w:rPr>
              <w:t>2</w:t>
            </w:r>
            <w:r>
              <w:rPr>
                <w:rFonts w:hint="eastAsia" w:hAnsi="宋体"/>
                <w:szCs w:val="24"/>
              </w:rPr>
              <w:t>日，吕梁市生态环境局交城分局以交环总量[</w:t>
            </w:r>
            <w:r>
              <w:rPr>
                <w:rFonts w:hAnsi="宋体"/>
                <w:szCs w:val="24"/>
              </w:rPr>
              <w:t>2020]46</w:t>
            </w:r>
            <w:r>
              <w:rPr>
                <w:rFonts w:hint="eastAsia" w:hAnsi="宋体"/>
                <w:szCs w:val="24"/>
              </w:rPr>
              <w:t>号文对项目污染物排放总量控制指标予以核定。我单位根据技术审查意见对报告表进行了修改完善，完成了《交城县西冶兴威矿石加工厂利用尾矿石加工建筑骨料及微粉生产线技改项目环境影响报告表》</w:t>
            </w:r>
            <w:r>
              <w:t>（</w:t>
            </w:r>
            <w:r>
              <w:rPr>
                <w:rFonts w:hint="eastAsia"/>
              </w:rPr>
              <w:t>报批本</w:t>
            </w:r>
            <w:r>
              <w:t>）</w:t>
            </w:r>
            <w:r>
              <w:rPr>
                <w:bCs/>
                <w:szCs w:val="24"/>
              </w:rPr>
              <w:t>的编制工作。</w:t>
            </w:r>
          </w:p>
          <w:p>
            <w:pPr>
              <w:ind w:firstLine="480"/>
              <w:rPr>
                <w:bCs/>
                <w:szCs w:val="24"/>
              </w:rPr>
            </w:pPr>
            <w:r>
              <w:rPr>
                <w:rFonts w:hint="eastAsia"/>
              </w:rPr>
              <w:t>现提交建设单位，报送管理部门审批。</w:t>
            </w:r>
          </w:p>
          <w:p>
            <w:pPr>
              <w:ind w:firstLine="0" w:firstLineChars="0"/>
              <w:rPr>
                <w:b/>
              </w:rPr>
            </w:pPr>
            <w:r>
              <w:rPr>
                <w:rFonts w:hint="eastAsia"/>
                <w:b/>
              </w:rPr>
              <w:t>二</w:t>
            </w:r>
            <w:r>
              <w:rPr>
                <w:rFonts w:hAnsi="宋体"/>
                <w:b/>
              </w:rPr>
              <w:t>、</w:t>
            </w:r>
            <w:r>
              <w:rPr>
                <w:rFonts w:hint="eastAsia" w:hAnsi="宋体"/>
                <w:b/>
              </w:rPr>
              <w:t>项目合理性分析</w:t>
            </w:r>
          </w:p>
          <w:p>
            <w:pPr>
              <w:ind w:firstLine="0" w:firstLineChars="0"/>
              <w:rPr>
                <w:b/>
              </w:rPr>
            </w:pPr>
            <w:r>
              <w:rPr>
                <w:rFonts w:hint="eastAsia"/>
                <w:b/>
              </w:rPr>
              <w:t>1、产业政策</w:t>
            </w:r>
          </w:p>
          <w:p>
            <w:pPr>
              <w:ind w:firstLine="480"/>
            </w:pPr>
            <w:r>
              <w:t>本项目不属于《产业政策调整指导目录（2019年本）》中鼓励类、限制类和禁止类项目，为允许类建设项目，</w:t>
            </w:r>
            <w:r>
              <w:rPr>
                <w:rFonts w:hint="eastAsia"/>
              </w:rPr>
              <w:t>符合国家产业政策。交城县工业和信息化局于</w:t>
            </w:r>
            <w:r>
              <w:t>2019</w:t>
            </w:r>
            <w:r>
              <w:rPr>
                <w:rFonts w:hint="eastAsia"/>
              </w:rPr>
              <w:t>年</w:t>
            </w:r>
            <w:r>
              <w:t>7</w:t>
            </w:r>
            <w:r>
              <w:rPr>
                <w:rFonts w:hint="eastAsia"/>
              </w:rPr>
              <w:t>月</w:t>
            </w:r>
            <w:r>
              <w:t>22</w:t>
            </w:r>
            <w:r>
              <w:rPr>
                <w:rFonts w:hint="eastAsia"/>
              </w:rPr>
              <w:t>日以“交工信（审）字[</w:t>
            </w:r>
            <w:r>
              <w:t>2019]45</w:t>
            </w:r>
            <w:r>
              <w:rPr>
                <w:rFonts w:hint="eastAsia"/>
              </w:rPr>
              <w:t>号”文件对本项目予以备案</w:t>
            </w:r>
            <w:r>
              <w:rPr>
                <w:rFonts w:hint="eastAsia"/>
                <w:szCs w:val="24"/>
              </w:rPr>
              <w:t>，本项目符合地方产业政策要求。</w:t>
            </w:r>
          </w:p>
          <w:p>
            <w:pPr>
              <w:ind w:firstLine="0" w:firstLineChars="0"/>
              <w:rPr>
                <w:b/>
              </w:rPr>
            </w:pPr>
            <w:r>
              <w:rPr>
                <w:b/>
              </w:rPr>
              <w:t>2</w:t>
            </w:r>
            <w:r>
              <w:rPr>
                <w:rFonts w:hint="eastAsia"/>
                <w:b/>
              </w:rPr>
              <w:t>、“三线一单”</w:t>
            </w:r>
            <w:r>
              <w:rPr>
                <w:rFonts w:hint="eastAsia"/>
                <w:b/>
                <w:bCs/>
              </w:rPr>
              <w:t>控制要求符合性分析</w:t>
            </w:r>
          </w:p>
          <w:p>
            <w:pPr>
              <w:ind w:firstLine="480"/>
              <w:jc w:val="left"/>
              <w:rPr>
                <w:szCs w:val="24"/>
              </w:rPr>
            </w:pPr>
            <w:r>
              <w:rPr>
                <w:rFonts w:hint="eastAsia"/>
                <w:szCs w:val="24"/>
              </w:rPr>
              <w:t>（1）</w:t>
            </w:r>
            <w:r>
              <w:rPr>
                <w:rFonts w:hint="eastAsia"/>
              </w:rPr>
              <w:t>与生态红线相符性分析</w:t>
            </w:r>
          </w:p>
          <w:p>
            <w:pPr>
              <w:ind w:firstLine="480"/>
              <w:rPr>
                <w:rFonts w:ascii="宋体" w:hAnsi="宋体" w:cs="宋体"/>
                <w:szCs w:val="24"/>
              </w:rPr>
            </w:pPr>
            <w:r>
              <w:rPr>
                <w:rFonts w:hint="eastAsia"/>
              </w:rPr>
              <w:t>本项目建设厂址位于交城县水峪贯镇西冶村东南约4</w:t>
            </w:r>
            <w:r>
              <w:t>00m</w:t>
            </w:r>
            <w:r>
              <w:rPr>
                <w:rFonts w:hint="eastAsia"/>
              </w:rPr>
              <w:t>处。</w:t>
            </w:r>
            <w:r>
              <w:rPr>
                <w:rFonts w:hint="eastAsia"/>
                <w:bCs/>
              </w:rPr>
              <w:t>据初步判断评价区范围不属于国家级自然保护区、世界文化自然遗产、国家级风景名胜区、国家森林公园和国家地质公园等禁止开发区域，不属于</w:t>
            </w:r>
            <w:r>
              <w:rPr>
                <w:rFonts w:hint="eastAsia"/>
              </w:rPr>
              <w:t>水源涵养区、水土保持区、防风固沙区、生物多样性维护区等重点生态功能区，不属于水土流失敏感区、土地沙化敏感区、石漠化敏感区、高寒生态脆弱区、干旱、半干旱生态脆弱区等生态敏感</w:t>
            </w:r>
            <w:r>
              <w:t>/</w:t>
            </w:r>
            <w:r>
              <w:rPr>
                <w:rFonts w:hint="eastAsia"/>
              </w:rPr>
              <w:t>脆弱区</w:t>
            </w:r>
            <w:r>
              <w:rPr>
                <w:rFonts w:hint="eastAsia"/>
                <w:bCs/>
              </w:rPr>
              <w:t>。项目的建设不违背生态红线的保护要求。</w:t>
            </w:r>
          </w:p>
          <w:p>
            <w:pPr>
              <w:ind w:firstLine="480"/>
              <w:jc w:val="left"/>
              <w:rPr>
                <w:szCs w:val="24"/>
              </w:rPr>
            </w:pPr>
            <w:r>
              <w:rPr>
                <w:rFonts w:hint="eastAsia"/>
                <w:szCs w:val="24"/>
              </w:rPr>
              <w:t>（2）</w:t>
            </w:r>
            <w:r>
              <w:rPr>
                <w:rFonts w:hint="eastAsia"/>
              </w:rPr>
              <w:t>环境质量利用底线符合性分析</w:t>
            </w:r>
          </w:p>
          <w:p>
            <w:pPr>
              <w:pStyle w:val="262"/>
              <w:spacing w:line="480" w:lineRule="exact"/>
              <w:ind w:firstLine="480" w:firstLineChars="200"/>
              <w:rPr>
                <w:color w:val="FF0000"/>
              </w:rPr>
            </w:pPr>
            <w:r>
              <w:rPr>
                <w:rFonts w:hint="eastAsia" w:hAnsi="宋体"/>
              </w:rPr>
              <w:t>根据山西省大气污染防治工作领导组办公室发布的《2</w:t>
            </w:r>
            <w:r>
              <w:rPr>
                <w:rFonts w:hAnsi="宋体"/>
              </w:rPr>
              <w:t>019</w:t>
            </w:r>
            <w:r>
              <w:rPr>
                <w:rFonts w:hint="eastAsia" w:hAnsi="宋体"/>
              </w:rPr>
              <w:t>年县（市、区）环境空气质量状况通报》（2</w:t>
            </w:r>
            <w:r>
              <w:rPr>
                <w:rFonts w:hAnsi="宋体"/>
              </w:rPr>
              <w:t>020</w:t>
            </w:r>
            <w:r>
              <w:rPr>
                <w:rFonts w:hint="eastAsia" w:hAnsi="宋体"/>
              </w:rPr>
              <w:t>年1月2</w:t>
            </w:r>
            <w:r>
              <w:rPr>
                <w:rFonts w:hAnsi="宋体"/>
              </w:rPr>
              <w:t>0</w:t>
            </w:r>
            <w:r>
              <w:rPr>
                <w:rFonts w:hint="eastAsia" w:hAnsi="宋体"/>
              </w:rPr>
              <w:t>日），交城县2</w:t>
            </w:r>
            <w:r>
              <w:rPr>
                <w:rFonts w:hAnsi="宋体"/>
              </w:rPr>
              <w:t>019</w:t>
            </w:r>
            <w:r>
              <w:rPr>
                <w:rFonts w:hint="eastAsia" w:hAnsi="宋体"/>
              </w:rPr>
              <w:t>年</w:t>
            </w:r>
            <w:r>
              <w:rPr>
                <w:rFonts w:hAnsi="宋体"/>
              </w:rPr>
              <w:t>O</w:t>
            </w:r>
            <w:r>
              <w:rPr>
                <w:rFonts w:hAnsi="宋体"/>
                <w:vertAlign w:val="subscript"/>
              </w:rPr>
              <w:t>3</w:t>
            </w:r>
            <w:r>
              <w:rPr>
                <w:rFonts w:hint="eastAsia" w:hAnsi="宋体"/>
              </w:rPr>
              <w:t>、PM</w:t>
            </w:r>
            <w:r>
              <w:rPr>
                <w:rFonts w:hint="eastAsia" w:hAnsi="宋体"/>
                <w:vertAlign w:val="subscript"/>
              </w:rPr>
              <w:t>10</w:t>
            </w:r>
            <w:r>
              <w:rPr>
                <w:rFonts w:hint="eastAsia" w:hAnsi="宋体"/>
              </w:rPr>
              <w:t>和PM</w:t>
            </w:r>
            <w:r>
              <w:rPr>
                <w:rFonts w:hint="eastAsia" w:hAnsi="宋体"/>
                <w:vertAlign w:val="subscript"/>
              </w:rPr>
              <w:t>2.5</w:t>
            </w:r>
            <w:r>
              <w:rPr>
                <w:rFonts w:hint="eastAsia" w:hAnsi="宋体"/>
              </w:rPr>
              <w:t>年平均质量浓度均超标，为不达标区。</w:t>
            </w:r>
            <w:r>
              <w:rPr>
                <w:rFonts w:hint="eastAsia"/>
              </w:rPr>
              <w:t>超标原因主要为交城县周边工业企业生产排放污染物影响所致，同时北方地区降水少，气候干燥不利于大气污染物沉降也是影响各污染物超标的原因之一。</w:t>
            </w:r>
          </w:p>
          <w:p>
            <w:pPr>
              <w:pStyle w:val="262"/>
              <w:spacing w:line="480" w:lineRule="exact"/>
              <w:ind w:firstLine="480" w:firstLineChars="200"/>
              <w:rPr>
                <w:color w:val="FF0000"/>
              </w:rPr>
            </w:pPr>
            <w:r>
              <w:t>本项目在认真贯彻执行国家环保法律、法规，严格落实环评规定的各项环保措施，加强环境管理的情况下，排放的大气污染物、水污染物等污染物，排放量较小，对周边环境影响较小，本项目的建设不会改变区域环境质量现状。因此，本项目建设不会超出环境质量底线，使区域环境质量降低。</w:t>
            </w:r>
          </w:p>
          <w:p>
            <w:pPr>
              <w:ind w:firstLine="480"/>
              <w:jc w:val="left"/>
              <w:rPr>
                <w:szCs w:val="24"/>
              </w:rPr>
            </w:pPr>
            <w:r>
              <w:rPr>
                <w:rFonts w:hint="eastAsia"/>
                <w:szCs w:val="24"/>
              </w:rPr>
              <w:t>（3）</w:t>
            </w:r>
            <w:r>
              <w:rPr>
                <w:rFonts w:hint="eastAsia"/>
              </w:rPr>
              <w:t>资源利用上线符合性分析</w:t>
            </w:r>
          </w:p>
          <w:p>
            <w:pPr>
              <w:pStyle w:val="262"/>
              <w:spacing w:line="480" w:lineRule="exact"/>
              <w:ind w:firstLine="480" w:firstLineChars="200"/>
              <w:rPr>
                <w:color w:val="FF0000"/>
              </w:rPr>
            </w:pPr>
            <w:r>
              <w:t>资源利用上线是各地区能源、水、土地等资源消耗不得突破的天花板。本项目占用土地</w:t>
            </w:r>
            <w:r>
              <w:rPr>
                <w:rFonts w:hint="eastAsia"/>
              </w:rPr>
              <w:t>现状建设</w:t>
            </w:r>
            <w:r>
              <w:t>用地，</w:t>
            </w:r>
            <w:r>
              <w:rPr>
                <w:rFonts w:hint="eastAsia"/>
              </w:rPr>
              <w:t>项目生产能源消耗较小</w:t>
            </w:r>
            <w:r>
              <w:t>，符合资源利用上线要求。</w:t>
            </w:r>
          </w:p>
          <w:p>
            <w:pPr>
              <w:ind w:firstLine="480"/>
              <w:jc w:val="left"/>
              <w:rPr>
                <w:szCs w:val="24"/>
              </w:rPr>
            </w:pPr>
            <w:r>
              <w:rPr>
                <w:rFonts w:hint="eastAsia"/>
                <w:szCs w:val="24"/>
              </w:rPr>
              <w:t>（4）与环境准入负面清单的对照</w:t>
            </w:r>
          </w:p>
          <w:p>
            <w:pPr>
              <w:pStyle w:val="37"/>
              <w:ind w:firstLine="480"/>
              <w:rPr>
                <w:sz w:val="24"/>
              </w:rPr>
            </w:pPr>
            <w:r>
              <w:rPr>
                <w:sz w:val="24"/>
              </w:rPr>
              <w:t>项目所在区尚未设置环境准入负面清单。</w:t>
            </w:r>
          </w:p>
          <w:p>
            <w:pPr>
              <w:pStyle w:val="37"/>
              <w:ind w:firstLine="480"/>
              <w:rPr>
                <w:rFonts w:ascii="Times New Roman" w:hAnsi="Times New Roman"/>
                <w:sz w:val="24"/>
              </w:rPr>
            </w:pPr>
            <w:r>
              <w:rPr>
                <w:rFonts w:ascii="Times New Roman" w:hAnsi="Times New Roman"/>
                <w:sz w:val="24"/>
              </w:rPr>
              <w:t>本项目不属于《产业政策调整指导目录（2019年本）》中鼓励类、限制类和禁止类项目，为允许类建设项目，故本项目不违背环境准入负面清单的原则要求。</w:t>
            </w:r>
          </w:p>
          <w:p>
            <w:pPr>
              <w:ind w:firstLine="0" w:firstLineChars="0"/>
              <w:rPr>
                <w:b/>
              </w:rPr>
            </w:pPr>
            <w:r>
              <w:rPr>
                <w:b/>
              </w:rPr>
              <w:t>3</w:t>
            </w:r>
            <w:r>
              <w:rPr>
                <w:rFonts w:hint="eastAsia"/>
                <w:b/>
              </w:rPr>
              <w:t>、选址可行性</w:t>
            </w:r>
          </w:p>
          <w:p>
            <w:pPr>
              <w:ind w:firstLine="480"/>
            </w:pPr>
            <w:r>
              <w:rPr>
                <w:rFonts w:hint="eastAsia"/>
              </w:rPr>
              <w:t>本项目拟建厂址位于交城县水峪贯镇西冶村东南约4</w:t>
            </w:r>
            <w:r>
              <w:t>00m</w:t>
            </w:r>
            <w:r>
              <w:rPr>
                <w:rFonts w:hint="eastAsia"/>
              </w:rPr>
              <w:t>处，总占地面积约3</w:t>
            </w:r>
            <w:r>
              <w:t>7500</w:t>
            </w:r>
            <w:r>
              <w:rPr>
                <w:rFonts w:hint="eastAsia"/>
              </w:rPr>
              <w:t>平方米，中心点坐标为；E</w:t>
            </w:r>
            <w:r>
              <w:t>111.921354</w:t>
            </w:r>
            <w:r>
              <w:rPr>
                <w:rFonts w:hint="eastAsia"/>
              </w:rPr>
              <w:t>°，N</w:t>
            </w:r>
            <w:r>
              <w:t>37.669642</w:t>
            </w:r>
            <w:r>
              <w:rPr>
                <w:rFonts w:hint="eastAsia"/>
              </w:rPr>
              <w:t>°；本项目拟建场地利用废弃洗煤厂（交城县西冶兴威蜂窝煤厂）场地，场地现存原煤库、精煤库、办公生活设施、地磅等可供利用。该洗煤厂于2</w:t>
            </w:r>
            <w:r>
              <w:t>016</w:t>
            </w:r>
            <w:r>
              <w:rPr>
                <w:rFonts w:hint="eastAsia"/>
              </w:rPr>
              <w:t>年1</w:t>
            </w:r>
            <w:r>
              <w:t>2</w:t>
            </w:r>
            <w:r>
              <w:rPr>
                <w:rFonts w:hint="eastAsia"/>
              </w:rPr>
              <w:t>月3</w:t>
            </w:r>
            <w:r>
              <w:t>1</w:t>
            </w:r>
            <w:r>
              <w:rPr>
                <w:rFonts w:hint="eastAsia"/>
              </w:rPr>
              <w:t>日由原交城县环境保护局以交环备案[</w:t>
            </w:r>
            <w:r>
              <w:t>2016]29</w:t>
            </w:r>
            <w:r>
              <w:rPr>
                <w:rFonts w:hint="eastAsia"/>
              </w:rPr>
              <w:t>号予以环保备案（关于交城县西冶兴威蜂窝煤厂年产6</w:t>
            </w:r>
            <w:r>
              <w:t>0</w:t>
            </w:r>
            <w:r>
              <w:rPr>
                <w:rFonts w:hint="eastAsia"/>
              </w:rPr>
              <w:t>万吨无烟煤分级加工项目环保备案的意见），现因市场及政策原因，该洗煤厂目前已停产废弃。</w:t>
            </w:r>
          </w:p>
          <w:p>
            <w:pPr>
              <w:ind w:firstLine="480"/>
            </w:pPr>
            <w:r>
              <w:rPr>
                <w:rFonts w:hint="eastAsia"/>
              </w:rPr>
              <w:t>本项目地理位置图见附图1。</w:t>
            </w:r>
          </w:p>
          <w:p>
            <w:pPr>
              <w:ind w:firstLine="480"/>
            </w:pPr>
            <w:r>
              <w:rPr>
                <w:rFonts w:hint="eastAsia"/>
                <w:szCs w:val="24"/>
              </w:rPr>
              <w:t>根据《山西省交城县城总体规划》（</w:t>
            </w:r>
            <w:r>
              <w:rPr>
                <w:szCs w:val="24"/>
              </w:rPr>
              <w:t>2004</w:t>
            </w:r>
            <w:r>
              <w:rPr>
                <w:rFonts w:hint="eastAsia"/>
                <w:szCs w:val="24"/>
              </w:rPr>
              <w:t>～</w:t>
            </w:r>
            <w:r>
              <w:rPr>
                <w:szCs w:val="24"/>
              </w:rPr>
              <w:t>2020</w:t>
            </w:r>
            <w:r>
              <w:rPr>
                <w:rFonts w:hint="eastAsia"/>
                <w:szCs w:val="24"/>
              </w:rPr>
              <w:t>）中产业空间布局，中部山区工矿经济区：包括水峪贯镇、西社镇，以铁、煤等资源的采掘加工及建材工业为主；</w:t>
            </w:r>
            <w:r>
              <w:rPr>
                <w:rFonts w:hint="eastAsia"/>
              </w:rPr>
              <w:t>项目的建设与</w:t>
            </w:r>
            <w:r>
              <w:rPr>
                <w:rFonts w:hint="eastAsia"/>
                <w:szCs w:val="24"/>
              </w:rPr>
              <w:t>中部山区工矿经济区以铁、煤等资源的采掘加工及建材工业为主的产业空间布局相符</w:t>
            </w:r>
            <w:r>
              <w:rPr>
                <w:rFonts w:hint="eastAsia"/>
              </w:rPr>
              <w:t>。</w:t>
            </w:r>
          </w:p>
          <w:p>
            <w:pPr>
              <w:ind w:firstLine="480"/>
              <w:rPr>
                <w:rFonts w:ascii="宋体" w:hAnsi="宋体"/>
                <w:szCs w:val="24"/>
              </w:rPr>
            </w:pPr>
            <w:r>
              <w:rPr>
                <w:rFonts w:hint="eastAsia" w:ascii="宋体" w:hAnsi="宋体"/>
                <w:szCs w:val="24"/>
              </w:rPr>
              <w:t>根据《交城县生态功能区划》，本项目属于</w:t>
            </w:r>
            <w:r>
              <w:rPr>
                <w:szCs w:val="24"/>
              </w:rPr>
              <w:t>Ⅰ</w:t>
            </w:r>
            <w:r>
              <w:rPr>
                <w:rFonts w:hint="eastAsia" w:ascii="宋体" w:hAnsi="宋体"/>
                <w:szCs w:val="24"/>
              </w:rPr>
              <w:t>3交城中部矿产开发与生态保护生态功能小区；根据《交城县生态经济区划》，本项目属于</w:t>
            </w:r>
            <w:r>
              <w:rPr>
                <w:szCs w:val="24"/>
              </w:rPr>
              <w:t>ⅢA</w:t>
            </w:r>
            <w:r>
              <w:rPr>
                <w:rFonts w:hint="eastAsia" w:ascii="宋体" w:hAnsi="宋体"/>
                <w:szCs w:val="24"/>
              </w:rPr>
              <w:t>水峪贯煤炭开采及其加工业发展为主的生态经济区。</w:t>
            </w:r>
          </w:p>
          <w:p>
            <w:pPr>
              <w:ind w:firstLine="480"/>
              <w:rPr>
                <w:rFonts w:hAnsi="宋体"/>
                <w:color w:val="FF0000"/>
              </w:rPr>
            </w:pPr>
            <w:r>
              <w:rPr>
                <w:rFonts w:hint="eastAsia"/>
              </w:rPr>
              <w:t>本项目运营期生产过程中产生的上料、出料、鄂式破碎、立式冲击破、超细破碎机粉尘经布袋除尘器处理后可达标排放；</w:t>
            </w:r>
            <w:r>
              <w:rPr>
                <w:rFonts w:hint="eastAsia" w:hAnsi="宋体"/>
              </w:rPr>
              <w:t>本项目产生少量生活盥洗废水及经隔油沉淀的食堂废水综合利用，不外排；洗车废水排至沉淀池沉淀处理后排入清水池循环使用，不外排；本项目运营期产生的固体废物均得到了合理处置或综合利用；本项目运营期产生的设备作业噪声以及运输车辆噪声经采取有效的降噪措施，减小了噪声排放强度；综上所述，本项目通过采取各类污染防治措施，有效降低污染物排放量，对周围环境质量的影响较小。</w:t>
            </w:r>
          </w:p>
          <w:p>
            <w:pPr>
              <w:ind w:firstLine="480"/>
              <w:rPr>
                <w:rFonts w:hAnsi="宋体"/>
              </w:rPr>
            </w:pPr>
            <w:r>
              <w:rPr>
                <w:rFonts w:hint="eastAsia"/>
                <w:szCs w:val="24"/>
              </w:rPr>
              <w:t>交城县</w:t>
            </w:r>
            <w:r>
              <w:rPr>
                <w:rFonts w:hint="eastAsia" w:ascii="宋体" w:hAnsi="宋体"/>
                <w:szCs w:val="24"/>
              </w:rPr>
              <w:t>生态功能区划图</w:t>
            </w:r>
            <w:r>
              <w:rPr>
                <w:rFonts w:hint="eastAsia"/>
                <w:szCs w:val="24"/>
              </w:rPr>
              <w:t>见附图</w:t>
            </w:r>
            <w:r>
              <w:rPr>
                <w:szCs w:val="24"/>
              </w:rPr>
              <w:t>2</w:t>
            </w:r>
            <w:r>
              <w:rPr>
                <w:rFonts w:hint="eastAsia"/>
                <w:szCs w:val="24"/>
              </w:rPr>
              <w:t>，交城县</w:t>
            </w:r>
            <w:r>
              <w:rPr>
                <w:rFonts w:hint="eastAsia" w:ascii="宋体" w:hAnsi="宋体"/>
                <w:szCs w:val="24"/>
              </w:rPr>
              <w:t>生态经济区划图</w:t>
            </w:r>
            <w:r>
              <w:rPr>
                <w:rFonts w:hint="eastAsia"/>
                <w:szCs w:val="24"/>
              </w:rPr>
              <w:t>见附图</w:t>
            </w:r>
            <w:r>
              <w:rPr>
                <w:szCs w:val="24"/>
              </w:rPr>
              <w:t>3</w:t>
            </w:r>
            <w:r>
              <w:rPr>
                <w:rFonts w:hint="eastAsia"/>
                <w:szCs w:val="24"/>
              </w:rPr>
              <w:t>。</w:t>
            </w:r>
          </w:p>
          <w:p>
            <w:pPr>
              <w:ind w:firstLine="480"/>
              <w:rPr>
                <w:rFonts w:hAnsi="宋体"/>
              </w:rPr>
            </w:pPr>
            <w:r>
              <w:rPr>
                <w:rFonts w:hint="eastAsia" w:hAnsi="宋体"/>
              </w:rPr>
              <w:t>同时，项目周边不涉及自然保护区、风景名胜区等《建设项目环境影响评价分类管理名录》中所确定的制约本项目建设的环境敏感区，未发现属于国家级和省级的文物保护单位及名胜古迹。</w:t>
            </w:r>
          </w:p>
          <w:p>
            <w:pPr>
              <w:ind w:firstLine="480"/>
            </w:pPr>
            <w:r>
              <w:rPr>
                <w:rFonts w:hint="eastAsia"/>
              </w:rPr>
              <w:t>综上所述，本项目选址可行。</w:t>
            </w:r>
          </w:p>
          <w:p>
            <w:pPr>
              <w:ind w:firstLine="0" w:firstLineChars="0"/>
              <w:rPr>
                <w:b/>
              </w:rPr>
            </w:pPr>
            <w:r>
              <w:rPr>
                <w:rFonts w:hint="eastAsia"/>
                <w:b/>
              </w:rPr>
              <w:t>三</w:t>
            </w:r>
            <w:r>
              <w:rPr>
                <w:rFonts w:hAnsi="宋体"/>
                <w:b/>
              </w:rPr>
              <w:t>、</w:t>
            </w:r>
            <w:r>
              <w:rPr>
                <w:rFonts w:hint="eastAsia" w:hAnsi="宋体"/>
                <w:b/>
              </w:rPr>
              <w:t>拟建</w:t>
            </w:r>
            <w:r>
              <w:rPr>
                <w:rFonts w:hAnsi="宋体"/>
                <w:b/>
                <w:bCs/>
              </w:rPr>
              <w:t>项目</w:t>
            </w:r>
            <w:r>
              <w:rPr>
                <w:rFonts w:hint="eastAsia" w:hAnsi="宋体"/>
                <w:b/>
                <w:bCs/>
              </w:rPr>
              <w:t>概况</w:t>
            </w:r>
          </w:p>
          <w:p>
            <w:pPr>
              <w:ind w:firstLine="0" w:firstLineChars="0"/>
              <w:rPr>
                <w:bCs/>
              </w:rPr>
            </w:pPr>
            <w:r>
              <w:rPr>
                <w:rFonts w:hint="eastAsia"/>
                <w:b/>
                <w:bCs/>
              </w:rPr>
              <w:t>1、项目名称：</w:t>
            </w:r>
            <w:r>
              <w:rPr>
                <w:rFonts w:hint="eastAsia"/>
              </w:rPr>
              <w:t>利用尾矿石加工建筑骨料及微粉生产线技改项目。</w:t>
            </w:r>
          </w:p>
          <w:p>
            <w:pPr>
              <w:ind w:firstLine="0" w:firstLineChars="0"/>
            </w:pPr>
            <w:r>
              <w:rPr>
                <w:rFonts w:hint="eastAsia"/>
                <w:b/>
                <w:bCs/>
              </w:rPr>
              <w:t>2、建设单位：</w:t>
            </w:r>
            <w:r>
              <w:rPr>
                <w:rFonts w:hint="eastAsia"/>
              </w:rPr>
              <w:t>交城县西冶兴威矿石加工厂。</w:t>
            </w:r>
          </w:p>
          <w:p>
            <w:pPr>
              <w:ind w:firstLine="0" w:firstLineChars="0"/>
              <w:rPr>
                <w:b/>
                <w:bCs/>
              </w:rPr>
            </w:pPr>
            <w:r>
              <w:rPr>
                <w:rFonts w:hint="eastAsia"/>
                <w:b/>
              </w:rPr>
              <w:t>3、建设性质：</w:t>
            </w:r>
            <w:r>
              <w:rPr>
                <w:rFonts w:hint="eastAsia"/>
              </w:rPr>
              <w:t>改扩建。</w:t>
            </w:r>
          </w:p>
          <w:p>
            <w:pPr>
              <w:ind w:firstLine="0" w:firstLineChars="0"/>
              <w:rPr>
                <w:b/>
                <w:bCs/>
              </w:rPr>
            </w:pPr>
            <w:r>
              <w:rPr>
                <w:rFonts w:hint="eastAsia"/>
                <w:b/>
                <w:bCs/>
              </w:rPr>
              <w:t>4、规模、产品方案及</w:t>
            </w:r>
            <w:r>
              <w:rPr>
                <w:rFonts w:hAnsi="宋体"/>
                <w:b/>
              </w:rPr>
              <w:t>原辅材料</w:t>
            </w:r>
          </w:p>
          <w:p>
            <w:pPr>
              <w:ind w:firstLine="470" w:firstLineChars="196"/>
            </w:pPr>
            <w:r>
              <w:rPr>
                <w:rFonts w:hint="eastAsia"/>
              </w:rPr>
              <w:t>（1）规模、产品方案</w:t>
            </w:r>
          </w:p>
          <w:p>
            <w:pPr>
              <w:ind w:firstLine="470" w:firstLineChars="196"/>
            </w:pPr>
            <w:r>
              <w:t>本项目利用现有工程尾矿石及周边矿山采选过程中产生的尾矿石生产建筑骨料及微粉，项目建成后，形成40万吨/年建筑骨料及微粉的生产能力，其中建筑骨料生产能力为30万吨/年，微粉生产能力为10万吨/年。环评要求所利用尾矿石应属于一般工业固体废物，</w:t>
            </w:r>
            <w:r>
              <w:rPr>
                <w:rFonts w:hint="eastAsia"/>
              </w:rPr>
              <w:t>并且</w:t>
            </w:r>
            <w:r>
              <w:t>可作为建筑用骨料及微粉利用。</w:t>
            </w:r>
          </w:p>
          <w:p>
            <w:pPr>
              <w:ind w:firstLine="480"/>
              <w:rPr>
                <w:bCs/>
              </w:rPr>
            </w:pPr>
            <w:r>
              <w:rPr>
                <w:rFonts w:hint="eastAsia"/>
                <w:bCs/>
              </w:rPr>
              <w:t>本项目产品方案见表</w:t>
            </w:r>
            <w:r>
              <w:rPr>
                <w:bCs/>
              </w:rPr>
              <w:t>1</w:t>
            </w:r>
            <w:r>
              <w:rPr>
                <w:rFonts w:hint="eastAsia"/>
              </w:rPr>
              <w:t>。</w:t>
            </w:r>
          </w:p>
          <w:p>
            <w:pPr>
              <w:ind w:firstLine="0" w:firstLineChars="0"/>
              <w:jc w:val="center"/>
              <w:rPr>
                <w:rFonts w:ascii="黑体" w:hAnsi="黑体" w:eastAsia="黑体"/>
              </w:rPr>
            </w:pPr>
            <w:r>
              <w:rPr>
                <w:rFonts w:hint="eastAsia" w:ascii="黑体" w:hAnsi="黑体" w:eastAsia="黑体"/>
              </w:rPr>
              <w:t>表</w:t>
            </w:r>
            <w:r>
              <w:rPr>
                <w:rFonts w:ascii="黑体" w:hAnsi="黑体" w:eastAsia="黑体"/>
              </w:rPr>
              <w:t>1</w:t>
            </w:r>
            <w:r>
              <w:rPr>
                <w:rFonts w:hint="eastAsia" w:ascii="黑体" w:hAnsi="黑体" w:eastAsia="黑体"/>
              </w:rPr>
              <w:t xml:space="preserve">  产品方案表</w:t>
            </w:r>
          </w:p>
          <w:tbl>
            <w:tblPr>
              <w:tblStyle w:val="71"/>
              <w:tblW w:w="91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8"/>
              <w:gridCol w:w="2126"/>
              <w:gridCol w:w="2552"/>
              <w:gridCol w:w="24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18" w:type="dxa"/>
                  <w:vAlign w:val="center"/>
                </w:tcPr>
                <w:p>
                  <w:pPr>
                    <w:spacing w:line="240" w:lineRule="auto"/>
                    <w:ind w:firstLine="0" w:firstLineChars="0"/>
                    <w:jc w:val="center"/>
                    <w:rPr>
                      <w:bCs/>
                      <w:sz w:val="21"/>
                      <w:szCs w:val="21"/>
                    </w:rPr>
                  </w:pPr>
                  <w:r>
                    <w:rPr>
                      <w:rFonts w:hint="eastAsia"/>
                      <w:bCs/>
                      <w:sz w:val="21"/>
                      <w:szCs w:val="21"/>
                    </w:rPr>
                    <w:t>产品名称</w:t>
                  </w:r>
                </w:p>
              </w:tc>
              <w:tc>
                <w:tcPr>
                  <w:tcW w:w="2126" w:type="dxa"/>
                  <w:tcBorders>
                    <w:right w:val="single" w:color="auto" w:sz="6" w:space="0"/>
                  </w:tcBorders>
                  <w:vAlign w:val="center"/>
                </w:tcPr>
                <w:p>
                  <w:pPr>
                    <w:spacing w:line="240" w:lineRule="auto"/>
                    <w:ind w:firstLine="0" w:firstLineChars="0"/>
                    <w:jc w:val="center"/>
                    <w:rPr>
                      <w:bCs/>
                      <w:sz w:val="21"/>
                      <w:szCs w:val="21"/>
                    </w:rPr>
                  </w:pPr>
                  <w:r>
                    <w:rPr>
                      <w:rFonts w:hint="eastAsia"/>
                      <w:bCs/>
                      <w:sz w:val="21"/>
                      <w:szCs w:val="21"/>
                    </w:rPr>
                    <w:t>规格</w:t>
                  </w:r>
                </w:p>
              </w:tc>
              <w:tc>
                <w:tcPr>
                  <w:tcW w:w="2552" w:type="dxa"/>
                  <w:tcBorders>
                    <w:left w:val="single" w:color="auto" w:sz="6" w:space="0"/>
                    <w:right w:val="single" w:color="auto" w:sz="4" w:space="0"/>
                  </w:tcBorders>
                  <w:vAlign w:val="center"/>
                </w:tcPr>
                <w:p>
                  <w:pPr>
                    <w:spacing w:line="240" w:lineRule="auto"/>
                    <w:ind w:firstLine="0" w:firstLineChars="0"/>
                    <w:jc w:val="center"/>
                    <w:rPr>
                      <w:bCs/>
                      <w:sz w:val="21"/>
                      <w:szCs w:val="21"/>
                    </w:rPr>
                  </w:pPr>
                  <w:r>
                    <w:rPr>
                      <w:rFonts w:hint="eastAsia"/>
                      <w:bCs/>
                      <w:sz w:val="21"/>
                      <w:szCs w:val="21"/>
                    </w:rPr>
                    <w:t>数量</w:t>
                  </w:r>
                </w:p>
              </w:tc>
              <w:tc>
                <w:tcPr>
                  <w:tcW w:w="2434" w:type="dxa"/>
                  <w:tcBorders>
                    <w:left w:val="single" w:color="auto" w:sz="4" w:space="0"/>
                  </w:tcBorders>
                  <w:vAlign w:val="center"/>
                </w:tcPr>
                <w:p>
                  <w:pPr>
                    <w:spacing w:line="240" w:lineRule="auto"/>
                    <w:ind w:firstLine="0" w:firstLineChars="0"/>
                    <w:jc w:val="center"/>
                    <w:rPr>
                      <w:bCs/>
                      <w:sz w:val="21"/>
                      <w:szCs w:val="21"/>
                    </w:rPr>
                  </w:pPr>
                  <w:r>
                    <w:rPr>
                      <w:rFonts w:hint="eastAsia"/>
                      <w:bCs/>
                      <w:sz w:val="21"/>
                      <w:szCs w:val="21"/>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18" w:type="dxa"/>
                  <w:vMerge w:val="restart"/>
                  <w:vAlign w:val="center"/>
                </w:tcPr>
                <w:p>
                  <w:pPr>
                    <w:spacing w:line="240" w:lineRule="auto"/>
                    <w:ind w:firstLine="0" w:firstLineChars="0"/>
                    <w:jc w:val="center"/>
                    <w:rPr>
                      <w:bCs/>
                      <w:sz w:val="21"/>
                      <w:szCs w:val="21"/>
                    </w:rPr>
                  </w:pPr>
                  <w:r>
                    <w:rPr>
                      <w:rFonts w:hint="eastAsia"/>
                      <w:bCs/>
                      <w:sz w:val="21"/>
                      <w:szCs w:val="21"/>
                    </w:rPr>
                    <w:t>建筑骨料</w:t>
                  </w:r>
                </w:p>
              </w:tc>
              <w:tc>
                <w:tcPr>
                  <w:tcW w:w="2126" w:type="dxa"/>
                  <w:tcBorders>
                    <w:right w:val="single" w:color="auto" w:sz="6" w:space="0"/>
                  </w:tcBorders>
                </w:tcPr>
                <w:p>
                  <w:pPr>
                    <w:spacing w:line="240" w:lineRule="auto"/>
                    <w:ind w:firstLine="0" w:firstLineChars="0"/>
                    <w:jc w:val="center"/>
                    <w:rPr>
                      <w:sz w:val="21"/>
                      <w:szCs w:val="21"/>
                    </w:rPr>
                  </w:pPr>
                  <w:r>
                    <w:rPr>
                      <w:sz w:val="21"/>
                      <w:szCs w:val="21"/>
                    </w:rPr>
                    <w:t>&lt;</w:t>
                  </w:r>
                  <w:r>
                    <w:rPr>
                      <w:rFonts w:hint="eastAsia"/>
                      <w:sz w:val="21"/>
                      <w:szCs w:val="21"/>
                    </w:rPr>
                    <w:t>1</w:t>
                  </w:r>
                  <w:r>
                    <w:rPr>
                      <w:sz w:val="21"/>
                      <w:szCs w:val="21"/>
                    </w:rPr>
                    <w:t>m</w:t>
                  </w:r>
                  <w:r>
                    <w:rPr>
                      <w:rFonts w:hint="eastAsia"/>
                      <w:sz w:val="21"/>
                      <w:szCs w:val="21"/>
                    </w:rPr>
                    <w:t>m</w:t>
                  </w:r>
                </w:p>
              </w:tc>
              <w:tc>
                <w:tcPr>
                  <w:tcW w:w="2552" w:type="dxa"/>
                  <w:tcBorders>
                    <w:left w:val="single" w:color="auto" w:sz="6" w:space="0"/>
                    <w:right w:val="single" w:color="auto" w:sz="4" w:space="0"/>
                  </w:tcBorders>
                  <w:vAlign w:val="center"/>
                </w:tcPr>
                <w:p>
                  <w:pPr>
                    <w:spacing w:line="240" w:lineRule="auto"/>
                    <w:ind w:firstLine="0" w:firstLineChars="0"/>
                    <w:jc w:val="center"/>
                    <w:rPr>
                      <w:bCs/>
                      <w:sz w:val="21"/>
                      <w:szCs w:val="21"/>
                    </w:rPr>
                  </w:pPr>
                  <w:r>
                    <w:rPr>
                      <w:bCs/>
                      <w:sz w:val="21"/>
                      <w:szCs w:val="21"/>
                    </w:rPr>
                    <w:t>7</w:t>
                  </w:r>
                  <w:r>
                    <w:rPr>
                      <w:rFonts w:hint="eastAsia"/>
                      <w:bCs/>
                      <w:sz w:val="21"/>
                      <w:szCs w:val="21"/>
                    </w:rPr>
                    <w:t>万吨/年</w:t>
                  </w:r>
                </w:p>
              </w:tc>
              <w:tc>
                <w:tcPr>
                  <w:tcW w:w="2434" w:type="dxa"/>
                  <w:vMerge w:val="restart"/>
                  <w:tcBorders>
                    <w:left w:val="single" w:color="auto" w:sz="4" w:space="0"/>
                  </w:tcBorders>
                  <w:vAlign w:val="center"/>
                </w:tcPr>
                <w:p>
                  <w:pPr>
                    <w:spacing w:line="240" w:lineRule="auto"/>
                    <w:ind w:firstLine="0" w:firstLineChars="0"/>
                    <w:jc w:val="center"/>
                    <w:rPr>
                      <w:bCs/>
                      <w:sz w:val="21"/>
                      <w:szCs w:val="21"/>
                    </w:rPr>
                  </w:pPr>
                  <w:r>
                    <w:rPr>
                      <w:bCs/>
                      <w:sz w:val="21"/>
                      <w:szCs w:val="21"/>
                    </w:rPr>
                    <w:t>30</w:t>
                  </w:r>
                  <w:r>
                    <w:rPr>
                      <w:rFonts w:hint="eastAsia"/>
                      <w:bCs/>
                      <w:sz w:val="21"/>
                      <w:szCs w:val="21"/>
                    </w:rPr>
                    <w:t>万吨/年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18" w:type="dxa"/>
                  <w:vMerge w:val="continue"/>
                  <w:vAlign w:val="center"/>
                </w:tcPr>
                <w:p>
                  <w:pPr>
                    <w:spacing w:line="240" w:lineRule="auto"/>
                    <w:ind w:firstLine="0" w:firstLineChars="0"/>
                    <w:jc w:val="center"/>
                    <w:rPr>
                      <w:bCs/>
                      <w:sz w:val="21"/>
                      <w:szCs w:val="21"/>
                    </w:rPr>
                  </w:pPr>
                </w:p>
              </w:tc>
              <w:tc>
                <w:tcPr>
                  <w:tcW w:w="2126" w:type="dxa"/>
                  <w:tcBorders>
                    <w:right w:val="single" w:color="auto" w:sz="6" w:space="0"/>
                  </w:tcBorders>
                </w:tcPr>
                <w:p>
                  <w:pPr>
                    <w:spacing w:line="240" w:lineRule="auto"/>
                    <w:ind w:firstLine="0" w:firstLineChars="0"/>
                    <w:jc w:val="center"/>
                    <w:rPr>
                      <w:sz w:val="21"/>
                      <w:szCs w:val="21"/>
                    </w:rPr>
                  </w:pPr>
                  <w:r>
                    <w:rPr>
                      <w:rFonts w:hint="eastAsia"/>
                      <w:sz w:val="21"/>
                      <w:szCs w:val="21"/>
                    </w:rPr>
                    <w:t>1</w:t>
                  </w:r>
                  <w:r>
                    <w:rPr>
                      <w:sz w:val="21"/>
                      <w:szCs w:val="21"/>
                    </w:rPr>
                    <w:t>mm~</w:t>
                  </w:r>
                  <w:r>
                    <w:rPr>
                      <w:rFonts w:hint="eastAsia"/>
                      <w:sz w:val="21"/>
                      <w:szCs w:val="21"/>
                    </w:rPr>
                    <w:t>3</w:t>
                  </w:r>
                  <w:r>
                    <w:rPr>
                      <w:sz w:val="21"/>
                      <w:szCs w:val="21"/>
                    </w:rPr>
                    <w:t>mm</w:t>
                  </w:r>
                </w:p>
              </w:tc>
              <w:tc>
                <w:tcPr>
                  <w:tcW w:w="2552" w:type="dxa"/>
                  <w:tcBorders>
                    <w:left w:val="single" w:color="auto" w:sz="6" w:space="0"/>
                    <w:right w:val="single" w:color="auto" w:sz="4" w:space="0"/>
                  </w:tcBorders>
                  <w:vAlign w:val="center"/>
                </w:tcPr>
                <w:p>
                  <w:pPr>
                    <w:spacing w:line="240" w:lineRule="auto"/>
                    <w:ind w:firstLine="0" w:firstLineChars="0"/>
                    <w:jc w:val="center"/>
                    <w:rPr>
                      <w:bCs/>
                      <w:sz w:val="21"/>
                      <w:szCs w:val="21"/>
                    </w:rPr>
                  </w:pPr>
                  <w:r>
                    <w:rPr>
                      <w:bCs/>
                      <w:sz w:val="21"/>
                      <w:szCs w:val="21"/>
                    </w:rPr>
                    <w:t>10</w:t>
                  </w:r>
                  <w:r>
                    <w:rPr>
                      <w:rFonts w:hint="eastAsia"/>
                      <w:bCs/>
                      <w:sz w:val="21"/>
                      <w:szCs w:val="21"/>
                    </w:rPr>
                    <w:t>万吨/年</w:t>
                  </w:r>
                </w:p>
              </w:tc>
              <w:tc>
                <w:tcPr>
                  <w:tcW w:w="2434" w:type="dxa"/>
                  <w:vMerge w:val="continue"/>
                  <w:tcBorders>
                    <w:left w:val="single" w:color="auto" w:sz="4" w:space="0"/>
                  </w:tcBorders>
                  <w:vAlign w:val="center"/>
                </w:tcPr>
                <w:p>
                  <w:pPr>
                    <w:spacing w:line="240" w:lineRule="auto"/>
                    <w:ind w:firstLine="0" w:firstLineChars="0"/>
                    <w:jc w:val="center"/>
                    <w:rPr>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18" w:type="dxa"/>
                  <w:vMerge w:val="continue"/>
                  <w:vAlign w:val="center"/>
                </w:tcPr>
                <w:p>
                  <w:pPr>
                    <w:spacing w:line="240" w:lineRule="auto"/>
                    <w:ind w:firstLine="0" w:firstLineChars="0"/>
                    <w:jc w:val="center"/>
                    <w:rPr>
                      <w:bCs/>
                      <w:sz w:val="21"/>
                      <w:szCs w:val="21"/>
                    </w:rPr>
                  </w:pPr>
                </w:p>
              </w:tc>
              <w:tc>
                <w:tcPr>
                  <w:tcW w:w="2126" w:type="dxa"/>
                  <w:tcBorders>
                    <w:right w:val="single" w:color="auto" w:sz="6" w:space="0"/>
                  </w:tcBorders>
                </w:tcPr>
                <w:p>
                  <w:pPr>
                    <w:spacing w:line="240" w:lineRule="auto"/>
                    <w:ind w:firstLine="0" w:firstLineChars="0"/>
                    <w:jc w:val="center"/>
                    <w:rPr>
                      <w:sz w:val="21"/>
                      <w:szCs w:val="21"/>
                    </w:rPr>
                  </w:pPr>
                  <w:r>
                    <w:rPr>
                      <w:rFonts w:hint="eastAsia"/>
                      <w:sz w:val="21"/>
                      <w:szCs w:val="21"/>
                    </w:rPr>
                    <w:t>3</w:t>
                  </w:r>
                  <w:r>
                    <w:rPr>
                      <w:sz w:val="21"/>
                      <w:szCs w:val="21"/>
                    </w:rPr>
                    <w:t>mm~</w:t>
                  </w:r>
                  <w:r>
                    <w:rPr>
                      <w:rFonts w:hint="eastAsia"/>
                      <w:sz w:val="21"/>
                      <w:szCs w:val="21"/>
                    </w:rPr>
                    <w:t>5</w:t>
                  </w:r>
                  <w:r>
                    <w:rPr>
                      <w:sz w:val="21"/>
                      <w:szCs w:val="21"/>
                    </w:rPr>
                    <w:t>mm</w:t>
                  </w:r>
                </w:p>
              </w:tc>
              <w:tc>
                <w:tcPr>
                  <w:tcW w:w="2552" w:type="dxa"/>
                  <w:tcBorders>
                    <w:left w:val="single" w:color="auto" w:sz="6" w:space="0"/>
                    <w:right w:val="single" w:color="auto" w:sz="4" w:space="0"/>
                  </w:tcBorders>
                  <w:vAlign w:val="center"/>
                </w:tcPr>
                <w:p>
                  <w:pPr>
                    <w:spacing w:line="240" w:lineRule="auto"/>
                    <w:ind w:firstLine="0" w:firstLineChars="0"/>
                    <w:jc w:val="center"/>
                    <w:rPr>
                      <w:bCs/>
                      <w:sz w:val="21"/>
                      <w:szCs w:val="21"/>
                    </w:rPr>
                  </w:pPr>
                  <w:r>
                    <w:rPr>
                      <w:bCs/>
                      <w:sz w:val="21"/>
                      <w:szCs w:val="21"/>
                    </w:rPr>
                    <w:t>8</w:t>
                  </w:r>
                  <w:r>
                    <w:rPr>
                      <w:rFonts w:hint="eastAsia"/>
                      <w:bCs/>
                      <w:sz w:val="21"/>
                      <w:szCs w:val="21"/>
                    </w:rPr>
                    <w:t>万吨/年</w:t>
                  </w:r>
                </w:p>
              </w:tc>
              <w:tc>
                <w:tcPr>
                  <w:tcW w:w="2434" w:type="dxa"/>
                  <w:vMerge w:val="continue"/>
                  <w:tcBorders>
                    <w:left w:val="single" w:color="auto" w:sz="4" w:space="0"/>
                  </w:tcBorders>
                  <w:vAlign w:val="center"/>
                </w:tcPr>
                <w:p>
                  <w:pPr>
                    <w:spacing w:line="240" w:lineRule="auto"/>
                    <w:ind w:firstLine="0" w:firstLineChars="0"/>
                    <w:jc w:val="center"/>
                    <w:rPr>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18" w:type="dxa"/>
                  <w:vMerge w:val="continue"/>
                  <w:vAlign w:val="center"/>
                </w:tcPr>
                <w:p>
                  <w:pPr>
                    <w:spacing w:line="240" w:lineRule="auto"/>
                    <w:ind w:firstLine="0" w:firstLineChars="0"/>
                    <w:jc w:val="center"/>
                    <w:rPr>
                      <w:bCs/>
                      <w:sz w:val="21"/>
                      <w:szCs w:val="21"/>
                    </w:rPr>
                  </w:pPr>
                </w:p>
              </w:tc>
              <w:tc>
                <w:tcPr>
                  <w:tcW w:w="2126" w:type="dxa"/>
                  <w:tcBorders>
                    <w:right w:val="single" w:color="auto" w:sz="6" w:space="0"/>
                  </w:tcBorders>
                </w:tcPr>
                <w:p>
                  <w:pPr>
                    <w:spacing w:line="240" w:lineRule="auto"/>
                    <w:ind w:firstLine="0" w:firstLineChars="0"/>
                    <w:jc w:val="center"/>
                    <w:rPr>
                      <w:sz w:val="21"/>
                      <w:szCs w:val="21"/>
                    </w:rPr>
                  </w:pPr>
                  <w:r>
                    <w:rPr>
                      <w:rFonts w:hint="eastAsia"/>
                      <w:sz w:val="21"/>
                      <w:szCs w:val="21"/>
                    </w:rPr>
                    <w:t>5</w:t>
                  </w:r>
                  <w:r>
                    <w:rPr>
                      <w:sz w:val="21"/>
                      <w:szCs w:val="21"/>
                    </w:rPr>
                    <w:t>m</w:t>
                  </w:r>
                  <w:r>
                    <w:rPr>
                      <w:rFonts w:hint="eastAsia"/>
                      <w:sz w:val="21"/>
                      <w:szCs w:val="21"/>
                    </w:rPr>
                    <w:t>m</w:t>
                  </w:r>
                  <w:r>
                    <w:rPr>
                      <w:sz w:val="21"/>
                      <w:szCs w:val="21"/>
                    </w:rPr>
                    <w:t>~</w:t>
                  </w:r>
                  <w:r>
                    <w:rPr>
                      <w:rFonts w:hint="eastAsia"/>
                      <w:sz w:val="21"/>
                      <w:szCs w:val="21"/>
                    </w:rPr>
                    <w:t>8</w:t>
                  </w:r>
                  <w:r>
                    <w:rPr>
                      <w:sz w:val="21"/>
                      <w:szCs w:val="21"/>
                    </w:rPr>
                    <w:t>m</w:t>
                  </w:r>
                  <w:r>
                    <w:rPr>
                      <w:rFonts w:hint="eastAsia"/>
                      <w:sz w:val="21"/>
                      <w:szCs w:val="21"/>
                    </w:rPr>
                    <w:t>m</w:t>
                  </w:r>
                </w:p>
              </w:tc>
              <w:tc>
                <w:tcPr>
                  <w:tcW w:w="2552" w:type="dxa"/>
                  <w:tcBorders>
                    <w:left w:val="single" w:color="auto" w:sz="6" w:space="0"/>
                    <w:right w:val="single" w:color="auto" w:sz="4" w:space="0"/>
                  </w:tcBorders>
                  <w:vAlign w:val="center"/>
                </w:tcPr>
                <w:p>
                  <w:pPr>
                    <w:spacing w:line="240" w:lineRule="auto"/>
                    <w:ind w:firstLine="0" w:firstLineChars="0"/>
                    <w:jc w:val="center"/>
                    <w:rPr>
                      <w:bCs/>
                      <w:sz w:val="21"/>
                      <w:szCs w:val="21"/>
                    </w:rPr>
                  </w:pPr>
                  <w:r>
                    <w:rPr>
                      <w:bCs/>
                      <w:sz w:val="21"/>
                      <w:szCs w:val="21"/>
                    </w:rPr>
                    <w:t>5</w:t>
                  </w:r>
                  <w:r>
                    <w:rPr>
                      <w:rFonts w:hint="eastAsia"/>
                      <w:bCs/>
                      <w:sz w:val="21"/>
                      <w:szCs w:val="21"/>
                    </w:rPr>
                    <w:t>万吨/年</w:t>
                  </w:r>
                </w:p>
              </w:tc>
              <w:tc>
                <w:tcPr>
                  <w:tcW w:w="2434" w:type="dxa"/>
                  <w:vMerge w:val="continue"/>
                  <w:tcBorders>
                    <w:left w:val="single" w:color="auto" w:sz="4" w:space="0"/>
                  </w:tcBorders>
                  <w:vAlign w:val="center"/>
                </w:tcPr>
                <w:p>
                  <w:pPr>
                    <w:spacing w:line="240" w:lineRule="auto"/>
                    <w:ind w:firstLine="0" w:firstLineChars="0"/>
                    <w:jc w:val="center"/>
                    <w:rPr>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18" w:type="dxa"/>
                  <w:vAlign w:val="center"/>
                </w:tcPr>
                <w:p>
                  <w:pPr>
                    <w:spacing w:line="240" w:lineRule="auto"/>
                    <w:ind w:firstLine="0" w:firstLineChars="0"/>
                    <w:jc w:val="center"/>
                    <w:rPr>
                      <w:bCs/>
                      <w:sz w:val="21"/>
                      <w:szCs w:val="21"/>
                    </w:rPr>
                  </w:pPr>
                  <w:r>
                    <w:rPr>
                      <w:rFonts w:hint="eastAsia"/>
                      <w:bCs/>
                      <w:sz w:val="21"/>
                      <w:szCs w:val="21"/>
                    </w:rPr>
                    <w:t>尾矿微粉</w:t>
                  </w:r>
                </w:p>
              </w:tc>
              <w:tc>
                <w:tcPr>
                  <w:tcW w:w="2126" w:type="dxa"/>
                  <w:tcBorders>
                    <w:right w:val="single" w:color="auto" w:sz="6" w:space="0"/>
                  </w:tcBorders>
                  <w:vAlign w:val="center"/>
                </w:tcPr>
                <w:p>
                  <w:pPr>
                    <w:spacing w:line="240" w:lineRule="auto"/>
                    <w:ind w:firstLine="0" w:firstLineChars="0"/>
                    <w:jc w:val="center"/>
                    <w:rPr>
                      <w:bCs/>
                      <w:sz w:val="21"/>
                      <w:szCs w:val="21"/>
                    </w:rPr>
                  </w:pPr>
                  <w:r>
                    <w:rPr>
                      <w:sz w:val="21"/>
                      <w:szCs w:val="21"/>
                    </w:rPr>
                    <w:t>&lt;0.3m</w:t>
                  </w:r>
                  <w:r>
                    <w:rPr>
                      <w:rFonts w:hint="eastAsia"/>
                      <w:sz w:val="21"/>
                      <w:szCs w:val="21"/>
                    </w:rPr>
                    <w:t>m</w:t>
                  </w:r>
                </w:p>
              </w:tc>
              <w:tc>
                <w:tcPr>
                  <w:tcW w:w="2552" w:type="dxa"/>
                  <w:tcBorders>
                    <w:left w:val="single" w:color="auto" w:sz="6" w:space="0"/>
                    <w:right w:val="single" w:color="auto" w:sz="4" w:space="0"/>
                  </w:tcBorders>
                  <w:vAlign w:val="center"/>
                </w:tcPr>
                <w:p>
                  <w:pPr>
                    <w:spacing w:line="240" w:lineRule="auto"/>
                    <w:ind w:firstLine="0" w:firstLineChars="0"/>
                    <w:jc w:val="center"/>
                    <w:rPr>
                      <w:bCs/>
                      <w:sz w:val="21"/>
                      <w:szCs w:val="21"/>
                    </w:rPr>
                  </w:pPr>
                  <w:r>
                    <w:rPr>
                      <w:bCs/>
                      <w:sz w:val="21"/>
                      <w:szCs w:val="21"/>
                    </w:rPr>
                    <w:t>10</w:t>
                  </w:r>
                  <w:r>
                    <w:rPr>
                      <w:rFonts w:hint="eastAsia"/>
                      <w:bCs/>
                      <w:sz w:val="21"/>
                      <w:szCs w:val="21"/>
                    </w:rPr>
                    <w:t>万吨/年</w:t>
                  </w:r>
                </w:p>
              </w:tc>
              <w:tc>
                <w:tcPr>
                  <w:tcW w:w="2434" w:type="dxa"/>
                  <w:tcBorders>
                    <w:left w:val="single" w:color="auto" w:sz="4" w:space="0"/>
                  </w:tcBorders>
                  <w:vAlign w:val="center"/>
                </w:tcPr>
                <w:p>
                  <w:pPr>
                    <w:spacing w:line="240" w:lineRule="auto"/>
                    <w:ind w:firstLine="0" w:firstLineChars="0"/>
                    <w:jc w:val="center"/>
                    <w:rPr>
                      <w:b/>
                      <w:sz w:val="21"/>
                      <w:szCs w:val="21"/>
                    </w:rPr>
                  </w:pPr>
                  <w:r>
                    <w:rPr>
                      <w:bCs/>
                      <w:sz w:val="21"/>
                      <w:szCs w:val="21"/>
                    </w:rPr>
                    <w:t>10</w:t>
                  </w:r>
                  <w:r>
                    <w:rPr>
                      <w:rFonts w:hint="eastAsia"/>
                      <w:bCs/>
                      <w:sz w:val="21"/>
                      <w:szCs w:val="21"/>
                    </w:rPr>
                    <w:t>万吨/年</w:t>
                  </w:r>
                </w:p>
              </w:tc>
            </w:tr>
          </w:tbl>
          <w:p>
            <w:pPr>
              <w:ind w:firstLine="480"/>
              <w:jc w:val="left"/>
            </w:pPr>
            <w:r>
              <w:rPr>
                <w:rFonts w:hint="eastAsia"/>
              </w:rPr>
              <w:t>（2）原辅材料消耗</w:t>
            </w:r>
          </w:p>
          <w:p>
            <w:pPr>
              <w:ind w:firstLine="480"/>
              <w:jc w:val="left"/>
              <w:rPr>
                <w:rFonts w:ascii="黑体" w:hAnsi="黑体" w:eastAsia="黑体"/>
              </w:rPr>
            </w:pPr>
            <w:r>
              <w:rPr>
                <w:rFonts w:hint="eastAsia"/>
              </w:rPr>
              <w:t>本项目原料主要为交城县及周边矿山采选过程中产生的尾矿石，原辅材料消耗情况见表</w:t>
            </w:r>
            <w:r>
              <w:t>2</w:t>
            </w:r>
            <w:r>
              <w:rPr>
                <w:rFonts w:hint="eastAsia"/>
              </w:rPr>
              <w:t>。</w:t>
            </w:r>
          </w:p>
          <w:p>
            <w:pPr>
              <w:ind w:firstLine="0" w:firstLineChars="0"/>
              <w:jc w:val="center"/>
              <w:rPr>
                <w:rFonts w:ascii="黑体" w:hAnsi="黑体" w:eastAsia="黑体"/>
              </w:rPr>
            </w:pPr>
            <w:r>
              <w:rPr>
                <w:rFonts w:hint="eastAsia" w:ascii="黑体" w:hAnsi="黑体" w:eastAsia="黑体"/>
              </w:rPr>
              <w:t>表</w:t>
            </w:r>
            <w:r>
              <w:rPr>
                <w:rFonts w:ascii="黑体" w:hAnsi="黑体" w:eastAsia="黑体"/>
              </w:rPr>
              <w:t>2</w:t>
            </w:r>
            <w:r>
              <w:rPr>
                <w:rFonts w:hint="eastAsia" w:ascii="黑体" w:hAnsi="黑体" w:eastAsia="黑体"/>
              </w:rPr>
              <w:t xml:space="preserve">  原辅材料消耗表</w:t>
            </w:r>
          </w:p>
          <w:tbl>
            <w:tblPr>
              <w:tblStyle w:val="7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2"/>
              <w:gridCol w:w="1575"/>
              <w:gridCol w:w="1417"/>
              <w:gridCol w:w="1701"/>
              <w:gridCol w:w="34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1" w:type="pct"/>
                  <w:vAlign w:val="center"/>
                </w:tcPr>
                <w:p>
                  <w:pPr>
                    <w:spacing w:line="240" w:lineRule="auto"/>
                    <w:ind w:firstLine="0" w:firstLineChars="0"/>
                    <w:jc w:val="center"/>
                    <w:rPr>
                      <w:sz w:val="21"/>
                      <w:szCs w:val="21"/>
                    </w:rPr>
                  </w:pPr>
                  <w:r>
                    <w:rPr>
                      <w:sz w:val="21"/>
                      <w:szCs w:val="21"/>
                    </w:rPr>
                    <w:t>序号</w:t>
                  </w:r>
                </w:p>
              </w:tc>
              <w:tc>
                <w:tcPr>
                  <w:tcW w:w="866" w:type="pct"/>
                  <w:vAlign w:val="center"/>
                </w:tcPr>
                <w:p>
                  <w:pPr>
                    <w:spacing w:line="240" w:lineRule="auto"/>
                    <w:ind w:firstLine="0" w:firstLineChars="0"/>
                    <w:jc w:val="center"/>
                    <w:rPr>
                      <w:sz w:val="21"/>
                      <w:szCs w:val="21"/>
                    </w:rPr>
                  </w:pPr>
                  <w:r>
                    <w:rPr>
                      <w:sz w:val="21"/>
                      <w:szCs w:val="21"/>
                    </w:rPr>
                    <w:t>名称</w:t>
                  </w:r>
                </w:p>
              </w:tc>
              <w:tc>
                <w:tcPr>
                  <w:tcW w:w="779" w:type="pct"/>
                  <w:vAlign w:val="center"/>
                </w:tcPr>
                <w:p>
                  <w:pPr>
                    <w:spacing w:line="240" w:lineRule="auto"/>
                    <w:ind w:firstLine="0" w:firstLineChars="0"/>
                    <w:jc w:val="center"/>
                    <w:rPr>
                      <w:sz w:val="21"/>
                      <w:szCs w:val="21"/>
                    </w:rPr>
                  </w:pPr>
                  <w:r>
                    <w:rPr>
                      <w:rFonts w:hint="eastAsia"/>
                      <w:sz w:val="21"/>
                      <w:szCs w:val="21"/>
                    </w:rPr>
                    <w:t>消耗</w:t>
                  </w:r>
                  <w:r>
                    <w:rPr>
                      <w:sz w:val="21"/>
                      <w:szCs w:val="21"/>
                    </w:rPr>
                    <w:t>量</w:t>
                  </w:r>
                </w:p>
              </w:tc>
              <w:tc>
                <w:tcPr>
                  <w:tcW w:w="935" w:type="pct"/>
                  <w:vAlign w:val="center"/>
                </w:tcPr>
                <w:p>
                  <w:pPr>
                    <w:spacing w:line="240" w:lineRule="auto"/>
                    <w:ind w:firstLine="0" w:firstLineChars="0"/>
                    <w:jc w:val="center"/>
                    <w:rPr>
                      <w:sz w:val="21"/>
                      <w:szCs w:val="21"/>
                    </w:rPr>
                  </w:pPr>
                  <w:r>
                    <w:rPr>
                      <w:sz w:val="21"/>
                      <w:szCs w:val="21"/>
                    </w:rPr>
                    <w:t>储存方式</w:t>
                  </w:r>
                </w:p>
              </w:tc>
              <w:tc>
                <w:tcPr>
                  <w:tcW w:w="1870" w:type="pct"/>
                  <w:vAlign w:val="center"/>
                </w:tcPr>
                <w:p>
                  <w:pPr>
                    <w:spacing w:line="240" w:lineRule="auto"/>
                    <w:ind w:firstLine="0" w:firstLineChars="0"/>
                    <w:jc w:val="center"/>
                    <w:rPr>
                      <w:sz w:val="21"/>
                      <w:szCs w:val="21"/>
                    </w:rPr>
                  </w:pPr>
                  <w:r>
                    <w:rPr>
                      <w:rFonts w:hint="eastAsia"/>
                      <w:sz w:val="21"/>
                      <w:szCs w:val="21"/>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1" w:type="pct"/>
                  <w:vAlign w:val="center"/>
                </w:tcPr>
                <w:p>
                  <w:pPr>
                    <w:spacing w:line="240" w:lineRule="auto"/>
                    <w:ind w:firstLine="0" w:firstLineChars="0"/>
                    <w:jc w:val="center"/>
                    <w:rPr>
                      <w:sz w:val="21"/>
                      <w:szCs w:val="21"/>
                    </w:rPr>
                  </w:pPr>
                  <w:r>
                    <w:rPr>
                      <w:sz w:val="21"/>
                      <w:szCs w:val="21"/>
                    </w:rPr>
                    <w:t>1</w:t>
                  </w:r>
                </w:p>
              </w:tc>
              <w:tc>
                <w:tcPr>
                  <w:tcW w:w="866" w:type="pct"/>
                  <w:vAlign w:val="center"/>
                </w:tcPr>
                <w:p>
                  <w:pPr>
                    <w:spacing w:line="240" w:lineRule="auto"/>
                    <w:ind w:firstLine="0" w:firstLineChars="0"/>
                    <w:jc w:val="center"/>
                    <w:rPr>
                      <w:sz w:val="21"/>
                      <w:szCs w:val="21"/>
                    </w:rPr>
                  </w:pPr>
                  <w:r>
                    <w:rPr>
                      <w:rFonts w:hint="eastAsia"/>
                      <w:sz w:val="21"/>
                      <w:szCs w:val="21"/>
                    </w:rPr>
                    <w:t>尾矿石</w:t>
                  </w:r>
                </w:p>
              </w:tc>
              <w:tc>
                <w:tcPr>
                  <w:tcW w:w="779" w:type="pct"/>
                  <w:vAlign w:val="center"/>
                </w:tcPr>
                <w:p>
                  <w:pPr>
                    <w:spacing w:line="240" w:lineRule="auto"/>
                    <w:ind w:firstLine="0" w:firstLineChars="0"/>
                    <w:jc w:val="center"/>
                    <w:rPr>
                      <w:sz w:val="21"/>
                      <w:szCs w:val="21"/>
                    </w:rPr>
                  </w:pPr>
                  <w:r>
                    <w:rPr>
                      <w:sz w:val="21"/>
                      <w:szCs w:val="21"/>
                    </w:rPr>
                    <w:t xml:space="preserve">40 </w:t>
                  </w:r>
                  <w:r>
                    <w:rPr>
                      <w:rFonts w:hint="eastAsia"/>
                      <w:sz w:val="21"/>
                      <w:szCs w:val="21"/>
                    </w:rPr>
                    <w:t>万t/a</w:t>
                  </w:r>
                </w:p>
              </w:tc>
              <w:tc>
                <w:tcPr>
                  <w:tcW w:w="935" w:type="pct"/>
                  <w:vAlign w:val="center"/>
                </w:tcPr>
                <w:p>
                  <w:pPr>
                    <w:spacing w:line="240" w:lineRule="auto"/>
                    <w:ind w:firstLine="0" w:firstLineChars="0"/>
                    <w:jc w:val="center"/>
                    <w:rPr>
                      <w:sz w:val="21"/>
                      <w:szCs w:val="21"/>
                    </w:rPr>
                  </w:pPr>
                  <w:r>
                    <w:rPr>
                      <w:rFonts w:hint="eastAsia"/>
                      <w:sz w:val="21"/>
                      <w:szCs w:val="21"/>
                    </w:rPr>
                    <w:t>原料库堆存</w:t>
                  </w:r>
                </w:p>
              </w:tc>
              <w:tc>
                <w:tcPr>
                  <w:tcW w:w="1870" w:type="pct"/>
                  <w:vAlign w:val="center"/>
                </w:tcPr>
                <w:p>
                  <w:pPr>
                    <w:spacing w:line="240" w:lineRule="auto"/>
                    <w:ind w:firstLine="0" w:firstLineChars="0"/>
                    <w:jc w:val="center"/>
                    <w:rPr>
                      <w:sz w:val="21"/>
                      <w:szCs w:val="21"/>
                    </w:rPr>
                  </w:pPr>
                  <w:r>
                    <w:rPr>
                      <w:rFonts w:hint="eastAsia"/>
                      <w:sz w:val="21"/>
                      <w:szCs w:val="21"/>
                    </w:rPr>
                    <w:t>现有工程尾矿石及周边矿山采选过程中产生的尾矿石</w:t>
                  </w:r>
                </w:p>
              </w:tc>
            </w:tr>
          </w:tbl>
          <w:p>
            <w:pPr>
              <w:ind w:firstLine="480"/>
            </w:pPr>
            <w:r>
              <w:rPr>
                <w:rFonts w:hint="eastAsia"/>
              </w:rPr>
              <w:t>原料、产品均使用公路运输方式，运输车辆应符合相关排放标准，燃用符合环保要求的油品；车斗用苫布遮盖或者采用密闭车斗。同时在厂区进出口设洗车平台对进出车辆进行清洗。</w:t>
            </w:r>
          </w:p>
          <w:p>
            <w:pPr>
              <w:ind w:firstLine="480"/>
            </w:pPr>
            <w:r>
              <w:rPr>
                <w:rFonts w:hint="eastAsia"/>
              </w:rPr>
              <w:t>（3）生产物料平衡分析</w:t>
            </w:r>
          </w:p>
          <w:p>
            <w:pPr>
              <w:ind w:firstLine="480"/>
            </w:pPr>
            <w:r>
              <w:rPr>
                <w:rFonts w:hint="eastAsia"/>
              </w:rPr>
              <w:t>本项目生产物料平衡分析见下表。</w:t>
            </w:r>
          </w:p>
          <w:p>
            <w:pPr>
              <w:ind w:firstLine="0" w:firstLineChars="0"/>
              <w:jc w:val="center"/>
              <w:rPr>
                <w:rFonts w:ascii="黑体" w:hAnsi="黑体" w:eastAsia="黑体"/>
              </w:rPr>
            </w:pPr>
            <w:r>
              <w:rPr>
                <w:rFonts w:hint="eastAsia" w:ascii="黑体" w:hAnsi="黑体" w:eastAsia="黑体"/>
              </w:rPr>
              <w:t>表</w:t>
            </w:r>
            <w:r>
              <w:rPr>
                <w:rFonts w:ascii="黑体" w:hAnsi="黑体" w:eastAsia="黑体"/>
              </w:rPr>
              <w:t>3</w:t>
            </w:r>
            <w:r>
              <w:rPr>
                <w:rFonts w:hint="eastAsia" w:ascii="黑体" w:hAnsi="黑体" w:eastAsia="黑体"/>
              </w:rPr>
              <w:t xml:space="preserve">  </w:t>
            </w:r>
            <w:r>
              <w:rPr>
                <w:rFonts w:ascii="黑体" w:hAnsi="黑体" w:eastAsia="黑体"/>
              </w:rPr>
              <w:t>本项目生产物料平衡分析</w:t>
            </w:r>
            <w:r>
              <w:rPr>
                <w:rFonts w:hint="eastAsia" w:ascii="黑体" w:hAnsi="黑体" w:eastAsia="黑体"/>
              </w:rPr>
              <w:t>表</w:t>
            </w:r>
          </w:p>
          <w:tbl>
            <w:tblPr>
              <w:tblStyle w:val="7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0"/>
              <w:gridCol w:w="2269"/>
              <w:gridCol w:w="1417"/>
              <w:gridCol w:w="41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pct"/>
                  <w:vAlign w:val="center"/>
                </w:tcPr>
                <w:p>
                  <w:pPr>
                    <w:spacing w:line="240" w:lineRule="auto"/>
                    <w:ind w:firstLine="0" w:firstLineChars="0"/>
                    <w:jc w:val="center"/>
                    <w:rPr>
                      <w:sz w:val="21"/>
                      <w:szCs w:val="21"/>
                    </w:rPr>
                  </w:pPr>
                  <w:r>
                    <w:rPr>
                      <w:rFonts w:hint="eastAsia"/>
                      <w:sz w:val="21"/>
                      <w:szCs w:val="21"/>
                    </w:rPr>
                    <w:t>名称</w:t>
                  </w:r>
                </w:p>
              </w:tc>
              <w:tc>
                <w:tcPr>
                  <w:tcW w:w="1247" w:type="pct"/>
                  <w:vAlign w:val="center"/>
                </w:tcPr>
                <w:p>
                  <w:pPr>
                    <w:spacing w:line="240" w:lineRule="auto"/>
                    <w:ind w:firstLine="0" w:firstLineChars="0"/>
                    <w:jc w:val="center"/>
                    <w:rPr>
                      <w:sz w:val="21"/>
                      <w:szCs w:val="21"/>
                    </w:rPr>
                  </w:pPr>
                  <w:r>
                    <w:rPr>
                      <w:rFonts w:hint="eastAsia"/>
                      <w:sz w:val="21"/>
                      <w:szCs w:val="21"/>
                    </w:rPr>
                    <w:t>数量</w:t>
                  </w:r>
                </w:p>
              </w:tc>
              <w:tc>
                <w:tcPr>
                  <w:tcW w:w="779" w:type="pct"/>
                  <w:vAlign w:val="center"/>
                </w:tcPr>
                <w:p>
                  <w:pPr>
                    <w:spacing w:line="240" w:lineRule="auto"/>
                    <w:ind w:firstLine="0" w:firstLineChars="0"/>
                    <w:jc w:val="center"/>
                    <w:rPr>
                      <w:sz w:val="21"/>
                      <w:szCs w:val="21"/>
                    </w:rPr>
                  </w:pPr>
                  <w:r>
                    <w:rPr>
                      <w:rFonts w:hint="eastAsia"/>
                      <w:sz w:val="21"/>
                      <w:szCs w:val="21"/>
                    </w:rPr>
                    <w:t>名称</w:t>
                  </w:r>
                </w:p>
              </w:tc>
              <w:tc>
                <w:tcPr>
                  <w:tcW w:w="2259" w:type="pct"/>
                  <w:vAlign w:val="center"/>
                </w:tcPr>
                <w:p>
                  <w:pPr>
                    <w:spacing w:line="240" w:lineRule="auto"/>
                    <w:ind w:firstLine="0" w:firstLineChars="0"/>
                    <w:jc w:val="center"/>
                    <w:rPr>
                      <w:sz w:val="21"/>
                      <w:szCs w:val="21"/>
                    </w:rPr>
                  </w:pPr>
                  <w:r>
                    <w:rPr>
                      <w:rFonts w:hint="eastAsia"/>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pct"/>
                  <w:vMerge w:val="restart"/>
                  <w:vAlign w:val="center"/>
                </w:tcPr>
                <w:p>
                  <w:pPr>
                    <w:spacing w:line="240" w:lineRule="auto"/>
                    <w:ind w:firstLine="0" w:firstLineChars="0"/>
                    <w:jc w:val="center"/>
                    <w:rPr>
                      <w:sz w:val="21"/>
                      <w:szCs w:val="21"/>
                    </w:rPr>
                  </w:pPr>
                  <w:r>
                    <w:rPr>
                      <w:rFonts w:hint="eastAsia"/>
                      <w:sz w:val="21"/>
                      <w:szCs w:val="21"/>
                    </w:rPr>
                    <w:t>尾矿石</w:t>
                  </w:r>
                </w:p>
              </w:tc>
              <w:tc>
                <w:tcPr>
                  <w:tcW w:w="1247" w:type="pct"/>
                  <w:vMerge w:val="restart"/>
                  <w:vAlign w:val="center"/>
                </w:tcPr>
                <w:p>
                  <w:pPr>
                    <w:spacing w:line="240" w:lineRule="auto"/>
                    <w:ind w:firstLine="0" w:firstLineChars="0"/>
                    <w:jc w:val="center"/>
                    <w:rPr>
                      <w:sz w:val="21"/>
                      <w:szCs w:val="21"/>
                    </w:rPr>
                  </w:pPr>
                  <w:r>
                    <w:rPr>
                      <w:sz w:val="21"/>
                      <w:szCs w:val="21"/>
                    </w:rPr>
                    <w:t xml:space="preserve">40 </w:t>
                  </w:r>
                  <w:r>
                    <w:rPr>
                      <w:rFonts w:hint="eastAsia"/>
                      <w:sz w:val="21"/>
                      <w:szCs w:val="21"/>
                    </w:rPr>
                    <w:t>万t/a</w:t>
                  </w:r>
                </w:p>
              </w:tc>
              <w:tc>
                <w:tcPr>
                  <w:tcW w:w="779" w:type="pct"/>
                  <w:vAlign w:val="center"/>
                </w:tcPr>
                <w:p>
                  <w:pPr>
                    <w:spacing w:line="240" w:lineRule="auto"/>
                    <w:ind w:firstLine="0" w:firstLineChars="0"/>
                    <w:jc w:val="center"/>
                    <w:rPr>
                      <w:sz w:val="21"/>
                      <w:szCs w:val="21"/>
                    </w:rPr>
                  </w:pPr>
                  <w:r>
                    <w:rPr>
                      <w:rFonts w:hint="eastAsia"/>
                      <w:sz w:val="21"/>
                      <w:szCs w:val="21"/>
                    </w:rPr>
                    <w:t>建筑骨料</w:t>
                  </w:r>
                </w:p>
              </w:tc>
              <w:tc>
                <w:tcPr>
                  <w:tcW w:w="2259" w:type="pct"/>
                  <w:vAlign w:val="center"/>
                </w:tcPr>
                <w:p>
                  <w:pPr>
                    <w:spacing w:line="240" w:lineRule="auto"/>
                    <w:ind w:firstLine="0" w:firstLineChars="0"/>
                    <w:jc w:val="center"/>
                    <w:rPr>
                      <w:bCs/>
                      <w:sz w:val="21"/>
                      <w:szCs w:val="21"/>
                    </w:rPr>
                  </w:pPr>
                  <w:r>
                    <w:rPr>
                      <w:bCs/>
                      <w:sz w:val="21"/>
                      <w:szCs w:val="21"/>
                    </w:rPr>
                    <w:t>30</w:t>
                  </w:r>
                  <w:r>
                    <w:rPr>
                      <w:rFonts w:hint="eastAsia"/>
                      <w:bCs/>
                      <w:sz w:val="21"/>
                      <w:szCs w:val="21"/>
                    </w:rPr>
                    <w:t>万吨/年</w:t>
                  </w:r>
                </w:p>
                <w:p>
                  <w:pPr>
                    <w:spacing w:line="240" w:lineRule="auto"/>
                    <w:ind w:firstLine="0" w:firstLineChars="0"/>
                    <w:jc w:val="center"/>
                    <w:rPr>
                      <w:sz w:val="21"/>
                      <w:szCs w:val="21"/>
                    </w:rPr>
                  </w:pPr>
                  <w:r>
                    <w:rPr>
                      <w:rFonts w:hint="eastAsia"/>
                      <w:bCs/>
                      <w:sz w:val="21"/>
                      <w:szCs w:val="21"/>
                    </w:rPr>
                    <w:t>（其中有组织粉尘排放量为1</w:t>
                  </w:r>
                  <w:r>
                    <w:rPr>
                      <w:bCs/>
                      <w:sz w:val="21"/>
                      <w:szCs w:val="21"/>
                    </w:rPr>
                    <w:t>.44</w:t>
                  </w:r>
                  <w:r>
                    <w:rPr>
                      <w:rFonts w:hint="eastAsia"/>
                      <w:bCs/>
                      <w:sz w:val="21"/>
                      <w:szCs w:val="21"/>
                    </w:rPr>
                    <w:t>t/a，除尘灰约2</w:t>
                  </w:r>
                  <w:r>
                    <w:rPr>
                      <w:bCs/>
                      <w:sz w:val="21"/>
                      <w:szCs w:val="21"/>
                    </w:rPr>
                    <w:t>86</w:t>
                  </w:r>
                  <w:r>
                    <w:rPr>
                      <w:rFonts w:hint="eastAsia"/>
                      <w:bCs/>
                      <w:sz w:val="21"/>
                      <w:szCs w:val="21"/>
                    </w:rPr>
                    <w:t>t/a作为产品外售）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pct"/>
                  <w:vMerge w:val="continue"/>
                  <w:vAlign w:val="center"/>
                </w:tcPr>
                <w:p>
                  <w:pPr>
                    <w:spacing w:line="240" w:lineRule="auto"/>
                    <w:ind w:firstLine="0" w:firstLineChars="0"/>
                    <w:jc w:val="center"/>
                    <w:rPr>
                      <w:sz w:val="21"/>
                      <w:szCs w:val="21"/>
                    </w:rPr>
                  </w:pPr>
                </w:p>
              </w:tc>
              <w:tc>
                <w:tcPr>
                  <w:tcW w:w="1247" w:type="pct"/>
                  <w:vMerge w:val="continue"/>
                  <w:vAlign w:val="center"/>
                </w:tcPr>
                <w:p>
                  <w:pPr>
                    <w:spacing w:line="240" w:lineRule="auto"/>
                    <w:ind w:firstLine="0" w:firstLineChars="0"/>
                    <w:jc w:val="center"/>
                    <w:rPr>
                      <w:sz w:val="21"/>
                      <w:szCs w:val="21"/>
                    </w:rPr>
                  </w:pPr>
                </w:p>
              </w:tc>
              <w:tc>
                <w:tcPr>
                  <w:tcW w:w="779" w:type="pct"/>
                  <w:vAlign w:val="center"/>
                </w:tcPr>
                <w:p>
                  <w:pPr>
                    <w:spacing w:line="240" w:lineRule="auto"/>
                    <w:ind w:firstLine="0" w:firstLineChars="0"/>
                    <w:jc w:val="center"/>
                    <w:rPr>
                      <w:sz w:val="21"/>
                      <w:szCs w:val="21"/>
                    </w:rPr>
                  </w:pPr>
                  <w:r>
                    <w:rPr>
                      <w:rFonts w:hint="eastAsia"/>
                      <w:bCs/>
                      <w:sz w:val="21"/>
                      <w:szCs w:val="21"/>
                    </w:rPr>
                    <w:t>尾矿微粉</w:t>
                  </w:r>
                </w:p>
              </w:tc>
              <w:tc>
                <w:tcPr>
                  <w:tcW w:w="2259" w:type="pct"/>
                  <w:vAlign w:val="center"/>
                </w:tcPr>
                <w:p>
                  <w:pPr>
                    <w:spacing w:line="240" w:lineRule="auto"/>
                    <w:ind w:firstLine="0" w:firstLineChars="0"/>
                    <w:jc w:val="center"/>
                    <w:rPr>
                      <w:bCs/>
                      <w:sz w:val="21"/>
                      <w:szCs w:val="21"/>
                    </w:rPr>
                  </w:pPr>
                  <w:r>
                    <w:rPr>
                      <w:bCs/>
                      <w:sz w:val="21"/>
                      <w:szCs w:val="21"/>
                    </w:rPr>
                    <w:t>10</w:t>
                  </w:r>
                  <w:r>
                    <w:rPr>
                      <w:rFonts w:hint="eastAsia"/>
                      <w:bCs/>
                      <w:sz w:val="21"/>
                      <w:szCs w:val="21"/>
                    </w:rPr>
                    <w:t>万吨/年</w:t>
                  </w:r>
                </w:p>
                <w:p>
                  <w:pPr>
                    <w:spacing w:line="240" w:lineRule="auto"/>
                    <w:ind w:firstLine="0" w:firstLineChars="0"/>
                    <w:jc w:val="center"/>
                    <w:rPr>
                      <w:bCs/>
                      <w:sz w:val="21"/>
                      <w:szCs w:val="21"/>
                    </w:rPr>
                  </w:pPr>
                  <w:r>
                    <w:rPr>
                      <w:rFonts w:hint="eastAsia"/>
                      <w:bCs/>
                      <w:sz w:val="21"/>
                      <w:szCs w:val="21"/>
                    </w:rPr>
                    <w:t>（其中有组织粉尘排放量为1</w:t>
                  </w:r>
                  <w:r>
                    <w:rPr>
                      <w:bCs/>
                      <w:sz w:val="21"/>
                      <w:szCs w:val="21"/>
                    </w:rPr>
                    <w:t>.44</w:t>
                  </w:r>
                  <w:r>
                    <w:rPr>
                      <w:rFonts w:hint="eastAsia"/>
                      <w:bCs/>
                      <w:sz w:val="21"/>
                      <w:szCs w:val="21"/>
                    </w:rPr>
                    <w:t>t/a，除尘灰约2</w:t>
                  </w:r>
                  <w:r>
                    <w:rPr>
                      <w:bCs/>
                      <w:sz w:val="21"/>
                      <w:szCs w:val="21"/>
                    </w:rPr>
                    <w:t>86</w:t>
                  </w:r>
                  <w:r>
                    <w:rPr>
                      <w:rFonts w:hint="eastAsia"/>
                      <w:bCs/>
                      <w:sz w:val="21"/>
                      <w:szCs w:val="21"/>
                    </w:rPr>
                    <w:t>t/a作为产品外售）</w:t>
                  </w:r>
                </w:p>
              </w:tc>
            </w:tr>
          </w:tbl>
          <w:p>
            <w:pPr>
              <w:ind w:firstLine="0" w:firstLineChars="0"/>
              <w:rPr>
                <w:b/>
                <w:bCs/>
              </w:rPr>
            </w:pPr>
            <w:r>
              <w:rPr>
                <w:rFonts w:hint="eastAsia"/>
                <w:b/>
                <w:bCs/>
              </w:rPr>
              <w:t>5、建设地址</w:t>
            </w:r>
          </w:p>
          <w:p>
            <w:pPr>
              <w:ind w:firstLine="480"/>
            </w:pPr>
            <w:r>
              <w:t>本次改扩建项目厂址</w:t>
            </w:r>
            <w:r>
              <w:rPr>
                <w:rFonts w:hint="eastAsia"/>
              </w:rPr>
              <w:t>位于现有工程厂内外南侧，本次改扩建项目厂址和现有工程厂址为两个厂址，本次改扩建项目厂址为利用原废弃洗煤厂厂址。拟建厂址位于交城县水峪贯镇西冶村东南约4</w:t>
            </w:r>
            <w:r>
              <w:t>00m</w:t>
            </w:r>
            <w:r>
              <w:rPr>
                <w:rFonts w:hint="eastAsia"/>
              </w:rPr>
              <w:t>处，总占地面积约3</w:t>
            </w:r>
            <w:r>
              <w:t>7500</w:t>
            </w:r>
            <w:r>
              <w:rPr>
                <w:rFonts w:hint="eastAsia"/>
              </w:rPr>
              <w:t>平方米，中心点坐标为；E</w:t>
            </w:r>
            <w:r>
              <w:t>111.921354</w:t>
            </w:r>
            <w:r>
              <w:rPr>
                <w:rFonts w:hint="eastAsia"/>
              </w:rPr>
              <w:t>°，N</w:t>
            </w:r>
            <w:r>
              <w:t>37.669642</w:t>
            </w:r>
            <w:r>
              <w:rPr>
                <w:rFonts w:hint="eastAsia"/>
              </w:rPr>
              <w:t>°；本项目拟建场地利用废弃洗煤厂（交城县西冶兴威蜂窝煤厂）场地，场地现存原煤库、精煤库、办公生活设施、地磅等可供利用，其余设施不进行利用，暂不拆除。该洗煤厂于2</w:t>
            </w:r>
            <w:r>
              <w:t>016</w:t>
            </w:r>
            <w:r>
              <w:rPr>
                <w:rFonts w:hint="eastAsia"/>
              </w:rPr>
              <w:t>年1</w:t>
            </w:r>
            <w:r>
              <w:t>2</w:t>
            </w:r>
            <w:r>
              <w:rPr>
                <w:rFonts w:hint="eastAsia"/>
              </w:rPr>
              <w:t>月3</w:t>
            </w:r>
            <w:r>
              <w:t>1</w:t>
            </w:r>
            <w:r>
              <w:rPr>
                <w:rFonts w:hint="eastAsia"/>
              </w:rPr>
              <w:t>日由原交城县环境保护局以交环备案[</w:t>
            </w:r>
            <w:r>
              <w:t>2016]29</w:t>
            </w:r>
            <w:r>
              <w:rPr>
                <w:rFonts w:hint="eastAsia"/>
              </w:rPr>
              <w:t>号予以环保备案（关于交城县西冶兴威蜂窝煤厂年产6</w:t>
            </w:r>
            <w:r>
              <w:t>0</w:t>
            </w:r>
            <w:r>
              <w:rPr>
                <w:rFonts w:hint="eastAsia"/>
              </w:rPr>
              <w:t>万吨无烟煤分级加工项目环保备案的意见），现因市场及政策原因，该洗煤厂目前已停产废弃。</w:t>
            </w:r>
          </w:p>
          <w:p>
            <w:pPr>
              <w:ind w:firstLine="480"/>
              <w:rPr>
                <w:bCs/>
              </w:rPr>
            </w:pPr>
            <w:r>
              <w:rPr>
                <w:rFonts w:hint="eastAsia"/>
              </w:rPr>
              <w:t>厂址地理位置见附图1，四邻关系</w:t>
            </w:r>
            <w:r>
              <w:t>见附图4。</w:t>
            </w:r>
          </w:p>
          <w:p>
            <w:pPr>
              <w:ind w:firstLine="0" w:firstLineChars="0"/>
              <w:rPr>
                <w:rFonts w:hAnsi="宋体"/>
                <w:b/>
              </w:rPr>
            </w:pPr>
            <w:r>
              <w:rPr>
                <w:rFonts w:hint="eastAsia" w:hAnsi="宋体"/>
                <w:b/>
              </w:rPr>
              <w:t>6、主要建设内容</w:t>
            </w:r>
          </w:p>
          <w:p>
            <w:pPr>
              <w:ind w:firstLine="480"/>
            </w:pPr>
            <w:r>
              <w:rPr>
                <w:rFonts w:hint="eastAsia"/>
              </w:rPr>
              <w:t>本项目主要建设内容包括原料库、生产车间、成品库、地磅、洗车平台等，同时配套建设相关环保、安全等辅助设施。项目建成后，形成4</w:t>
            </w:r>
            <w:r>
              <w:t>0</w:t>
            </w:r>
            <w:r>
              <w:rPr>
                <w:rFonts w:hint="eastAsia"/>
              </w:rPr>
              <w:t>万吨/年建筑骨料及微粉的生产能力，其中建筑骨料生产能力为3</w:t>
            </w:r>
            <w:r>
              <w:t>0</w:t>
            </w:r>
            <w:r>
              <w:rPr>
                <w:rFonts w:hint="eastAsia"/>
              </w:rPr>
              <w:t>万吨/年，微粉生产能力为1</w:t>
            </w:r>
            <w:r>
              <w:t>0</w:t>
            </w:r>
            <w:r>
              <w:rPr>
                <w:rFonts w:hint="eastAsia"/>
              </w:rPr>
              <w:t>万吨/年。</w:t>
            </w:r>
          </w:p>
          <w:p>
            <w:pPr>
              <w:ind w:firstLine="480"/>
            </w:pPr>
            <w:r>
              <w:rPr>
                <w:rFonts w:hint="eastAsia"/>
                <w:bCs/>
              </w:rPr>
              <w:t>本项目主要建设内容见表</w:t>
            </w:r>
            <w:r>
              <w:rPr>
                <w:bCs/>
              </w:rPr>
              <w:t>4</w:t>
            </w:r>
            <w:r>
              <w:rPr>
                <w:rFonts w:hint="eastAsia"/>
                <w:bCs/>
              </w:rPr>
              <w:t>。</w:t>
            </w:r>
          </w:p>
          <w:p>
            <w:pPr>
              <w:ind w:firstLine="0" w:firstLineChars="0"/>
              <w:jc w:val="center"/>
              <w:rPr>
                <w:rFonts w:ascii="黑体" w:hAnsi="黑体" w:eastAsia="黑体"/>
              </w:rPr>
            </w:pPr>
            <w:r>
              <w:rPr>
                <w:rFonts w:ascii="黑体" w:hAnsi="黑体" w:eastAsia="黑体"/>
              </w:rPr>
              <w:t>表4</w:t>
            </w:r>
            <w:r>
              <w:rPr>
                <w:rFonts w:hint="eastAsia" w:ascii="黑体" w:hAnsi="黑体" w:eastAsia="黑体"/>
              </w:rPr>
              <w:t xml:space="preserve">  建设内容一览表</w:t>
            </w:r>
          </w:p>
          <w:tbl>
            <w:tblPr>
              <w:tblStyle w:val="71"/>
              <w:tblW w:w="91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6"/>
              <w:gridCol w:w="480"/>
              <w:gridCol w:w="1419"/>
              <w:gridCol w:w="4841"/>
              <w:gridCol w:w="17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85" w:type="dxa"/>
                  <w:gridSpan w:val="3"/>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工程名称</w:t>
                  </w:r>
                </w:p>
              </w:tc>
              <w:tc>
                <w:tcPr>
                  <w:tcW w:w="4841"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主要建设内容</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restar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主体工程</w:t>
                  </w:r>
                </w:p>
              </w:tc>
              <w:tc>
                <w:tcPr>
                  <w:tcW w:w="1899" w:type="dxa"/>
                  <w:gridSpan w:val="2"/>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建筑骨料生产线</w:t>
                  </w:r>
                </w:p>
              </w:tc>
              <w:tc>
                <w:tcPr>
                  <w:tcW w:w="4841" w:type="dxa"/>
                  <w:vAlign w:val="center"/>
                </w:tcPr>
                <w:p>
                  <w:pPr>
                    <w:pStyle w:val="144"/>
                    <w:snapToGrid/>
                    <w:spacing w:before="0" w:after="0" w:line="240" w:lineRule="auto"/>
                    <w:ind w:firstLine="0" w:firstLineChars="0"/>
                    <w:jc w:val="left"/>
                    <w:rPr>
                      <w:rFonts w:hAnsi="宋体"/>
                      <w:bCs/>
                      <w:sz w:val="21"/>
                      <w:szCs w:val="21"/>
                    </w:rPr>
                  </w:pPr>
                  <w:r>
                    <w:rPr>
                      <w:rFonts w:hint="eastAsia" w:hAnsi="宋体"/>
                      <w:bCs/>
                      <w:sz w:val="21"/>
                      <w:szCs w:val="21"/>
                    </w:rPr>
                    <w:t>粗破及中间料仓位于原料库内，细破、冲击破、振动筛位于成品库内；原料库及成品库利用废弃洗煤厂内现有原煤库及精煤库。其中原料库</w:t>
                  </w:r>
                  <w:r>
                    <w:rPr>
                      <w:sz w:val="21"/>
                      <w:szCs w:val="21"/>
                    </w:rPr>
                    <w:t>60m</w:t>
                  </w:r>
                  <w:r>
                    <w:rPr>
                      <w:rFonts w:hint="eastAsia"/>
                      <w:sz w:val="21"/>
                      <w:szCs w:val="21"/>
                    </w:rPr>
                    <w:t>×</w:t>
                  </w:r>
                  <w:r>
                    <w:rPr>
                      <w:sz w:val="21"/>
                      <w:szCs w:val="21"/>
                    </w:rPr>
                    <w:t>32</w:t>
                  </w:r>
                  <w:r>
                    <w:rPr>
                      <w:rFonts w:hint="eastAsia"/>
                      <w:sz w:val="21"/>
                      <w:szCs w:val="21"/>
                    </w:rPr>
                    <w:t>m，全封闭钢结构；成品库</w:t>
                  </w:r>
                  <w:r>
                    <w:rPr>
                      <w:rFonts w:hint="eastAsia" w:hAnsi="宋体"/>
                      <w:bCs/>
                      <w:sz w:val="21"/>
                      <w:szCs w:val="21"/>
                    </w:rPr>
                    <w:t>2</w:t>
                  </w:r>
                  <w:r>
                    <w:rPr>
                      <w:rFonts w:hAnsi="宋体"/>
                      <w:bCs/>
                      <w:sz w:val="21"/>
                      <w:szCs w:val="21"/>
                    </w:rPr>
                    <w:t>15</w:t>
                  </w:r>
                  <w:r>
                    <w:rPr>
                      <w:rFonts w:hint="eastAsia" w:hAnsi="宋体"/>
                      <w:bCs/>
                      <w:sz w:val="21"/>
                      <w:szCs w:val="21"/>
                    </w:rPr>
                    <w:t>m</w:t>
                  </w:r>
                  <w:r>
                    <w:rPr>
                      <w:rFonts w:hint="eastAsia"/>
                      <w:sz w:val="21"/>
                      <w:szCs w:val="21"/>
                    </w:rPr>
                    <w:t>×</w:t>
                  </w:r>
                  <w:r>
                    <w:rPr>
                      <w:sz w:val="21"/>
                      <w:szCs w:val="21"/>
                    </w:rPr>
                    <w:t>32</w:t>
                  </w:r>
                  <w:r>
                    <w:rPr>
                      <w:rFonts w:hint="eastAsia"/>
                      <w:sz w:val="21"/>
                      <w:szCs w:val="21"/>
                    </w:rPr>
                    <w:t>m，全封闭钢结构。</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车间利旧，新增建筑骨料生产设备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continue"/>
                  <w:vAlign w:val="center"/>
                </w:tcPr>
                <w:p>
                  <w:pPr>
                    <w:pStyle w:val="144"/>
                    <w:snapToGrid/>
                    <w:spacing w:before="0" w:after="0" w:line="240" w:lineRule="auto"/>
                    <w:ind w:firstLine="0" w:firstLineChars="0"/>
                    <w:jc w:val="center"/>
                    <w:rPr>
                      <w:rFonts w:hAnsi="宋体"/>
                      <w:bCs/>
                      <w:sz w:val="21"/>
                      <w:szCs w:val="21"/>
                    </w:rPr>
                  </w:pPr>
                </w:p>
              </w:tc>
              <w:tc>
                <w:tcPr>
                  <w:tcW w:w="1899" w:type="dxa"/>
                  <w:gridSpan w:val="2"/>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微粉生产线</w:t>
                  </w:r>
                </w:p>
              </w:tc>
              <w:tc>
                <w:tcPr>
                  <w:tcW w:w="4841" w:type="dxa"/>
                  <w:vAlign w:val="center"/>
                </w:tcPr>
                <w:p>
                  <w:pPr>
                    <w:pStyle w:val="144"/>
                    <w:snapToGrid/>
                    <w:spacing w:before="0" w:after="0" w:line="240" w:lineRule="auto"/>
                    <w:ind w:firstLine="0" w:firstLineChars="0"/>
                    <w:jc w:val="left"/>
                    <w:rPr>
                      <w:sz w:val="21"/>
                      <w:szCs w:val="21"/>
                    </w:rPr>
                  </w:pPr>
                  <w:r>
                    <w:rPr>
                      <w:rFonts w:hint="eastAsia"/>
                      <w:sz w:val="21"/>
                      <w:szCs w:val="21"/>
                    </w:rPr>
                    <w:t>设1座微粉生产车间，</w:t>
                  </w:r>
                  <w:r>
                    <w:rPr>
                      <w:sz w:val="21"/>
                      <w:szCs w:val="21"/>
                    </w:rPr>
                    <w:t>130m</w:t>
                  </w:r>
                  <w:r>
                    <w:rPr>
                      <w:rFonts w:hint="eastAsia"/>
                      <w:sz w:val="21"/>
                      <w:szCs w:val="21"/>
                    </w:rPr>
                    <w:t>×</w:t>
                  </w:r>
                  <w:r>
                    <w:rPr>
                      <w:sz w:val="21"/>
                      <w:szCs w:val="21"/>
                    </w:rPr>
                    <w:t>50</w:t>
                  </w:r>
                  <w:r>
                    <w:rPr>
                      <w:rFonts w:hint="eastAsia"/>
                      <w:sz w:val="21"/>
                      <w:szCs w:val="21"/>
                    </w:rPr>
                    <w:t>m，钢结构，内设1台粗破、2台细破、1套超细破碎机、1台振动筛。</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restar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储运工程</w:t>
                  </w:r>
                </w:p>
              </w:tc>
              <w:tc>
                <w:tcPr>
                  <w:tcW w:w="1899" w:type="dxa"/>
                  <w:gridSpan w:val="2"/>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原料库</w:t>
                  </w:r>
                </w:p>
              </w:tc>
              <w:tc>
                <w:tcPr>
                  <w:tcW w:w="4841" w:type="dxa"/>
                  <w:vAlign w:val="center"/>
                </w:tcPr>
                <w:p>
                  <w:pPr>
                    <w:pStyle w:val="144"/>
                    <w:snapToGrid/>
                    <w:spacing w:before="0" w:after="0" w:line="240" w:lineRule="auto"/>
                    <w:ind w:firstLine="0" w:firstLineChars="0"/>
                    <w:jc w:val="left"/>
                    <w:rPr>
                      <w:sz w:val="21"/>
                      <w:szCs w:val="21"/>
                    </w:rPr>
                  </w:pPr>
                  <w:r>
                    <w:rPr>
                      <w:rFonts w:hint="eastAsia"/>
                      <w:sz w:val="21"/>
                      <w:szCs w:val="21"/>
                    </w:rPr>
                    <w:t>1座，</w:t>
                  </w:r>
                  <w:r>
                    <w:rPr>
                      <w:sz w:val="21"/>
                      <w:szCs w:val="21"/>
                    </w:rPr>
                    <w:t>60m</w:t>
                  </w:r>
                  <w:r>
                    <w:rPr>
                      <w:rFonts w:hint="eastAsia"/>
                      <w:sz w:val="21"/>
                      <w:szCs w:val="21"/>
                    </w:rPr>
                    <w:t>×</w:t>
                  </w:r>
                  <w:r>
                    <w:rPr>
                      <w:sz w:val="21"/>
                      <w:szCs w:val="21"/>
                    </w:rPr>
                    <w:t>32</w:t>
                  </w:r>
                  <w:r>
                    <w:rPr>
                      <w:rFonts w:hint="eastAsia"/>
                      <w:sz w:val="21"/>
                      <w:szCs w:val="21"/>
                    </w:rPr>
                    <w:t>m，全封闭钢结构。可堆存原料约6</w:t>
                  </w:r>
                  <w:r>
                    <w:rPr>
                      <w:sz w:val="21"/>
                      <w:szCs w:val="21"/>
                    </w:rPr>
                    <w:t>000</w:t>
                  </w:r>
                  <w:r>
                    <w:rPr>
                      <w:rFonts w:hint="eastAsia"/>
                      <w:sz w:val="21"/>
                      <w:szCs w:val="21"/>
                    </w:rPr>
                    <w:t>t，可满足4-</w:t>
                  </w:r>
                  <w:r>
                    <w:rPr>
                      <w:sz w:val="21"/>
                      <w:szCs w:val="21"/>
                    </w:rPr>
                    <w:t>5</w:t>
                  </w:r>
                  <w:r>
                    <w:rPr>
                      <w:rFonts w:hint="eastAsia"/>
                      <w:sz w:val="21"/>
                      <w:szCs w:val="21"/>
                    </w:rPr>
                    <w:t>天生产用量。</w:t>
                  </w:r>
                </w:p>
              </w:tc>
              <w:tc>
                <w:tcPr>
                  <w:tcW w:w="1704" w:type="dxa"/>
                  <w:vMerge w:val="restar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利用废弃洗煤厂内现有原煤库及精煤库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continue"/>
                  <w:vAlign w:val="center"/>
                </w:tcPr>
                <w:p>
                  <w:pPr>
                    <w:pStyle w:val="144"/>
                    <w:snapToGrid/>
                    <w:spacing w:before="0" w:after="0" w:line="240" w:lineRule="auto"/>
                    <w:ind w:firstLine="0" w:firstLineChars="0"/>
                    <w:jc w:val="center"/>
                    <w:rPr>
                      <w:rFonts w:hAnsi="宋体"/>
                      <w:bCs/>
                      <w:sz w:val="21"/>
                      <w:szCs w:val="21"/>
                    </w:rPr>
                  </w:pPr>
                </w:p>
              </w:tc>
              <w:tc>
                <w:tcPr>
                  <w:tcW w:w="1899" w:type="dxa"/>
                  <w:gridSpan w:val="2"/>
                  <w:vAlign w:val="center"/>
                </w:tcPr>
                <w:p>
                  <w:pPr>
                    <w:pStyle w:val="144"/>
                    <w:snapToGrid/>
                    <w:spacing w:before="0" w:after="0" w:line="240" w:lineRule="auto"/>
                    <w:ind w:firstLine="0" w:firstLineChars="0"/>
                    <w:jc w:val="center"/>
                    <w:rPr>
                      <w:rFonts w:hAnsi="宋体"/>
                      <w:bCs/>
                      <w:sz w:val="21"/>
                      <w:szCs w:val="21"/>
                    </w:rPr>
                  </w:pPr>
                  <w:r>
                    <w:rPr>
                      <w:rFonts w:hint="eastAsia" w:hAnsi="宋体"/>
                      <w:sz w:val="21"/>
                      <w:szCs w:val="21"/>
                    </w:rPr>
                    <w:t>成品库</w:t>
                  </w:r>
                </w:p>
              </w:tc>
              <w:tc>
                <w:tcPr>
                  <w:tcW w:w="4841" w:type="dxa"/>
                  <w:vAlign w:val="center"/>
                </w:tcPr>
                <w:p>
                  <w:pPr>
                    <w:pStyle w:val="144"/>
                    <w:snapToGrid/>
                    <w:spacing w:before="0" w:after="0" w:line="240" w:lineRule="auto"/>
                    <w:ind w:firstLine="0" w:firstLineChars="0"/>
                    <w:jc w:val="left"/>
                    <w:rPr>
                      <w:sz w:val="21"/>
                      <w:szCs w:val="21"/>
                    </w:rPr>
                  </w:pPr>
                  <w:r>
                    <w:rPr>
                      <w:rFonts w:hint="eastAsia"/>
                      <w:sz w:val="21"/>
                      <w:szCs w:val="21"/>
                    </w:rPr>
                    <w:t>1座，</w:t>
                  </w:r>
                  <w:r>
                    <w:rPr>
                      <w:rFonts w:hint="eastAsia" w:hAnsi="宋体"/>
                      <w:bCs/>
                      <w:sz w:val="21"/>
                      <w:szCs w:val="21"/>
                    </w:rPr>
                    <w:t>2</w:t>
                  </w:r>
                  <w:r>
                    <w:rPr>
                      <w:rFonts w:hAnsi="宋体"/>
                      <w:bCs/>
                      <w:sz w:val="21"/>
                      <w:szCs w:val="21"/>
                    </w:rPr>
                    <w:t>15</w:t>
                  </w:r>
                  <w:r>
                    <w:rPr>
                      <w:rFonts w:hint="eastAsia" w:hAnsi="宋体"/>
                      <w:bCs/>
                      <w:sz w:val="21"/>
                      <w:szCs w:val="21"/>
                    </w:rPr>
                    <w:t>m</w:t>
                  </w:r>
                  <w:r>
                    <w:rPr>
                      <w:rFonts w:hint="eastAsia"/>
                      <w:sz w:val="21"/>
                      <w:szCs w:val="21"/>
                    </w:rPr>
                    <w:t>×</w:t>
                  </w:r>
                  <w:r>
                    <w:rPr>
                      <w:sz w:val="21"/>
                      <w:szCs w:val="21"/>
                    </w:rPr>
                    <w:t>32</w:t>
                  </w:r>
                  <w:r>
                    <w:rPr>
                      <w:rFonts w:hint="eastAsia"/>
                      <w:sz w:val="21"/>
                      <w:szCs w:val="21"/>
                    </w:rPr>
                    <w:t>m，全封闭钢结构。可堆存成品约1</w:t>
                  </w:r>
                  <w:r>
                    <w:rPr>
                      <w:sz w:val="21"/>
                      <w:szCs w:val="21"/>
                    </w:rPr>
                    <w:t>5000</w:t>
                  </w:r>
                  <w:r>
                    <w:rPr>
                      <w:rFonts w:hint="eastAsia"/>
                      <w:sz w:val="21"/>
                      <w:szCs w:val="21"/>
                    </w:rPr>
                    <w:t>t，约1</w:t>
                  </w:r>
                  <w:r>
                    <w:rPr>
                      <w:sz w:val="21"/>
                      <w:szCs w:val="21"/>
                    </w:rPr>
                    <w:t>1</w:t>
                  </w:r>
                  <w:r>
                    <w:rPr>
                      <w:rFonts w:hint="eastAsia"/>
                      <w:sz w:val="21"/>
                      <w:szCs w:val="21"/>
                    </w:rPr>
                    <w:t>天的产量。</w:t>
                  </w:r>
                </w:p>
              </w:tc>
              <w:tc>
                <w:tcPr>
                  <w:tcW w:w="1704" w:type="dxa"/>
                  <w:vMerge w:val="continue"/>
                  <w:vAlign w:val="center"/>
                </w:tcPr>
                <w:p>
                  <w:pPr>
                    <w:pStyle w:val="144"/>
                    <w:snapToGrid/>
                    <w:spacing w:before="0" w:after="0" w:line="240" w:lineRule="auto"/>
                    <w:ind w:firstLine="0" w:firstLineChars="0"/>
                    <w:jc w:val="center"/>
                    <w:rPr>
                      <w:rFonts w:hAnsi="宋体"/>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restar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辅助工程</w:t>
                  </w:r>
                </w:p>
              </w:tc>
              <w:tc>
                <w:tcPr>
                  <w:tcW w:w="1899" w:type="dxa"/>
                  <w:gridSpan w:val="2"/>
                  <w:vAlign w:val="center"/>
                </w:tcPr>
                <w:p>
                  <w:pPr>
                    <w:spacing w:line="240" w:lineRule="auto"/>
                    <w:ind w:firstLine="0" w:firstLineChars="0"/>
                    <w:jc w:val="center"/>
                    <w:rPr>
                      <w:rFonts w:hAnsi="宋体"/>
                      <w:sz w:val="21"/>
                      <w:szCs w:val="21"/>
                    </w:rPr>
                  </w:pPr>
                  <w:r>
                    <w:rPr>
                      <w:rFonts w:hint="eastAsia" w:hAnsi="宋体"/>
                      <w:sz w:val="21"/>
                      <w:szCs w:val="21"/>
                    </w:rPr>
                    <w:t>办公用房</w:t>
                  </w:r>
                </w:p>
              </w:tc>
              <w:tc>
                <w:tcPr>
                  <w:tcW w:w="4841" w:type="dxa"/>
                  <w:vAlign w:val="center"/>
                </w:tcPr>
                <w:p>
                  <w:pPr>
                    <w:spacing w:line="240" w:lineRule="auto"/>
                    <w:ind w:firstLine="0" w:firstLineChars="0"/>
                    <w:jc w:val="left"/>
                    <w:rPr>
                      <w:sz w:val="21"/>
                      <w:szCs w:val="21"/>
                    </w:rPr>
                  </w:pPr>
                  <w:r>
                    <w:rPr>
                      <w:sz w:val="21"/>
                      <w:szCs w:val="21"/>
                    </w:rPr>
                    <w:t>50m×10m，砖混结构</w:t>
                  </w:r>
                  <w:r>
                    <w:rPr>
                      <w:rFonts w:hint="eastAsia"/>
                      <w:sz w:val="21"/>
                      <w:szCs w:val="21"/>
                    </w:rPr>
                    <w:t>，</w:t>
                  </w:r>
                  <w:r>
                    <w:rPr>
                      <w:sz w:val="21"/>
                      <w:szCs w:val="21"/>
                    </w:rPr>
                    <w:t>1F</w:t>
                  </w:r>
                  <w:r>
                    <w:rPr>
                      <w:rFonts w:hint="eastAsia"/>
                      <w:sz w:val="21"/>
                      <w:szCs w:val="21"/>
                    </w:rPr>
                    <w:t>。</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利用厂区内现有办公用房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continue"/>
                  <w:vAlign w:val="center"/>
                </w:tcPr>
                <w:p>
                  <w:pPr>
                    <w:pStyle w:val="144"/>
                    <w:spacing w:before="0" w:after="0" w:line="240" w:lineRule="auto"/>
                    <w:ind w:firstLine="420"/>
                    <w:jc w:val="center"/>
                    <w:rPr>
                      <w:rFonts w:hAnsi="宋体"/>
                      <w:bCs/>
                      <w:sz w:val="21"/>
                      <w:szCs w:val="21"/>
                    </w:rPr>
                  </w:pPr>
                </w:p>
              </w:tc>
              <w:tc>
                <w:tcPr>
                  <w:tcW w:w="1899" w:type="dxa"/>
                  <w:gridSpan w:val="2"/>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地磅</w:t>
                  </w:r>
                </w:p>
              </w:tc>
              <w:tc>
                <w:tcPr>
                  <w:tcW w:w="4841" w:type="dxa"/>
                  <w:vAlign w:val="center"/>
                </w:tcPr>
                <w:p>
                  <w:pPr>
                    <w:pStyle w:val="144"/>
                    <w:snapToGrid/>
                    <w:spacing w:before="0" w:after="0" w:line="240" w:lineRule="auto"/>
                    <w:ind w:firstLine="0" w:firstLineChars="0"/>
                    <w:jc w:val="left"/>
                    <w:rPr>
                      <w:rFonts w:hAnsi="宋体"/>
                      <w:bCs/>
                      <w:sz w:val="21"/>
                      <w:szCs w:val="21"/>
                    </w:rPr>
                  </w:pPr>
                  <w:r>
                    <w:rPr>
                      <w:rFonts w:hint="eastAsia"/>
                      <w:sz w:val="21"/>
                      <w:szCs w:val="21"/>
                    </w:rPr>
                    <w:t>1</w:t>
                  </w:r>
                  <w:r>
                    <w:rPr>
                      <w:sz w:val="21"/>
                      <w:szCs w:val="21"/>
                    </w:rPr>
                    <w:t>50</w:t>
                  </w:r>
                  <w:r>
                    <w:rPr>
                      <w:rFonts w:hint="eastAsia"/>
                      <w:sz w:val="21"/>
                      <w:szCs w:val="21"/>
                    </w:rPr>
                    <w:t>吨地磅</w:t>
                  </w:r>
                  <w:r>
                    <w:rPr>
                      <w:sz w:val="21"/>
                      <w:szCs w:val="21"/>
                    </w:rPr>
                    <w:t>2</w:t>
                  </w:r>
                  <w:r>
                    <w:rPr>
                      <w:rFonts w:hint="eastAsia"/>
                      <w:sz w:val="21"/>
                      <w:szCs w:val="21"/>
                    </w:rPr>
                    <w:t>座。</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利用厂区内现有地磅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continue"/>
                  <w:vAlign w:val="center"/>
                </w:tcPr>
                <w:p>
                  <w:pPr>
                    <w:pStyle w:val="144"/>
                    <w:spacing w:before="0" w:after="0" w:line="240" w:lineRule="auto"/>
                    <w:ind w:firstLine="420"/>
                    <w:jc w:val="center"/>
                    <w:rPr>
                      <w:rFonts w:hAnsi="宋体"/>
                      <w:bCs/>
                      <w:sz w:val="21"/>
                      <w:szCs w:val="21"/>
                    </w:rPr>
                  </w:pPr>
                </w:p>
              </w:tc>
              <w:tc>
                <w:tcPr>
                  <w:tcW w:w="1899" w:type="dxa"/>
                  <w:gridSpan w:val="2"/>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洗车平台</w:t>
                  </w:r>
                </w:p>
              </w:tc>
              <w:tc>
                <w:tcPr>
                  <w:tcW w:w="4841" w:type="dxa"/>
                  <w:vAlign w:val="center"/>
                </w:tcPr>
                <w:p>
                  <w:pPr>
                    <w:pStyle w:val="144"/>
                    <w:snapToGrid/>
                    <w:spacing w:before="0" w:after="0" w:line="240" w:lineRule="auto"/>
                    <w:ind w:firstLine="0" w:firstLineChars="0"/>
                    <w:jc w:val="left"/>
                    <w:rPr>
                      <w:sz w:val="21"/>
                      <w:szCs w:val="21"/>
                    </w:rPr>
                  </w:pPr>
                  <w:r>
                    <w:rPr>
                      <w:sz w:val="21"/>
                      <w:szCs w:val="21"/>
                    </w:rPr>
                    <w:t>20m</w:t>
                  </w:r>
                  <w:r>
                    <w:rPr>
                      <w:rFonts w:hint="eastAsia"/>
                      <w:sz w:val="21"/>
                      <w:szCs w:val="21"/>
                    </w:rPr>
                    <w:t>×</w:t>
                  </w:r>
                  <w:r>
                    <w:rPr>
                      <w:sz w:val="21"/>
                      <w:szCs w:val="21"/>
                    </w:rPr>
                    <w:t>5</w:t>
                  </w:r>
                  <w:r>
                    <w:rPr>
                      <w:rFonts w:hint="eastAsia"/>
                      <w:sz w:val="21"/>
                      <w:szCs w:val="21"/>
                    </w:rPr>
                    <w:t>m，用于清洗进出车辆；配套沉淀池(</w:t>
                  </w:r>
                  <w:r>
                    <w:rPr>
                      <w:sz w:val="21"/>
                      <w:szCs w:val="21"/>
                    </w:rPr>
                    <w:t>10m</w:t>
                  </w:r>
                  <w:r>
                    <w:rPr>
                      <w:sz w:val="21"/>
                      <w:szCs w:val="21"/>
                      <w:vertAlign w:val="superscript"/>
                    </w:rPr>
                    <w:t>3</w:t>
                  </w:r>
                  <w:r>
                    <w:rPr>
                      <w:sz w:val="21"/>
                      <w:szCs w:val="21"/>
                    </w:rPr>
                    <w:t>)</w:t>
                  </w:r>
                  <w:r>
                    <w:rPr>
                      <w:rFonts w:hint="eastAsia"/>
                      <w:sz w:val="21"/>
                      <w:szCs w:val="21"/>
                    </w:rPr>
                    <w:t>、清水池(</w:t>
                  </w:r>
                  <w:r>
                    <w:rPr>
                      <w:sz w:val="21"/>
                      <w:szCs w:val="21"/>
                    </w:rPr>
                    <w:t>10m</w:t>
                  </w:r>
                  <w:r>
                    <w:rPr>
                      <w:sz w:val="21"/>
                      <w:szCs w:val="21"/>
                      <w:vertAlign w:val="superscript"/>
                    </w:rPr>
                    <w:t>3</w:t>
                  </w:r>
                  <w:r>
                    <w:rPr>
                      <w:sz w:val="21"/>
                      <w:szCs w:val="21"/>
                    </w:rPr>
                    <w:t>)</w:t>
                  </w:r>
                  <w:r>
                    <w:rPr>
                      <w:rFonts w:hint="eastAsia"/>
                      <w:sz w:val="21"/>
                      <w:szCs w:val="21"/>
                    </w:rPr>
                    <w:t>。</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restar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公用工程</w:t>
                  </w:r>
                </w:p>
              </w:tc>
              <w:tc>
                <w:tcPr>
                  <w:tcW w:w="1899" w:type="dxa"/>
                  <w:gridSpan w:val="2"/>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给水</w:t>
                  </w:r>
                </w:p>
              </w:tc>
              <w:tc>
                <w:tcPr>
                  <w:tcW w:w="4841" w:type="dxa"/>
                  <w:vAlign w:val="center"/>
                </w:tcPr>
                <w:p>
                  <w:pPr>
                    <w:pStyle w:val="144"/>
                    <w:snapToGrid/>
                    <w:spacing w:before="0" w:after="0" w:line="240" w:lineRule="auto"/>
                    <w:ind w:firstLine="0" w:firstLineChars="0"/>
                    <w:jc w:val="left"/>
                    <w:rPr>
                      <w:rFonts w:hAnsi="宋体"/>
                      <w:bCs/>
                      <w:sz w:val="21"/>
                      <w:szCs w:val="21"/>
                    </w:rPr>
                  </w:pPr>
                  <w:r>
                    <w:rPr>
                      <w:rFonts w:hint="eastAsia" w:hAnsi="宋体"/>
                      <w:sz w:val="21"/>
                    </w:rPr>
                    <w:t>生产、生活用水由厂区内水井提供。</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continue"/>
                  <w:vAlign w:val="center"/>
                </w:tcPr>
                <w:p>
                  <w:pPr>
                    <w:pStyle w:val="144"/>
                    <w:snapToGrid/>
                    <w:spacing w:before="0" w:after="0" w:line="240" w:lineRule="auto"/>
                    <w:ind w:firstLine="0" w:firstLineChars="0"/>
                    <w:jc w:val="center"/>
                    <w:rPr>
                      <w:rFonts w:hAnsi="宋体"/>
                      <w:bCs/>
                      <w:sz w:val="21"/>
                      <w:szCs w:val="21"/>
                    </w:rPr>
                  </w:pPr>
                </w:p>
              </w:tc>
              <w:tc>
                <w:tcPr>
                  <w:tcW w:w="1899" w:type="dxa"/>
                  <w:gridSpan w:val="2"/>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供热</w:t>
                  </w:r>
                </w:p>
              </w:tc>
              <w:tc>
                <w:tcPr>
                  <w:tcW w:w="4841" w:type="dxa"/>
                  <w:vAlign w:val="center"/>
                </w:tcPr>
                <w:p>
                  <w:pPr>
                    <w:pStyle w:val="144"/>
                    <w:snapToGrid/>
                    <w:spacing w:before="0" w:after="0" w:line="240" w:lineRule="auto"/>
                    <w:ind w:firstLine="0" w:firstLineChars="0"/>
                    <w:jc w:val="left"/>
                    <w:rPr>
                      <w:rFonts w:hAnsi="宋体"/>
                      <w:bCs/>
                      <w:sz w:val="21"/>
                      <w:szCs w:val="21"/>
                    </w:rPr>
                  </w:pPr>
                  <w:r>
                    <w:rPr>
                      <w:rFonts w:hint="eastAsia" w:hAnsi="宋体"/>
                      <w:sz w:val="21"/>
                    </w:rPr>
                    <w:t>生活区供暖由电暖气提供。</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continue"/>
                  <w:vAlign w:val="center"/>
                </w:tcPr>
                <w:p>
                  <w:pPr>
                    <w:pStyle w:val="144"/>
                    <w:snapToGrid/>
                    <w:spacing w:before="0" w:after="0" w:line="240" w:lineRule="auto"/>
                    <w:ind w:firstLine="0" w:firstLineChars="0"/>
                    <w:jc w:val="center"/>
                    <w:rPr>
                      <w:rFonts w:hAnsi="宋体"/>
                      <w:bCs/>
                      <w:sz w:val="21"/>
                      <w:szCs w:val="21"/>
                    </w:rPr>
                  </w:pPr>
                </w:p>
              </w:tc>
              <w:tc>
                <w:tcPr>
                  <w:tcW w:w="1899" w:type="dxa"/>
                  <w:gridSpan w:val="2"/>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供电</w:t>
                  </w:r>
                </w:p>
              </w:tc>
              <w:tc>
                <w:tcPr>
                  <w:tcW w:w="4841" w:type="dxa"/>
                  <w:vAlign w:val="center"/>
                </w:tcPr>
                <w:p>
                  <w:pPr>
                    <w:spacing w:line="240" w:lineRule="auto"/>
                    <w:ind w:firstLine="0" w:firstLineChars="0"/>
                    <w:jc w:val="left"/>
                    <w:rPr>
                      <w:rFonts w:hAnsi="宋体"/>
                      <w:sz w:val="21"/>
                    </w:rPr>
                  </w:pPr>
                  <w:r>
                    <w:rPr>
                      <w:rFonts w:hint="eastAsia" w:hAnsi="宋体"/>
                      <w:sz w:val="21"/>
                    </w:rPr>
                    <w:t>由交城县水峪贯镇供电所供给，厂区内有变压器一台。</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restar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环保工程</w:t>
                  </w:r>
                </w:p>
              </w:tc>
              <w:tc>
                <w:tcPr>
                  <w:tcW w:w="480" w:type="dxa"/>
                  <w:vMerge w:val="restar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废气</w:t>
                  </w:r>
                </w:p>
              </w:tc>
              <w:tc>
                <w:tcPr>
                  <w:tcW w:w="1419"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堆场扬尘</w:t>
                  </w:r>
                </w:p>
              </w:tc>
              <w:tc>
                <w:tcPr>
                  <w:tcW w:w="4841" w:type="dxa"/>
                  <w:vAlign w:val="center"/>
                </w:tcPr>
                <w:p>
                  <w:pPr>
                    <w:pStyle w:val="144"/>
                    <w:snapToGrid/>
                    <w:spacing w:before="0" w:after="0" w:line="240" w:lineRule="auto"/>
                    <w:ind w:firstLine="0" w:firstLineChars="0"/>
                    <w:jc w:val="left"/>
                    <w:rPr>
                      <w:rFonts w:hAnsi="宋体"/>
                      <w:bCs/>
                      <w:sz w:val="21"/>
                      <w:szCs w:val="21"/>
                    </w:rPr>
                  </w:pPr>
                  <w:r>
                    <w:rPr>
                      <w:rFonts w:hint="eastAsia" w:hAnsi="宋体"/>
                      <w:bCs/>
                      <w:sz w:val="21"/>
                      <w:szCs w:val="21"/>
                    </w:rPr>
                    <w:t>原料、成品堆存设置为全封闭库，堆场地面硬化，于原料库顶设1套覆盖全堆场的库顶喷雾抑尘措施，成品为吨袋包装，成品库定期洒水抑尘、清扫。</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continue"/>
                  <w:vAlign w:val="center"/>
                </w:tcPr>
                <w:p>
                  <w:pPr>
                    <w:pStyle w:val="144"/>
                    <w:snapToGrid/>
                    <w:spacing w:before="0" w:after="0" w:line="240" w:lineRule="auto"/>
                    <w:ind w:firstLine="0" w:firstLineChars="0"/>
                    <w:jc w:val="center"/>
                    <w:rPr>
                      <w:rFonts w:hAnsi="宋体"/>
                      <w:bCs/>
                      <w:sz w:val="21"/>
                      <w:szCs w:val="21"/>
                    </w:rPr>
                  </w:pPr>
                </w:p>
              </w:tc>
              <w:tc>
                <w:tcPr>
                  <w:tcW w:w="480" w:type="dxa"/>
                  <w:vMerge w:val="continue"/>
                  <w:vAlign w:val="center"/>
                </w:tcPr>
                <w:p>
                  <w:pPr>
                    <w:pStyle w:val="144"/>
                    <w:snapToGrid/>
                    <w:spacing w:before="0" w:after="0" w:line="240" w:lineRule="auto"/>
                    <w:ind w:firstLine="0" w:firstLineChars="0"/>
                    <w:jc w:val="center"/>
                    <w:rPr>
                      <w:rFonts w:hAnsi="宋体"/>
                      <w:bCs/>
                      <w:sz w:val="21"/>
                      <w:szCs w:val="21"/>
                    </w:rPr>
                  </w:pPr>
                </w:p>
              </w:tc>
              <w:tc>
                <w:tcPr>
                  <w:tcW w:w="1419"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建筑骨料生产线粗破、反击破系统粉尘</w:t>
                  </w:r>
                </w:p>
              </w:tc>
              <w:tc>
                <w:tcPr>
                  <w:tcW w:w="4841" w:type="dxa"/>
                  <w:vAlign w:val="center"/>
                </w:tcPr>
                <w:p>
                  <w:pPr>
                    <w:pStyle w:val="144"/>
                    <w:snapToGrid/>
                    <w:spacing w:before="0" w:after="0" w:line="240" w:lineRule="auto"/>
                    <w:ind w:firstLine="0" w:firstLineChars="0"/>
                    <w:jc w:val="left"/>
                    <w:rPr>
                      <w:rFonts w:hAnsi="宋体"/>
                      <w:bCs/>
                      <w:sz w:val="21"/>
                      <w:szCs w:val="21"/>
                    </w:rPr>
                  </w:pPr>
                  <w:r>
                    <w:rPr>
                      <w:rFonts w:hint="eastAsia" w:hAnsi="宋体"/>
                      <w:bCs/>
                      <w:sz w:val="21"/>
                      <w:szCs w:val="21"/>
                    </w:rPr>
                    <w:t>建筑骨料生产线粗破、细破系统各产尘点分设集尘罩（鄂破入料口、鄂破、反击破、中间料仓），上料、鄂破、反击破、出料粉尘</w:t>
                  </w:r>
                  <w:r>
                    <w:rPr>
                      <w:rFonts w:hint="eastAsia"/>
                      <w:sz w:val="21"/>
                      <w:szCs w:val="21"/>
                    </w:rPr>
                    <w:t>收集后经1套脉冲布袋除尘器过滤处理后由1根15m高排气筒外排。</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continue"/>
                  <w:vAlign w:val="center"/>
                </w:tcPr>
                <w:p>
                  <w:pPr>
                    <w:pStyle w:val="144"/>
                    <w:snapToGrid/>
                    <w:spacing w:before="0" w:after="0" w:line="240" w:lineRule="auto"/>
                    <w:ind w:firstLine="0" w:firstLineChars="0"/>
                    <w:jc w:val="center"/>
                    <w:rPr>
                      <w:rFonts w:hAnsi="宋体"/>
                      <w:bCs/>
                      <w:sz w:val="21"/>
                      <w:szCs w:val="21"/>
                    </w:rPr>
                  </w:pPr>
                </w:p>
              </w:tc>
              <w:tc>
                <w:tcPr>
                  <w:tcW w:w="480" w:type="dxa"/>
                  <w:vMerge w:val="continue"/>
                  <w:vAlign w:val="center"/>
                </w:tcPr>
                <w:p>
                  <w:pPr>
                    <w:pStyle w:val="144"/>
                    <w:snapToGrid/>
                    <w:spacing w:before="0" w:after="0" w:line="240" w:lineRule="auto"/>
                    <w:ind w:firstLine="0" w:firstLineChars="0"/>
                    <w:jc w:val="center"/>
                    <w:rPr>
                      <w:rFonts w:hAnsi="宋体"/>
                      <w:bCs/>
                      <w:sz w:val="21"/>
                      <w:szCs w:val="21"/>
                    </w:rPr>
                  </w:pPr>
                </w:p>
              </w:tc>
              <w:tc>
                <w:tcPr>
                  <w:tcW w:w="1419"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建筑骨料生产线冲击破系统粉尘</w:t>
                  </w:r>
                </w:p>
              </w:tc>
              <w:tc>
                <w:tcPr>
                  <w:tcW w:w="4841" w:type="dxa"/>
                  <w:vAlign w:val="center"/>
                </w:tcPr>
                <w:p>
                  <w:pPr>
                    <w:spacing w:line="240" w:lineRule="auto"/>
                    <w:ind w:firstLine="0" w:firstLineChars="0"/>
                    <w:jc w:val="left"/>
                    <w:rPr>
                      <w:rFonts w:hAnsi="宋体"/>
                      <w:bCs/>
                      <w:sz w:val="21"/>
                      <w:szCs w:val="21"/>
                    </w:rPr>
                  </w:pPr>
                  <w:r>
                    <w:rPr>
                      <w:rFonts w:hint="eastAsia" w:hAnsi="宋体"/>
                      <w:bCs/>
                      <w:sz w:val="21"/>
                      <w:szCs w:val="21"/>
                    </w:rPr>
                    <w:t>建筑骨料生产线冲击破系统各产尘点分设集尘罩（冲击破入料口、冲击破、振动筛、料仓），上料、冲击破、振动筛、出料粉尘</w:t>
                  </w:r>
                  <w:r>
                    <w:rPr>
                      <w:rFonts w:hint="eastAsia"/>
                      <w:sz w:val="21"/>
                      <w:szCs w:val="21"/>
                    </w:rPr>
                    <w:t>收集后经1套脉冲布袋除尘器过滤处理后由1根15m高排气筒外排。振动筛密闭后集尘。</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continue"/>
                  <w:vAlign w:val="center"/>
                </w:tcPr>
                <w:p>
                  <w:pPr>
                    <w:pStyle w:val="144"/>
                    <w:snapToGrid/>
                    <w:spacing w:before="0" w:after="0" w:line="240" w:lineRule="auto"/>
                    <w:ind w:firstLine="0" w:firstLineChars="0"/>
                    <w:jc w:val="center"/>
                    <w:rPr>
                      <w:rFonts w:hAnsi="宋体"/>
                      <w:bCs/>
                      <w:sz w:val="21"/>
                      <w:szCs w:val="21"/>
                    </w:rPr>
                  </w:pPr>
                </w:p>
              </w:tc>
              <w:tc>
                <w:tcPr>
                  <w:tcW w:w="480" w:type="dxa"/>
                  <w:vMerge w:val="continue"/>
                  <w:vAlign w:val="center"/>
                </w:tcPr>
                <w:p>
                  <w:pPr>
                    <w:pStyle w:val="144"/>
                    <w:snapToGrid/>
                    <w:spacing w:before="0" w:after="0" w:line="240" w:lineRule="auto"/>
                    <w:ind w:firstLine="0" w:firstLineChars="0"/>
                    <w:jc w:val="center"/>
                    <w:rPr>
                      <w:rFonts w:hAnsi="宋体"/>
                      <w:bCs/>
                      <w:sz w:val="21"/>
                      <w:szCs w:val="21"/>
                    </w:rPr>
                  </w:pPr>
                </w:p>
              </w:tc>
              <w:tc>
                <w:tcPr>
                  <w:tcW w:w="1419"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微粉生产线鄂破系统粉尘</w:t>
                  </w:r>
                </w:p>
              </w:tc>
              <w:tc>
                <w:tcPr>
                  <w:tcW w:w="4841" w:type="dxa"/>
                  <w:vAlign w:val="center"/>
                </w:tcPr>
                <w:p>
                  <w:pPr>
                    <w:spacing w:line="240" w:lineRule="auto"/>
                    <w:ind w:firstLine="0" w:firstLineChars="0"/>
                    <w:jc w:val="left"/>
                    <w:rPr>
                      <w:sz w:val="21"/>
                      <w:szCs w:val="21"/>
                    </w:rPr>
                  </w:pPr>
                  <w:r>
                    <w:rPr>
                      <w:rFonts w:hint="eastAsia" w:hAnsi="宋体"/>
                      <w:bCs/>
                      <w:sz w:val="21"/>
                      <w:szCs w:val="21"/>
                    </w:rPr>
                    <w:t>微粉生产线鄂破系统各产尘点分设集尘罩（粗鄂破破入料口、粗鄂破、细鄂破、超细破碎机入料口），上料、鄂破粉尘</w:t>
                  </w:r>
                  <w:r>
                    <w:rPr>
                      <w:rFonts w:hint="eastAsia"/>
                      <w:sz w:val="21"/>
                      <w:szCs w:val="21"/>
                    </w:rPr>
                    <w:t>收集后经1套脉冲布袋除尘器过滤处理后由1根15m高排气筒外排。</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continue"/>
                  <w:vAlign w:val="center"/>
                </w:tcPr>
                <w:p>
                  <w:pPr>
                    <w:pStyle w:val="144"/>
                    <w:snapToGrid/>
                    <w:spacing w:before="0" w:after="0" w:line="240" w:lineRule="auto"/>
                    <w:ind w:firstLine="0" w:firstLineChars="0"/>
                    <w:jc w:val="center"/>
                    <w:rPr>
                      <w:rFonts w:hAnsi="宋体"/>
                      <w:bCs/>
                      <w:sz w:val="21"/>
                      <w:szCs w:val="21"/>
                    </w:rPr>
                  </w:pPr>
                </w:p>
              </w:tc>
              <w:tc>
                <w:tcPr>
                  <w:tcW w:w="480" w:type="dxa"/>
                  <w:vMerge w:val="continue"/>
                  <w:vAlign w:val="center"/>
                </w:tcPr>
                <w:p>
                  <w:pPr>
                    <w:pStyle w:val="144"/>
                    <w:snapToGrid/>
                    <w:spacing w:before="0" w:after="0" w:line="240" w:lineRule="auto"/>
                    <w:ind w:firstLine="0" w:firstLineChars="0"/>
                    <w:jc w:val="center"/>
                    <w:rPr>
                      <w:rFonts w:hAnsi="宋体"/>
                      <w:bCs/>
                      <w:sz w:val="21"/>
                      <w:szCs w:val="21"/>
                    </w:rPr>
                  </w:pPr>
                </w:p>
              </w:tc>
              <w:tc>
                <w:tcPr>
                  <w:tcW w:w="1419"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微粉生产线超细破碎机系统粉尘</w:t>
                  </w:r>
                </w:p>
              </w:tc>
              <w:tc>
                <w:tcPr>
                  <w:tcW w:w="4841" w:type="dxa"/>
                  <w:vAlign w:val="center"/>
                </w:tcPr>
                <w:p>
                  <w:pPr>
                    <w:pStyle w:val="144"/>
                    <w:snapToGrid/>
                    <w:spacing w:before="0" w:after="0" w:line="240" w:lineRule="auto"/>
                    <w:ind w:firstLine="0" w:firstLineChars="0"/>
                    <w:jc w:val="left"/>
                    <w:rPr>
                      <w:rFonts w:hAnsi="宋体"/>
                      <w:bCs/>
                      <w:sz w:val="21"/>
                      <w:szCs w:val="21"/>
                    </w:rPr>
                  </w:pPr>
                  <w:r>
                    <w:rPr>
                      <w:rFonts w:hint="eastAsia"/>
                      <w:bCs/>
                      <w:sz w:val="21"/>
                      <w:szCs w:val="21"/>
                    </w:rPr>
                    <w:t>超细破碎系统</w:t>
                  </w:r>
                  <w:r>
                    <w:rPr>
                      <w:rFonts w:hint="eastAsia" w:hAnsi="宋体"/>
                      <w:bCs/>
                      <w:sz w:val="21"/>
                      <w:szCs w:val="21"/>
                    </w:rPr>
                    <w:t>各产尘点分设集尘罩（</w:t>
                  </w:r>
                  <w:r>
                    <w:rPr>
                      <w:rFonts w:hint="eastAsia"/>
                      <w:bCs/>
                      <w:sz w:val="21"/>
                      <w:szCs w:val="21"/>
                    </w:rPr>
                    <w:t>上料仓、超细破碎机、振动筛、成品料仓</w:t>
                  </w:r>
                  <w:r>
                    <w:rPr>
                      <w:rFonts w:hint="eastAsia" w:hAnsi="宋体"/>
                      <w:bCs/>
                      <w:sz w:val="21"/>
                      <w:szCs w:val="21"/>
                    </w:rPr>
                    <w:t>）</w:t>
                  </w:r>
                  <w:r>
                    <w:rPr>
                      <w:rFonts w:hint="eastAsia"/>
                      <w:bCs/>
                      <w:sz w:val="21"/>
                      <w:szCs w:val="21"/>
                    </w:rPr>
                    <w:t>，破碎、筛分粉尘收集后由1套脉冲布袋除尘器过滤处理后由1根1</w:t>
                  </w:r>
                  <w:r>
                    <w:rPr>
                      <w:bCs/>
                      <w:sz w:val="21"/>
                      <w:szCs w:val="21"/>
                    </w:rPr>
                    <w:t>5</w:t>
                  </w:r>
                  <w:r>
                    <w:rPr>
                      <w:rFonts w:hint="eastAsia"/>
                      <w:bCs/>
                      <w:sz w:val="21"/>
                      <w:szCs w:val="21"/>
                    </w:rPr>
                    <w:t>m高排气筒外排</w:t>
                  </w:r>
                  <w:r>
                    <w:rPr>
                      <w:rFonts w:hint="eastAsia"/>
                      <w:sz w:val="21"/>
                      <w:szCs w:val="21"/>
                    </w:rPr>
                    <w:t>。振动筛密闭后集尘。</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continue"/>
                  <w:vAlign w:val="center"/>
                </w:tcPr>
                <w:p>
                  <w:pPr>
                    <w:pStyle w:val="144"/>
                    <w:snapToGrid/>
                    <w:spacing w:before="0" w:after="0" w:line="240" w:lineRule="auto"/>
                    <w:ind w:firstLine="0" w:firstLineChars="0"/>
                    <w:jc w:val="center"/>
                    <w:rPr>
                      <w:rFonts w:hAnsi="宋体"/>
                      <w:bCs/>
                      <w:sz w:val="21"/>
                      <w:szCs w:val="21"/>
                    </w:rPr>
                  </w:pPr>
                </w:p>
              </w:tc>
              <w:tc>
                <w:tcPr>
                  <w:tcW w:w="480" w:type="dxa"/>
                  <w:vMerge w:val="restar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废水</w:t>
                  </w:r>
                </w:p>
              </w:tc>
              <w:tc>
                <w:tcPr>
                  <w:tcW w:w="1419"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生活废水</w:t>
                  </w:r>
                </w:p>
              </w:tc>
              <w:tc>
                <w:tcPr>
                  <w:tcW w:w="4841" w:type="dxa"/>
                  <w:vAlign w:val="center"/>
                </w:tcPr>
                <w:p>
                  <w:pPr>
                    <w:pStyle w:val="144"/>
                    <w:snapToGrid/>
                    <w:spacing w:before="0" w:after="0" w:line="240" w:lineRule="auto"/>
                    <w:ind w:firstLine="0" w:firstLineChars="0"/>
                    <w:jc w:val="left"/>
                    <w:rPr>
                      <w:rFonts w:hAnsi="宋体"/>
                      <w:bCs/>
                      <w:color w:val="FF0000"/>
                      <w:sz w:val="21"/>
                      <w:szCs w:val="21"/>
                    </w:rPr>
                  </w:pPr>
                  <w:r>
                    <w:rPr>
                      <w:rFonts w:hint="eastAsia" w:hAnsi="宋体"/>
                      <w:sz w:val="21"/>
                      <w:szCs w:val="21"/>
                    </w:rPr>
                    <w:t>厂区不设浴室，设置旱厕，</w:t>
                  </w:r>
                  <w:r>
                    <w:rPr>
                      <w:rFonts w:hint="eastAsia"/>
                      <w:sz w:val="21"/>
                      <w:szCs w:val="21"/>
                    </w:rPr>
                    <w:t>少量盥洗废水用于泼洒抑尘；</w:t>
                  </w:r>
                  <w:r>
                    <w:rPr>
                      <w:rFonts w:hint="eastAsia"/>
                      <w:bCs/>
                      <w:sz w:val="21"/>
                      <w:szCs w:val="21"/>
                    </w:rPr>
                    <w:t>食堂餐余物及食堂废水</w:t>
                  </w:r>
                  <w:r>
                    <w:rPr>
                      <w:rFonts w:hint="eastAsia"/>
                      <w:sz w:val="21"/>
                      <w:szCs w:val="21"/>
                    </w:rPr>
                    <w:t>经收集后委托有相关资质的单位外运处置。</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continue"/>
                  <w:vAlign w:val="center"/>
                </w:tcPr>
                <w:p>
                  <w:pPr>
                    <w:pStyle w:val="144"/>
                    <w:snapToGrid/>
                    <w:spacing w:before="0" w:after="0" w:line="240" w:lineRule="auto"/>
                    <w:ind w:firstLine="0" w:firstLineChars="0"/>
                    <w:jc w:val="center"/>
                    <w:rPr>
                      <w:rFonts w:hAnsi="宋体"/>
                      <w:bCs/>
                      <w:sz w:val="21"/>
                      <w:szCs w:val="21"/>
                    </w:rPr>
                  </w:pPr>
                </w:p>
              </w:tc>
              <w:tc>
                <w:tcPr>
                  <w:tcW w:w="480" w:type="dxa"/>
                  <w:vMerge w:val="continue"/>
                  <w:vAlign w:val="center"/>
                </w:tcPr>
                <w:p>
                  <w:pPr>
                    <w:pStyle w:val="144"/>
                    <w:snapToGrid/>
                    <w:spacing w:before="0" w:after="0" w:line="240" w:lineRule="auto"/>
                    <w:ind w:firstLine="0" w:firstLineChars="0"/>
                    <w:jc w:val="center"/>
                    <w:rPr>
                      <w:rFonts w:hAnsi="宋体"/>
                      <w:bCs/>
                      <w:sz w:val="21"/>
                      <w:szCs w:val="21"/>
                    </w:rPr>
                  </w:pPr>
                </w:p>
              </w:tc>
              <w:tc>
                <w:tcPr>
                  <w:tcW w:w="1419"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洗车废水</w:t>
                  </w:r>
                </w:p>
              </w:tc>
              <w:tc>
                <w:tcPr>
                  <w:tcW w:w="4841" w:type="dxa"/>
                  <w:vAlign w:val="center"/>
                </w:tcPr>
                <w:p>
                  <w:pPr>
                    <w:pStyle w:val="144"/>
                    <w:snapToGrid/>
                    <w:spacing w:before="0" w:after="0" w:line="240" w:lineRule="auto"/>
                    <w:ind w:firstLine="0" w:firstLineChars="0"/>
                    <w:jc w:val="left"/>
                    <w:rPr>
                      <w:rFonts w:hAnsi="宋体"/>
                      <w:sz w:val="21"/>
                      <w:szCs w:val="21"/>
                    </w:rPr>
                  </w:pPr>
                  <w:r>
                    <w:rPr>
                      <w:rFonts w:hint="eastAsia" w:hAnsi="宋体"/>
                      <w:sz w:val="21"/>
                      <w:szCs w:val="21"/>
                    </w:rPr>
                    <w:t>洗车废水排至沉淀池沉淀处理后排入清水池循环使用，不外排。</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continue"/>
                  <w:vAlign w:val="center"/>
                </w:tcPr>
                <w:p>
                  <w:pPr>
                    <w:pStyle w:val="144"/>
                    <w:snapToGrid/>
                    <w:spacing w:before="0" w:after="0" w:line="240" w:lineRule="auto"/>
                    <w:ind w:firstLine="0" w:firstLineChars="0"/>
                    <w:jc w:val="center"/>
                    <w:rPr>
                      <w:rFonts w:hAnsi="宋体"/>
                      <w:bCs/>
                      <w:sz w:val="21"/>
                      <w:szCs w:val="21"/>
                    </w:rPr>
                  </w:pPr>
                </w:p>
              </w:tc>
              <w:tc>
                <w:tcPr>
                  <w:tcW w:w="480"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噪声</w:t>
                  </w:r>
                </w:p>
              </w:tc>
              <w:tc>
                <w:tcPr>
                  <w:tcW w:w="1419"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噪声</w:t>
                  </w:r>
                </w:p>
              </w:tc>
              <w:tc>
                <w:tcPr>
                  <w:tcW w:w="4841" w:type="dxa"/>
                  <w:vAlign w:val="center"/>
                </w:tcPr>
                <w:p>
                  <w:pPr>
                    <w:pStyle w:val="144"/>
                    <w:snapToGrid/>
                    <w:spacing w:before="0" w:after="0" w:line="240" w:lineRule="auto"/>
                    <w:ind w:firstLine="0" w:firstLineChars="0"/>
                    <w:jc w:val="left"/>
                    <w:rPr>
                      <w:rFonts w:hAnsi="宋体"/>
                      <w:bCs/>
                      <w:sz w:val="21"/>
                      <w:szCs w:val="21"/>
                    </w:rPr>
                  </w:pPr>
                  <w:r>
                    <w:rPr>
                      <w:rFonts w:hint="eastAsia" w:hAnsi="宋体"/>
                      <w:bCs/>
                      <w:sz w:val="21"/>
                      <w:szCs w:val="21"/>
                    </w:rPr>
                    <w:t>选用低噪设备，对主要污染源采取消声、吸声、建筑隔声、基础减震等防噪措施。</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continue"/>
                  <w:vAlign w:val="center"/>
                </w:tcPr>
                <w:p>
                  <w:pPr>
                    <w:pStyle w:val="144"/>
                    <w:snapToGrid/>
                    <w:spacing w:before="0" w:after="0" w:line="240" w:lineRule="auto"/>
                    <w:ind w:firstLine="0" w:firstLineChars="0"/>
                    <w:jc w:val="center"/>
                    <w:rPr>
                      <w:rFonts w:hAnsi="宋体"/>
                      <w:bCs/>
                      <w:sz w:val="21"/>
                      <w:szCs w:val="21"/>
                    </w:rPr>
                  </w:pPr>
                </w:p>
              </w:tc>
              <w:tc>
                <w:tcPr>
                  <w:tcW w:w="480" w:type="dxa"/>
                  <w:vMerge w:val="restar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固废</w:t>
                  </w:r>
                </w:p>
              </w:tc>
              <w:tc>
                <w:tcPr>
                  <w:tcW w:w="1419"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除铁器收集的废矿石</w:t>
                  </w:r>
                </w:p>
              </w:tc>
              <w:tc>
                <w:tcPr>
                  <w:tcW w:w="4841" w:type="dxa"/>
                  <w:vAlign w:val="center"/>
                </w:tcPr>
                <w:p>
                  <w:pPr>
                    <w:pStyle w:val="144"/>
                    <w:snapToGrid/>
                    <w:spacing w:before="0" w:after="0" w:line="240" w:lineRule="auto"/>
                    <w:ind w:firstLine="0" w:firstLineChars="0"/>
                    <w:jc w:val="left"/>
                    <w:rPr>
                      <w:rFonts w:hAnsi="宋体"/>
                      <w:bCs/>
                      <w:sz w:val="21"/>
                      <w:szCs w:val="21"/>
                    </w:rPr>
                  </w:pPr>
                  <w:r>
                    <w:rPr>
                      <w:rFonts w:hint="eastAsia" w:hAnsi="宋体"/>
                      <w:bCs/>
                      <w:sz w:val="21"/>
                      <w:szCs w:val="21"/>
                    </w:rPr>
                    <w:t>外售于铁厂综合利用。</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continue"/>
                  <w:vAlign w:val="center"/>
                </w:tcPr>
                <w:p>
                  <w:pPr>
                    <w:pStyle w:val="144"/>
                    <w:snapToGrid/>
                    <w:spacing w:before="0" w:after="0" w:line="240" w:lineRule="auto"/>
                    <w:ind w:firstLine="0" w:firstLineChars="0"/>
                    <w:jc w:val="center"/>
                    <w:rPr>
                      <w:rFonts w:hAnsi="宋体"/>
                      <w:bCs/>
                      <w:sz w:val="21"/>
                      <w:szCs w:val="21"/>
                    </w:rPr>
                  </w:pPr>
                </w:p>
              </w:tc>
              <w:tc>
                <w:tcPr>
                  <w:tcW w:w="480" w:type="dxa"/>
                  <w:vMerge w:val="continue"/>
                  <w:vAlign w:val="center"/>
                </w:tcPr>
                <w:p>
                  <w:pPr>
                    <w:pStyle w:val="144"/>
                    <w:snapToGrid/>
                    <w:spacing w:before="0" w:after="0" w:line="240" w:lineRule="auto"/>
                    <w:ind w:firstLine="0" w:firstLineChars="0"/>
                    <w:jc w:val="center"/>
                    <w:rPr>
                      <w:rFonts w:hAnsi="宋体"/>
                      <w:bCs/>
                      <w:sz w:val="21"/>
                      <w:szCs w:val="21"/>
                    </w:rPr>
                  </w:pPr>
                </w:p>
              </w:tc>
              <w:tc>
                <w:tcPr>
                  <w:tcW w:w="1419" w:type="dxa"/>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集尘灰</w:t>
                  </w:r>
                </w:p>
              </w:tc>
              <w:tc>
                <w:tcPr>
                  <w:tcW w:w="4841" w:type="dxa"/>
                  <w:vAlign w:val="center"/>
                </w:tcPr>
                <w:p>
                  <w:pPr>
                    <w:pStyle w:val="144"/>
                    <w:snapToGrid/>
                    <w:spacing w:before="0" w:after="0" w:line="240" w:lineRule="auto"/>
                    <w:ind w:firstLine="0" w:firstLineChars="0"/>
                    <w:jc w:val="left"/>
                    <w:rPr>
                      <w:sz w:val="21"/>
                      <w:szCs w:val="21"/>
                    </w:rPr>
                  </w:pPr>
                  <w:r>
                    <w:rPr>
                      <w:rFonts w:hint="eastAsia"/>
                      <w:sz w:val="21"/>
                      <w:szCs w:val="21"/>
                    </w:rPr>
                    <w:t>收集后可作为产品外售。</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continue"/>
                  <w:vAlign w:val="center"/>
                </w:tcPr>
                <w:p>
                  <w:pPr>
                    <w:pStyle w:val="144"/>
                    <w:snapToGrid/>
                    <w:spacing w:before="0" w:after="0" w:line="240" w:lineRule="auto"/>
                    <w:ind w:firstLine="0" w:firstLineChars="0"/>
                    <w:jc w:val="center"/>
                    <w:rPr>
                      <w:rFonts w:hAnsi="宋体"/>
                      <w:bCs/>
                      <w:sz w:val="21"/>
                      <w:szCs w:val="21"/>
                    </w:rPr>
                  </w:pPr>
                </w:p>
              </w:tc>
              <w:tc>
                <w:tcPr>
                  <w:tcW w:w="480" w:type="dxa"/>
                  <w:vMerge w:val="continue"/>
                  <w:vAlign w:val="center"/>
                </w:tcPr>
                <w:p>
                  <w:pPr>
                    <w:pStyle w:val="144"/>
                    <w:snapToGrid/>
                    <w:spacing w:before="0" w:after="0" w:line="240" w:lineRule="auto"/>
                    <w:ind w:firstLine="0" w:firstLineChars="0"/>
                    <w:jc w:val="center"/>
                    <w:rPr>
                      <w:rFonts w:hAnsi="宋体"/>
                      <w:bCs/>
                      <w:sz w:val="21"/>
                      <w:szCs w:val="21"/>
                    </w:rPr>
                  </w:pPr>
                </w:p>
              </w:tc>
              <w:tc>
                <w:tcPr>
                  <w:tcW w:w="1419"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设备、车辆维修废机油</w:t>
                  </w:r>
                </w:p>
              </w:tc>
              <w:tc>
                <w:tcPr>
                  <w:tcW w:w="4841" w:type="dxa"/>
                  <w:vAlign w:val="center"/>
                </w:tcPr>
                <w:p>
                  <w:pPr>
                    <w:pStyle w:val="144"/>
                    <w:snapToGrid/>
                    <w:spacing w:before="0" w:after="0" w:line="240" w:lineRule="auto"/>
                    <w:ind w:firstLine="0" w:firstLineChars="0"/>
                    <w:jc w:val="left"/>
                    <w:rPr>
                      <w:rFonts w:hAnsi="宋体"/>
                      <w:bCs/>
                      <w:sz w:val="21"/>
                      <w:szCs w:val="21"/>
                    </w:rPr>
                  </w:pPr>
                  <w:r>
                    <w:rPr>
                      <w:rFonts w:hint="eastAsia" w:hAnsi="宋体"/>
                      <w:bCs/>
                      <w:sz w:val="21"/>
                      <w:szCs w:val="21"/>
                    </w:rPr>
                    <w:t>设危废暂存库，储存于特定容器中，暂存于危废库内，委托有相关处理资质的单位定期外协处置。</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continue"/>
                  <w:vAlign w:val="center"/>
                </w:tcPr>
                <w:p>
                  <w:pPr>
                    <w:pStyle w:val="144"/>
                    <w:snapToGrid/>
                    <w:spacing w:before="0" w:after="0" w:line="240" w:lineRule="auto"/>
                    <w:ind w:firstLine="0" w:firstLineChars="0"/>
                    <w:jc w:val="center"/>
                    <w:rPr>
                      <w:rFonts w:hAnsi="宋体"/>
                      <w:bCs/>
                      <w:sz w:val="21"/>
                      <w:szCs w:val="21"/>
                    </w:rPr>
                  </w:pPr>
                </w:p>
              </w:tc>
              <w:tc>
                <w:tcPr>
                  <w:tcW w:w="480" w:type="dxa"/>
                  <w:vMerge w:val="continue"/>
                  <w:vAlign w:val="center"/>
                </w:tcPr>
                <w:p>
                  <w:pPr>
                    <w:pStyle w:val="144"/>
                    <w:snapToGrid/>
                    <w:spacing w:before="0" w:after="0" w:line="240" w:lineRule="auto"/>
                    <w:ind w:firstLine="0" w:firstLineChars="0"/>
                    <w:jc w:val="center"/>
                    <w:rPr>
                      <w:rFonts w:hAnsi="宋体"/>
                      <w:bCs/>
                      <w:sz w:val="21"/>
                      <w:szCs w:val="21"/>
                    </w:rPr>
                  </w:pPr>
                </w:p>
              </w:tc>
              <w:tc>
                <w:tcPr>
                  <w:tcW w:w="1419"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生活垃圾</w:t>
                  </w:r>
                </w:p>
              </w:tc>
              <w:tc>
                <w:tcPr>
                  <w:tcW w:w="4841" w:type="dxa"/>
                  <w:vAlign w:val="center"/>
                </w:tcPr>
                <w:p>
                  <w:pPr>
                    <w:pStyle w:val="144"/>
                    <w:snapToGrid/>
                    <w:spacing w:before="0" w:after="0" w:line="240" w:lineRule="auto"/>
                    <w:ind w:firstLine="0" w:firstLineChars="0"/>
                    <w:jc w:val="left"/>
                    <w:rPr>
                      <w:rFonts w:hAnsi="宋体"/>
                      <w:bCs/>
                      <w:sz w:val="21"/>
                      <w:szCs w:val="21"/>
                    </w:rPr>
                  </w:pPr>
                  <w:r>
                    <w:rPr>
                      <w:rFonts w:hint="eastAsia" w:hAnsi="宋体"/>
                      <w:bCs/>
                      <w:sz w:val="21"/>
                      <w:szCs w:val="21"/>
                    </w:rPr>
                    <w:t>生活垃圾经厂区的垃圾桶收集后，运至市政部门指定的地点统一处理。</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dxa"/>
                  <w:vMerge w:val="continue"/>
                  <w:vAlign w:val="center"/>
                </w:tcPr>
                <w:p>
                  <w:pPr>
                    <w:pStyle w:val="144"/>
                    <w:snapToGrid/>
                    <w:spacing w:before="0" w:after="0" w:line="240" w:lineRule="auto"/>
                    <w:ind w:firstLine="0" w:firstLineChars="0"/>
                    <w:jc w:val="center"/>
                    <w:rPr>
                      <w:rFonts w:hAnsi="宋体"/>
                      <w:bCs/>
                      <w:sz w:val="21"/>
                      <w:szCs w:val="21"/>
                    </w:rPr>
                  </w:pPr>
                </w:p>
              </w:tc>
              <w:tc>
                <w:tcPr>
                  <w:tcW w:w="1899" w:type="dxa"/>
                  <w:gridSpan w:val="2"/>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生态保护措施</w:t>
                  </w:r>
                </w:p>
              </w:tc>
              <w:tc>
                <w:tcPr>
                  <w:tcW w:w="4841" w:type="dxa"/>
                  <w:vAlign w:val="center"/>
                </w:tcPr>
                <w:p>
                  <w:pPr>
                    <w:pStyle w:val="144"/>
                    <w:snapToGrid/>
                    <w:spacing w:before="0" w:after="0" w:line="240" w:lineRule="auto"/>
                    <w:ind w:firstLine="0" w:firstLineChars="0"/>
                    <w:jc w:val="left"/>
                    <w:rPr>
                      <w:rFonts w:hAnsi="宋体"/>
                      <w:bCs/>
                      <w:sz w:val="21"/>
                      <w:szCs w:val="21"/>
                    </w:rPr>
                  </w:pPr>
                  <w:r>
                    <w:rPr>
                      <w:rFonts w:hint="eastAsia" w:hAnsi="宋体"/>
                      <w:bCs/>
                      <w:sz w:val="21"/>
                      <w:szCs w:val="21"/>
                    </w:rPr>
                    <w:t>加强绿化，种植乡土植物，绿化面积</w:t>
                  </w:r>
                  <w:r>
                    <w:rPr>
                      <w:rFonts w:hAnsi="宋体"/>
                      <w:bCs/>
                      <w:sz w:val="21"/>
                      <w:szCs w:val="21"/>
                    </w:rPr>
                    <w:t>3750m</w:t>
                  </w:r>
                  <w:r>
                    <w:rPr>
                      <w:rFonts w:hAnsi="宋体"/>
                      <w:bCs/>
                      <w:sz w:val="21"/>
                      <w:szCs w:val="21"/>
                      <w:vertAlign w:val="superscript"/>
                    </w:rPr>
                    <w:t>2</w:t>
                  </w:r>
                  <w:r>
                    <w:rPr>
                      <w:rFonts w:hint="eastAsia" w:hAnsi="宋体"/>
                      <w:bCs/>
                      <w:sz w:val="21"/>
                      <w:szCs w:val="21"/>
                    </w:rPr>
                    <w:t>。</w:t>
                  </w:r>
                </w:p>
              </w:tc>
              <w:tc>
                <w:tcPr>
                  <w:tcW w:w="1704"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新建</w:t>
                  </w:r>
                </w:p>
              </w:tc>
            </w:tr>
          </w:tbl>
          <w:p>
            <w:pPr>
              <w:ind w:firstLine="0" w:firstLineChars="0"/>
              <w:rPr>
                <w:rFonts w:hAnsi="宋体"/>
                <w:b/>
              </w:rPr>
            </w:pPr>
            <w:r>
              <w:rPr>
                <w:rFonts w:hint="eastAsia" w:hAnsi="宋体"/>
                <w:b/>
              </w:rPr>
              <w:t>7、总平面布置</w:t>
            </w:r>
          </w:p>
          <w:p>
            <w:pPr>
              <w:ind w:firstLine="480"/>
            </w:pPr>
            <w:r>
              <w:rPr>
                <w:rFonts w:hint="eastAsia"/>
              </w:rPr>
              <w:t>本项目拟建厂址位于交城县水峪贯镇西冶村东南约4</w:t>
            </w:r>
            <w:r>
              <w:t>00m</w:t>
            </w:r>
            <w:r>
              <w:rPr>
                <w:rFonts w:hint="eastAsia"/>
              </w:rPr>
              <w:t>处，总占地面积约3</w:t>
            </w:r>
            <w:r>
              <w:t>7500</w:t>
            </w:r>
            <w:r>
              <w:rPr>
                <w:rFonts w:hint="eastAsia"/>
              </w:rPr>
              <w:t>平方米，中心点坐标为；E</w:t>
            </w:r>
            <w:r>
              <w:t>111.921354</w:t>
            </w:r>
            <w:r>
              <w:rPr>
                <w:rFonts w:hint="eastAsia"/>
              </w:rPr>
              <w:t>°，N</w:t>
            </w:r>
            <w:r>
              <w:t>37.669642</w:t>
            </w:r>
            <w:r>
              <w:rPr>
                <w:rFonts w:hint="eastAsia"/>
              </w:rPr>
              <w:t>°；本项目拟建场地利用废弃洗煤厂场地，场地现存原煤库、精煤库、办公生活设施、地磅等可供利用。</w:t>
            </w:r>
          </w:p>
          <w:p>
            <w:pPr>
              <w:ind w:firstLine="480"/>
            </w:pPr>
            <w:r>
              <w:rPr>
                <w:rFonts w:hint="eastAsia"/>
              </w:rPr>
              <w:t>本项目原料库（利旧）位于厂区北侧，成品库（利旧）位于厂区中南部，厂区西侧为新建微粉生产车间，厂区东侧为现有办公生活区及绿化区域。</w:t>
            </w:r>
          </w:p>
          <w:p>
            <w:pPr>
              <w:ind w:firstLine="480"/>
              <w:rPr>
                <w:rFonts w:hAnsi="宋体"/>
                <w:bCs/>
              </w:rPr>
            </w:pPr>
            <w:r>
              <w:rPr>
                <w:rFonts w:hint="eastAsia" w:hAnsi="宋体"/>
                <w:bCs/>
              </w:rPr>
              <w:t>本项目总平面布置图见附图5。</w:t>
            </w:r>
          </w:p>
          <w:p>
            <w:pPr>
              <w:ind w:firstLine="0" w:firstLineChars="0"/>
              <w:rPr>
                <w:rFonts w:hAnsi="宋体"/>
                <w:b/>
              </w:rPr>
            </w:pPr>
            <w:r>
              <w:rPr>
                <w:rFonts w:hAnsi="宋体"/>
                <w:b/>
              </w:rPr>
              <w:t>8</w:t>
            </w:r>
            <w:r>
              <w:rPr>
                <w:rFonts w:hint="eastAsia" w:hAnsi="宋体"/>
                <w:b/>
              </w:rPr>
              <w:t>、主要生产设备</w:t>
            </w:r>
          </w:p>
          <w:p>
            <w:pPr>
              <w:pStyle w:val="144"/>
              <w:spacing w:before="0" w:after="0"/>
              <w:ind w:firstLine="480"/>
              <w:rPr>
                <w:rFonts w:hAnsi="宋体"/>
              </w:rPr>
            </w:pPr>
            <w:r>
              <w:rPr>
                <w:rFonts w:hint="eastAsia" w:hAnsi="宋体"/>
              </w:rPr>
              <w:t>本项目主要设备一览表见表</w:t>
            </w:r>
            <w:r>
              <w:rPr>
                <w:rFonts w:hAnsi="宋体"/>
              </w:rPr>
              <w:t>5</w:t>
            </w:r>
            <w:r>
              <w:rPr>
                <w:rFonts w:hint="eastAsia" w:hAnsi="宋体"/>
              </w:rPr>
              <w:t>。</w:t>
            </w:r>
          </w:p>
          <w:p>
            <w:pPr>
              <w:pStyle w:val="144"/>
              <w:spacing w:before="0" w:after="0"/>
              <w:ind w:firstLine="0" w:firstLineChars="0"/>
              <w:jc w:val="center"/>
              <w:rPr>
                <w:rFonts w:ascii="黑体" w:hAnsi="黑体" w:eastAsia="黑体"/>
              </w:rPr>
            </w:pPr>
            <w:r>
              <w:rPr>
                <w:rFonts w:ascii="黑体" w:hAnsi="黑体" w:eastAsia="黑体"/>
              </w:rPr>
              <w:t>表5  主要生产设备</w:t>
            </w:r>
            <w:r>
              <w:rPr>
                <w:rFonts w:hint="eastAsia" w:ascii="黑体" w:hAnsi="黑体" w:eastAsia="黑体"/>
              </w:rPr>
              <w:t>表</w:t>
            </w:r>
          </w:p>
          <w:tbl>
            <w:tblPr>
              <w:tblStyle w:val="71"/>
              <w:tblW w:w="91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3"/>
              <w:gridCol w:w="2835"/>
              <w:gridCol w:w="2573"/>
              <w:gridCol w:w="19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78" w:type="dxa"/>
                  <w:gridSpan w:val="2"/>
                  <w:vAlign w:val="center"/>
                </w:tcPr>
                <w:p>
                  <w:pPr>
                    <w:pStyle w:val="144"/>
                    <w:spacing w:before="0" w:after="0" w:line="240" w:lineRule="auto"/>
                    <w:ind w:firstLine="0" w:firstLineChars="0"/>
                    <w:jc w:val="center"/>
                    <w:rPr>
                      <w:sz w:val="21"/>
                      <w:szCs w:val="21"/>
                    </w:rPr>
                  </w:pPr>
                  <w:r>
                    <w:rPr>
                      <w:rFonts w:hAnsi="宋体"/>
                      <w:sz w:val="21"/>
                      <w:szCs w:val="21"/>
                    </w:rPr>
                    <w:t>名称</w:t>
                  </w:r>
                </w:p>
              </w:tc>
              <w:tc>
                <w:tcPr>
                  <w:tcW w:w="2573" w:type="dxa"/>
                  <w:vAlign w:val="center"/>
                </w:tcPr>
                <w:p>
                  <w:pPr>
                    <w:pStyle w:val="144"/>
                    <w:spacing w:before="0" w:after="0" w:line="240" w:lineRule="auto"/>
                    <w:ind w:firstLine="0" w:firstLineChars="0"/>
                    <w:jc w:val="center"/>
                    <w:rPr>
                      <w:sz w:val="21"/>
                      <w:szCs w:val="21"/>
                    </w:rPr>
                  </w:pPr>
                  <w:r>
                    <w:rPr>
                      <w:rFonts w:hint="eastAsia"/>
                      <w:sz w:val="21"/>
                      <w:szCs w:val="21"/>
                    </w:rPr>
                    <w:t>型号</w:t>
                  </w:r>
                </w:p>
              </w:tc>
              <w:tc>
                <w:tcPr>
                  <w:tcW w:w="1979" w:type="dxa"/>
                  <w:vAlign w:val="center"/>
                </w:tcPr>
                <w:p>
                  <w:pPr>
                    <w:pStyle w:val="144"/>
                    <w:spacing w:before="0" w:after="0" w:line="240" w:lineRule="auto"/>
                    <w:ind w:firstLine="0" w:firstLineChars="0"/>
                    <w:jc w:val="center"/>
                    <w:rPr>
                      <w:sz w:val="21"/>
                      <w:szCs w:val="21"/>
                    </w:rPr>
                  </w:pPr>
                  <w:r>
                    <w:rPr>
                      <w:rFonts w:hint="eastAsia"/>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3" w:type="dxa"/>
                  <w:vMerge w:val="restart"/>
                  <w:vAlign w:val="center"/>
                </w:tcPr>
                <w:p>
                  <w:pPr>
                    <w:pStyle w:val="144"/>
                    <w:snapToGrid/>
                    <w:spacing w:before="0" w:after="0" w:line="240" w:lineRule="auto"/>
                    <w:ind w:firstLine="0" w:firstLineChars="0"/>
                    <w:jc w:val="center"/>
                    <w:rPr>
                      <w:sz w:val="21"/>
                      <w:szCs w:val="21"/>
                    </w:rPr>
                  </w:pPr>
                  <w:r>
                    <w:rPr>
                      <w:rFonts w:hint="eastAsia"/>
                      <w:sz w:val="21"/>
                      <w:szCs w:val="21"/>
                    </w:rPr>
                    <w:t>建筑骨料生产线</w:t>
                  </w:r>
                </w:p>
              </w:tc>
              <w:tc>
                <w:tcPr>
                  <w:tcW w:w="2835" w:type="dxa"/>
                  <w:vAlign w:val="center"/>
                </w:tcPr>
                <w:p>
                  <w:pPr>
                    <w:pStyle w:val="144"/>
                    <w:snapToGrid/>
                    <w:spacing w:before="0" w:after="0" w:line="240" w:lineRule="auto"/>
                    <w:ind w:firstLine="0" w:firstLineChars="0"/>
                    <w:jc w:val="center"/>
                    <w:rPr>
                      <w:sz w:val="21"/>
                      <w:szCs w:val="21"/>
                    </w:rPr>
                  </w:pPr>
                  <w:r>
                    <w:rPr>
                      <w:rFonts w:hint="eastAsia"/>
                      <w:sz w:val="21"/>
                      <w:szCs w:val="21"/>
                    </w:rPr>
                    <w:t>鄂式破碎机</w:t>
                  </w:r>
                </w:p>
              </w:tc>
              <w:tc>
                <w:tcPr>
                  <w:tcW w:w="2573" w:type="dxa"/>
                  <w:vAlign w:val="center"/>
                </w:tcPr>
                <w:p>
                  <w:pPr>
                    <w:pStyle w:val="144"/>
                    <w:snapToGrid/>
                    <w:spacing w:before="0" w:after="0" w:line="240" w:lineRule="auto"/>
                    <w:ind w:firstLine="0" w:firstLineChars="0"/>
                    <w:jc w:val="center"/>
                    <w:rPr>
                      <w:sz w:val="21"/>
                      <w:szCs w:val="21"/>
                    </w:rPr>
                  </w:pPr>
                  <w:r>
                    <w:rPr>
                      <w:rFonts w:hint="eastAsia"/>
                      <w:sz w:val="21"/>
                      <w:szCs w:val="21"/>
                    </w:rPr>
                    <w:t>6</w:t>
                  </w:r>
                  <w:r>
                    <w:rPr>
                      <w:sz w:val="21"/>
                      <w:szCs w:val="21"/>
                    </w:rPr>
                    <w:t>00</w:t>
                  </w:r>
                  <w:r>
                    <w:rPr>
                      <w:rFonts w:hint="eastAsia"/>
                      <w:sz w:val="21"/>
                      <w:szCs w:val="21"/>
                    </w:rPr>
                    <w:t>×</w:t>
                  </w:r>
                  <w:r>
                    <w:rPr>
                      <w:sz w:val="21"/>
                      <w:szCs w:val="21"/>
                    </w:rPr>
                    <w:t>900</w:t>
                  </w:r>
                  <w:r>
                    <w:rPr>
                      <w:rFonts w:hint="eastAsia"/>
                      <w:sz w:val="21"/>
                      <w:szCs w:val="21"/>
                    </w:rPr>
                    <w:t>，90-180t/h</w:t>
                  </w:r>
                </w:p>
              </w:tc>
              <w:tc>
                <w:tcPr>
                  <w:tcW w:w="1979" w:type="dxa"/>
                  <w:vAlign w:val="center"/>
                </w:tcPr>
                <w:p>
                  <w:pPr>
                    <w:pStyle w:val="144"/>
                    <w:snapToGrid/>
                    <w:spacing w:before="0" w:after="0" w:line="240" w:lineRule="auto"/>
                    <w:ind w:firstLine="0" w:firstLineChars="0"/>
                    <w:jc w:val="center"/>
                    <w:rPr>
                      <w:sz w:val="21"/>
                      <w:szCs w:val="21"/>
                    </w:rPr>
                  </w:pPr>
                  <w:r>
                    <w:rPr>
                      <w:sz w:val="21"/>
                      <w:szCs w:val="21"/>
                    </w:rPr>
                    <w:t>1</w:t>
                  </w:r>
                  <w:r>
                    <w:rPr>
                      <w:rFonts w:hint="eastAsia"/>
                      <w:sz w:val="21"/>
                      <w:szCs w:val="21"/>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3" w:type="dxa"/>
                  <w:vMerge w:val="continue"/>
                  <w:vAlign w:val="center"/>
                </w:tcPr>
                <w:p>
                  <w:pPr>
                    <w:pStyle w:val="144"/>
                    <w:spacing w:before="0" w:after="0" w:line="240" w:lineRule="auto"/>
                    <w:ind w:firstLine="0" w:firstLineChars="0"/>
                    <w:jc w:val="center"/>
                    <w:rPr>
                      <w:sz w:val="21"/>
                      <w:szCs w:val="21"/>
                    </w:rPr>
                  </w:pPr>
                </w:p>
              </w:tc>
              <w:tc>
                <w:tcPr>
                  <w:tcW w:w="2835" w:type="dxa"/>
                  <w:vAlign w:val="center"/>
                </w:tcPr>
                <w:p>
                  <w:pPr>
                    <w:pStyle w:val="144"/>
                    <w:snapToGrid/>
                    <w:spacing w:before="0" w:after="0" w:line="240" w:lineRule="auto"/>
                    <w:ind w:firstLine="0" w:firstLineChars="0"/>
                    <w:jc w:val="center"/>
                    <w:rPr>
                      <w:sz w:val="21"/>
                      <w:szCs w:val="21"/>
                    </w:rPr>
                  </w:pPr>
                  <w:r>
                    <w:rPr>
                      <w:rFonts w:hint="eastAsia"/>
                      <w:sz w:val="21"/>
                      <w:szCs w:val="21"/>
                    </w:rPr>
                    <w:t>反击式破碎机</w:t>
                  </w:r>
                </w:p>
              </w:tc>
              <w:tc>
                <w:tcPr>
                  <w:tcW w:w="2573" w:type="dxa"/>
                  <w:vAlign w:val="center"/>
                </w:tcPr>
                <w:p>
                  <w:pPr>
                    <w:pStyle w:val="144"/>
                    <w:snapToGrid/>
                    <w:spacing w:before="0" w:after="0" w:line="240" w:lineRule="auto"/>
                    <w:ind w:firstLine="0" w:firstLineChars="0"/>
                    <w:jc w:val="center"/>
                    <w:rPr>
                      <w:sz w:val="21"/>
                      <w:szCs w:val="21"/>
                    </w:rPr>
                  </w:pPr>
                  <w:r>
                    <w:rPr>
                      <w:sz w:val="21"/>
                      <w:szCs w:val="21"/>
                    </w:rPr>
                    <w:t>1214</w:t>
                  </w:r>
                  <w:r>
                    <w:rPr>
                      <w:rFonts w:hint="eastAsia"/>
                      <w:sz w:val="21"/>
                      <w:szCs w:val="21"/>
                    </w:rPr>
                    <w:t>，90-180t/h</w:t>
                  </w:r>
                </w:p>
              </w:tc>
              <w:tc>
                <w:tcPr>
                  <w:tcW w:w="1979" w:type="dxa"/>
                  <w:vAlign w:val="center"/>
                </w:tcPr>
                <w:p>
                  <w:pPr>
                    <w:pStyle w:val="144"/>
                    <w:snapToGrid/>
                    <w:spacing w:before="0" w:after="0" w:line="240" w:lineRule="auto"/>
                    <w:ind w:firstLine="0" w:firstLineChars="0"/>
                    <w:jc w:val="center"/>
                    <w:rPr>
                      <w:sz w:val="21"/>
                      <w:szCs w:val="21"/>
                    </w:rPr>
                  </w:pPr>
                  <w:r>
                    <w:rPr>
                      <w:sz w:val="21"/>
                      <w:szCs w:val="21"/>
                    </w:rPr>
                    <w:t>1</w:t>
                  </w:r>
                  <w:r>
                    <w:rPr>
                      <w:rFonts w:hint="eastAsia"/>
                      <w:sz w:val="21"/>
                      <w:szCs w:val="21"/>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3" w:type="dxa"/>
                  <w:vMerge w:val="continue"/>
                  <w:vAlign w:val="center"/>
                </w:tcPr>
                <w:p>
                  <w:pPr>
                    <w:pStyle w:val="144"/>
                    <w:spacing w:before="0" w:after="0" w:line="240" w:lineRule="auto"/>
                    <w:ind w:firstLine="0" w:firstLineChars="0"/>
                    <w:jc w:val="center"/>
                    <w:rPr>
                      <w:sz w:val="21"/>
                      <w:szCs w:val="21"/>
                    </w:rPr>
                  </w:pPr>
                </w:p>
              </w:tc>
              <w:tc>
                <w:tcPr>
                  <w:tcW w:w="2835" w:type="dxa"/>
                  <w:vAlign w:val="center"/>
                </w:tcPr>
                <w:p>
                  <w:pPr>
                    <w:pStyle w:val="144"/>
                    <w:snapToGrid/>
                    <w:spacing w:before="0" w:after="0" w:line="240" w:lineRule="auto"/>
                    <w:ind w:firstLine="0" w:firstLineChars="0"/>
                    <w:jc w:val="center"/>
                    <w:rPr>
                      <w:sz w:val="21"/>
                      <w:szCs w:val="21"/>
                    </w:rPr>
                  </w:pPr>
                  <w:r>
                    <w:rPr>
                      <w:rFonts w:hint="eastAsia"/>
                      <w:sz w:val="21"/>
                      <w:szCs w:val="21"/>
                    </w:rPr>
                    <w:t>料仓</w:t>
                  </w:r>
                </w:p>
              </w:tc>
              <w:tc>
                <w:tcPr>
                  <w:tcW w:w="2573" w:type="dxa"/>
                  <w:vAlign w:val="center"/>
                </w:tcPr>
                <w:p>
                  <w:pPr>
                    <w:pStyle w:val="144"/>
                    <w:snapToGrid/>
                    <w:spacing w:before="0" w:after="0" w:line="240" w:lineRule="auto"/>
                    <w:ind w:firstLine="0" w:firstLineChars="0"/>
                    <w:jc w:val="center"/>
                    <w:rPr>
                      <w:sz w:val="21"/>
                      <w:szCs w:val="21"/>
                    </w:rPr>
                  </w:pPr>
                  <w:r>
                    <w:rPr>
                      <w:rFonts w:hint="eastAsia"/>
                      <w:sz w:val="21"/>
                      <w:szCs w:val="21"/>
                    </w:rPr>
                    <w:t>2</w:t>
                  </w:r>
                  <w:r>
                    <w:rPr>
                      <w:sz w:val="21"/>
                      <w:szCs w:val="21"/>
                    </w:rPr>
                    <w:t>0</w:t>
                  </w:r>
                  <w:r>
                    <w:rPr>
                      <w:rFonts w:hint="eastAsia"/>
                      <w:sz w:val="21"/>
                      <w:szCs w:val="21"/>
                    </w:rPr>
                    <w:t>t</w:t>
                  </w:r>
                </w:p>
              </w:tc>
              <w:tc>
                <w:tcPr>
                  <w:tcW w:w="1979" w:type="dxa"/>
                  <w:vAlign w:val="center"/>
                </w:tcPr>
                <w:p>
                  <w:pPr>
                    <w:pStyle w:val="144"/>
                    <w:snapToGrid/>
                    <w:spacing w:before="0" w:after="0" w:line="240" w:lineRule="auto"/>
                    <w:ind w:firstLine="0" w:firstLineChars="0"/>
                    <w:jc w:val="center"/>
                    <w:rPr>
                      <w:sz w:val="21"/>
                      <w:szCs w:val="21"/>
                    </w:rPr>
                  </w:pPr>
                  <w:r>
                    <w:rPr>
                      <w:sz w:val="21"/>
                      <w:szCs w:val="21"/>
                    </w:rPr>
                    <w:t>1</w:t>
                  </w:r>
                  <w:r>
                    <w:rPr>
                      <w:rFonts w:hint="eastAsia"/>
                      <w:sz w:val="21"/>
                      <w:szCs w:val="21"/>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3" w:type="dxa"/>
                  <w:vMerge w:val="continue"/>
                  <w:vAlign w:val="center"/>
                </w:tcPr>
                <w:p>
                  <w:pPr>
                    <w:pStyle w:val="144"/>
                    <w:spacing w:before="0" w:after="0" w:line="240" w:lineRule="auto"/>
                    <w:ind w:firstLine="0" w:firstLineChars="0"/>
                    <w:jc w:val="center"/>
                    <w:rPr>
                      <w:sz w:val="21"/>
                      <w:szCs w:val="21"/>
                    </w:rPr>
                  </w:pPr>
                </w:p>
              </w:tc>
              <w:tc>
                <w:tcPr>
                  <w:tcW w:w="2835" w:type="dxa"/>
                  <w:vAlign w:val="center"/>
                </w:tcPr>
                <w:p>
                  <w:pPr>
                    <w:pStyle w:val="144"/>
                    <w:snapToGrid/>
                    <w:spacing w:before="0" w:after="0" w:line="240" w:lineRule="auto"/>
                    <w:ind w:firstLine="0" w:firstLineChars="0"/>
                    <w:jc w:val="center"/>
                    <w:rPr>
                      <w:sz w:val="21"/>
                      <w:szCs w:val="21"/>
                    </w:rPr>
                  </w:pPr>
                  <w:r>
                    <w:rPr>
                      <w:rFonts w:hint="eastAsia"/>
                      <w:sz w:val="21"/>
                      <w:szCs w:val="21"/>
                    </w:rPr>
                    <w:t>立轴冲击式破碎机</w:t>
                  </w:r>
                </w:p>
              </w:tc>
              <w:tc>
                <w:tcPr>
                  <w:tcW w:w="2573" w:type="dxa"/>
                  <w:vAlign w:val="center"/>
                </w:tcPr>
                <w:p>
                  <w:pPr>
                    <w:pStyle w:val="144"/>
                    <w:snapToGrid/>
                    <w:spacing w:before="0" w:after="0" w:line="240" w:lineRule="auto"/>
                    <w:ind w:firstLine="0" w:firstLineChars="0"/>
                    <w:jc w:val="center"/>
                    <w:rPr>
                      <w:sz w:val="21"/>
                      <w:szCs w:val="21"/>
                    </w:rPr>
                  </w:pPr>
                  <w:r>
                    <w:rPr>
                      <w:rFonts w:hint="eastAsia"/>
                      <w:sz w:val="21"/>
                      <w:szCs w:val="21"/>
                    </w:rPr>
                    <w:t>6×</w:t>
                  </w:r>
                  <w:r>
                    <w:rPr>
                      <w:sz w:val="21"/>
                      <w:szCs w:val="21"/>
                    </w:rPr>
                    <w:t>1150</w:t>
                  </w:r>
                  <w:r>
                    <w:rPr>
                      <w:rFonts w:hint="eastAsia"/>
                      <w:sz w:val="21"/>
                      <w:szCs w:val="21"/>
                    </w:rPr>
                    <w:t>，</w:t>
                  </w:r>
                  <w:r>
                    <w:rPr>
                      <w:sz w:val="21"/>
                      <w:szCs w:val="21"/>
                    </w:rPr>
                    <w:t>60</w:t>
                  </w:r>
                  <w:r>
                    <w:rPr>
                      <w:rFonts w:hint="eastAsia"/>
                      <w:sz w:val="21"/>
                      <w:szCs w:val="21"/>
                    </w:rPr>
                    <w:t>-1</w:t>
                  </w:r>
                  <w:r>
                    <w:rPr>
                      <w:sz w:val="21"/>
                      <w:szCs w:val="21"/>
                    </w:rPr>
                    <w:t>6</w:t>
                  </w:r>
                  <w:r>
                    <w:rPr>
                      <w:rFonts w:hint="eastAsia"/>
                      <w:sz w:val="21"/>
                      <w:szCs w:val="21"/>
                    </w:rPr>
                    <w:t>0t/h</w:t>
                  </w:r>
                </w:p>
              </w:tc>
              <w:tc>
                <w:tcPr>
                  <w:tcW w:w="1979" w:type="dxa"/>
                  <w:vAlign w:val="center"/>
                </w:tcPr>
                <w:p>
                  <w:pPr>
                    <w:pStyle w:val="144"/>
                    <w:snapToGrid/>
                    <w:spacing w:before="0" w:after="0" w:line="240" w:lineRule="auto"/>
                    <w:ind w:firstLine="0" w:firstLineChars="0"/>
                    <w:jc w:val="center"/>
                    <w:rPr>
                      <w:sz w:val="21"/>
                      <w:szCs w:val="21"/>
                    </w:rPr>
                  </w:pPr>
                  <w:r>
                    <w:rPr>
                      <w:sz w:val="21"/>
                      <w:szCs w:val="21"/>
                    </w:rPr>
                    <w:t>1</w:t>
                  </w:r>
                  <w:r>
                    <w:rPr>
                      <w:rFonts w:hint="eastAsia"/>
                      <w:sz w:val="21"/>
                      <w:szCs w:val="21"/>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3" w:type="dxa"/>
                  <w:vMerge w:val="continue"/>
                  <w:vAlign w:val="center"/>
                </w:tcPr>
                <w:p>
                  <w:pPr>
                    <w:pStyle w:val="144"/>
                    <w:spacing w:before="0" w:after="0" w:line="240" w:lineRule="auto"/>
                    <w:ind w:firstLine="0" w:firstLineChars="0"/>
                    <w:jc w:val="center"/>
                    <w:rPr>
                      <w:sz w:val="21"/>
                      <w:szCs w:val="21"/>
                    </w:rPr>
                  </w:pPr>
                </w:p>
              </w:tc>
              <w:tc>
                <w:tcPr>
                  <w:tcW w:w="2835" w:type="dxa"/>
                  <w:vAlign w:val="center"/>
                </w:tcPr>
                <w:p>
                  <w:pPr>
                    <w:pStyle w:val="144"/>
                    <w:snapToGrid/>
                    <w:spacing w:before="0" w:after="0" w:line="240" w:lineRule="auto"/>
                    <w:ind w:firstLine="0" w:firstLineChars="0"/>
                    <w:jc w:val="center"/>
                    <w:rPr>
                      <w:sz w:val="21"/>
                      <w:szCs w:val="21"/>
                    </w:rPr>
                  </w:pPr>
                  <w:r>
                    <w:rPr>
                      <w:rFonts w:hint="eastAsia"/>
                      <w:sz w:val="21"/>
                      <w:szCs w:val="21"/>
                    </w:rPr>
                    <w:t>振动筛</w:t>
                  </w:r>
                </w:p>
              </w:tc>
              <w:tc>
                <w:tcPr>
                  <w:tcW w:w="2573" w:type="dxa"/>
                  <w:vAlign w:val="center"/>
                </w:tcPr>
                <w:p>
                  <w:pPr>
                    <w:pStyle w:val="144"/>
                    <w:snapToGrid/>
                    <w:spacing w:before="0" w:after="0" w:line="240" w:lineRule="auto"/>
                    <w:ind w:firstLine="0" w:firstLineChars="0"/>
                    <w:jc w:val="center"/>
                    <w:rPr>
                      <w:sz w:val="21"/>
                      <w:szCs w:val="21"/>
                    </w:rPr>
                  </w:pPr>
                  <w:r>
                    <w:rPr>
                      <w:rFonts w:hint="eastAsia"/>
                      <w:sz w:val="21"/>
                      <w:szCs w:val="21"/>
                    </w:rPr>
                    <w:t>3</w:t>
                  </w:r>
                  <w:r>
                    <w:rPr>
                      <w:sz w:val="21"/>
                      <w:szCs w:val="21"/>
                    </w:rPr>
                    <w:t>072</w:t>
                  </w:r>
                </w:p>
              </w:tc>
              <w:tc>
                <w:tcPr>
                  <w:tcW w:w="1979" w:type="dxa"/>
                  <w:vAlign w:val="center"/>
                </w:tcPr>
                <w:p>
                  <w:pPr>
                    <w:pStyle w:val="144"/>
                    <w:snapToGrid/>
                    <w:spacing w:before="0" w:after="0" w:line="240" w:lineRule="auto"/>
                    <w:ind w:firstLine="0" w:firstLineChars="0"/>
                    <w:jc w:val="center"/>
                    <w:rPr>
                      <w:sz w:val="21"/>
                      <w:szCs w:val="21"/>
                    </w:rPr>
                  </w:pPr>
                  <w:r>
                    <w:rPr>
                      <w:rFonts w:hint="eastAsia"/>
                      <w:sz w:val="21"/>
                      <w:szCs w:val="21"/>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3" w:type="dxa"/>
                  <w:vMerge w:val="restart"/>
                  <w:vAlign w:val="center"/>
                </w:tcPr>
                <w:p>
                  <w:pPr>
                    <w:pStyle w:val="144"/>
                    <w:spacing w:before="0" w:after="0" w:line="240" w:lineRule="auto"/>
                    <w:ind w:firstLine="0" w:firstLineChars="0"/>
                    <w:jc w:val="center"/>
                    <w:rPr>
                      <w:sz w:val="21"/>
                      <w:szCs w:val="21"/>
                    </w:rPr>
                  </w:pPr>
                  <w:r>
                    <w:rPr>
                      <w:rFonts w:hint="eastAsia"/>
                      <w:sz w:val="21"/>
                      <w:szCs w:val="21"/>
                    </w:rPr>
                    <w:t>微粉生产线</w:t>
                  </w:r>
                </w:p>
              </w:tc>
              <w:tc>
                <w:tcPr>
                  <w:tcW w:w="2835" w:type="dxa"/>
                  <w:vAlign w:val="center"/>
                </w:tcPr>
                <w:p>
                  <w:pPr>
                    <w:pStyle w:val="144"/>
                    <w:snapToGrid/>
                    <w:spacing w:before="0" w:after="0" w:line="240" w:lineRule="auto"/>
                    <w:ind w:firstLine="0" w:firstLineChars="0"/>
                    <w:jc w:val="center"/>
                    <w:rPr>
                      <w:sz w:val="21"/>
                      <w:szCs w:val="21"/>
                    </w:rPr>
                  </w:pPr>
                  <w:r>
                    <w:rPr>
                      <w:rFonts w:hint="eastAsia"/>
                      <w:sz w:val="21"/>
                      <w:szCs w:val="21"/>
                    </w:rPr>
                    <w:t>鄂式破碎机</w:t>
                  </w:r>
                </w:p>
              </w:tc>
              <w:tc>
                <w:tcPr>
                  <w:tcW w:w="2573" w:type="dxa"/>
                  <w:vAlign w:val="center"/>
                </w:tcPr>
                <w:p>
                  <w:pPr>
                    <w:pStyle w:val="144"/>
                    <w:snapToGrid/>
                    <w:spacing w:before="0" w:after="0" w:line="240" w:lineRule="auto"/>
                    <w:ind w:firstLine="0" w:firstLineChars="0"/>
                    <w:jc w:val="center"/>
                    <w:rPr>
                      <w:sz w:val="21"/>
                      <w:szCs w:val="21"/>
                    </w:rPr>
                  </w:pPr>
                  <w:r>
                    <w:rPr>
                      <w:sz w:val="21"/>
                      <w:szCs w:val="21"/>
                    </w:rPr>
                    <w:t>500</w:t>
                  </w:r>
                  <w:r>
                    <w:rPr>
                      <w:rFonts w:hint="eastAsia"/>
                      <w:sz w:val="21"/>
                      <w:szCs w:val="21"/>
                    </w:rPr>
                    <w:t>×</w:t>
                  </w:r>
                  <w:r>
                    <w:rPr>
                      <w:sz w:val="21"/>
                      <w:szCs w:val="21"/>
                    </w:rPr>
                    <w:t>700</w:t>
                  </w:r>
                  <w:r>
                    <w:rPr>
                      <w:rFonts w:hint="eastAsia"/>
                      <w:sz w:val="21"/>
                      <w:szCs w:val="21"/>
                    </w:rPr>
                    <w:t>，4</w:t>
                  </w:r>
                  <w:r>
                    <w:rPr>
                      <w:sz w:val="21"/>
                      <w:szCs w:val="21"/>
                    </w:rPr>
                    <w:t>0-130t/h</w:t>
                  </w:r>
                </w:p>
              </w:tc>
              <w:tc>
                <w:tcPr>
                  <w:tcW w:w="1979" w:type="dxa"/>
                  <w:vAlign w:val="center"/>
                </w:tcPr>
                <w:p>
                  <w:pPr>
                    <w:pStyle w:val="144"/>
                    <w:snapToGrid/>
                    <w:spacing w:before="0" w:after="0" w:line="240" w:lineRule="auto"/>
                    <w:ind w:firstLine="0" w:firstLineChars="0"/>
                    <w:jc w:val="center"/>
                    <w:rPr>
                      <w:sz w:val="21"/>
                      <w:szCs w:val="21"/>
                    </w:rPr>
                  </w:pPr>
                  <w:r>
                    <w:rPr>
                      <w:rFonts w:hint="eastAsia"/>
                      <w:sz w:val="21"/>
                      <w:szCs w:val="21"/>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3" w:type="dxa"/>
                  <w:vMerge w:val="continue"/>
                  <w:vAlign w:val="center"/>
                </w:tcPr>
                <w:p>
                  <w:pPr>
                    <w:pStyle w:val="144"/>
                    <w:spacing w:before="0" w:after="0" w:line="240" w:lineRule="auto"/>
                    <w:ind w:firstLine="0" w:firstLineChars="0"/>
                    <w:jc w:val="center"/>
                    <w:rPr>
                      <w:sz w:val="21"/>
                      <w:szCs w:val="21"/>
                    </w:rPr>
                  </w:pPr>
                </w:p>
              </w:tc>
              <w:tc>
                <w:tcPr>
                  <w:tcW w:w="2835" w:type="dxa"/>
                  <w:vAlign w:val="center"/>
                </w:tcPr>
                <w:p>
                  <w:pPr>
                    <w:pStyle w:val="144"/>
                    <w:snapToGrid/>
                    <w:spacing w:before="0" w:after="0" w:line="240" w:lineRule="auto"/>
                    <w:ind w:firstLine="0" w:firstLineChars="0"/>
                    <w:jc w:val="center"/>
                    <w:rPr>
                      <w:sz w:val="21"/>
                      <w:szCs w:val="21"/>
                    </w:rPr>
                  </w:pPr>
                  <w:r>
                    <w:rPr>
                      <w:rFonts w:hint="eastAsia"/>
                      <w:sz w:val="21"/>
                      <w:szCs w:val="21"/>
                    </w:rPr>
                    <w:t>鄂式破碎机</w:t>
                  </w:r>
                </w:p>
              </w:tc>
              <w:tc>
                <w:tcPr>
                  <w:tcW w:w="2573" w:type="dxa"/>
                  <w:vAlign w:val="center"/>
                </w:tcPr>
                <w:p>
                  <w:pPr>
                    <w:pStyle w:val="144"/>
                    <w:snapToGrid/>
                    <w:spacing w:before="0" w:after="0" w:line="240" w:lineRule="auto"/>
                    <w:ind w:firstLine="0" w:firstLineChars="0"/>
                    <w:jc w:val="center"/>
                    <w:rPr>
                      <w:sz w:val="21"/>
                      <w:szCs w:val="21"/>
                    </w:rPr>
                  </w:pPr>
                  <w:r>
                    <w:rPr>
                      <w:sz w:val="21"/>
                      <w:szCs w:val="21"/>
                    </w:rPr>
                    <w:t>250</w:t>
                  </w:r>
                  <w:r>
                    <w:rPr>
                      <w:rFonts w:hint="eastAsia"/>
                      <w:sz w:val="21"/>
                      <w:szCs w:val="21"/>
                    </w:rPr>
                    <w:t>×</w:t>
                  </w:r>
                  <w:r>
                    <w:rPr>
                      <w:sz w:val="21"/>
                      <w:szCs w:val="21"/>
                    </w:rPr>
                    <w:t>1200</w:t>
                  </w:r>
                  <w:r>
                    <w:rPr>
                      <w:rFonts w:hint="eastAsia"/>
                      <w:sz w:val="21"/>
                      <w:szCs w:val="21"/>
                    </w:rPr>
                    <w:t>，2</w:t>
                  </w:r>
                  <w:r>
                    <w:rPr>
                      <w:sz w:val="21"/>
                      <w:szCs w:val="21"/>
                    </w:rPr>
                    <w:t>0-60</w:t>
                  </w:r>
                  <w:r>
                    <w:rPr>
                      <w:rFonts w:hint="eastAsia"/>
                      <w:sz w:val="21"/>
                      <w:szCs w:val="21"/>
                    </w:rPr>
                    <w:t>t/h</w:t>
                  </w:r>
                </w:p>
              </w:tc>
              <w:tc>
                <w:tcPr>
                  <w:tcW w:w="1979" w:type="dxa"/>
                  <w:vAlign w:val="center"/>
                </w:tcPr>
                <w:p>
                  <w:pPr>
                    <w:pStyle w:val="144"/>
                    <w:snapToGrid/>
                    <w:spacing w:before="0" w:after="0" w:line="240" w:lineRule="auto"/>
                    <w:ind w:firstLine="0" w:firstLineChars="0"/>
                    <w:jc w:val="center"/>
                    <w:rPr>
                      <w:sz w:val="21"/>
                      <w:szCs w:val="21"/>
                    </w:rPr>
                  </w:pPr>
                  <w:r>
                    <w:rPr>
                      <w:sz w:val="21"/>
                      <w:szCs w:val="21"/>
                    </w:rPr>
                    <w:t>2</w:t>
                  </w:r>
                  <w:r>
                    <w:rPr>
                      <w:rFonts w:hint="eastAsia"/>
                      <w:sz w:val="21"/>
                      <w:szCs w:val="21"/>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3" w:type="dxa"/>
                  <w:vMerge w:val="continue"/>
                  <w:vAlign w:val="center"/>
                </w:tcPr>
                <w:p>
                  <w:pPr>
                    <w:pStyle w:val="144"/>
                    <w:spacing w:before="0" w:after="0" w:line="240" w:lineRule="auto"/>
                    <w:ind w:firstLine="0" w:firstLineChars="0"/>
                    <w:jc w:val="center"/>
                    <w:rPr>
                      <w:sz w:val="21"/>
                      <w:szCs w:val="21"/>
                    </w:rPr>
                  </w:pPr>
                </w:p>
              </w:tc>
              <w:tc>
                <w:tcPr>
                  <w:tcW w:w="2835" w:type="dxa"/>
                  <w:vAlign w:val="center"/>
                </w:tcPr>
                <w:p>
                  <w:pPr>
                    <w:pStyle w:val="144"/>
                    <w:snapToGrid/>
                    <w:spacing w:before="0" w:after="0" w:line="240" w:lineRule="auto"/>
                    <w:ind w:firstLine="0" w:firstLineChars="0"/>
                    <w:jc w:val="center"/>
                    <w:rPr>
                      <w:sz w:val="21"/>
                      <w:szCs w:val="21"/>
                    </w:rPr>
                  </w:pPr>
                  <w:r>
                    <w:rPr>
                      <w:rFonts w:hint="eastAsia"/>
                      <w:sz w:val="21"/>
                      <w:szCs w:val="21"/>
                    </w:rPr>
                    <w:t>超细破碎机</w:t>
                  </w:r>
                </w:p>
              </w:tc>
              <w:tc>
                <w:tcPr>
                  <w:tcW w:w="2573" w:type="dxa"/>
                  <w:vAlign w:val="center"/>
                </w:tcPr>
                <w:p>
                  <w:pPr>
                    <w:pStyle w:val="144"/>
                    <w:snapToGrid/>
                    <w:spacing w:before="0" w:after="0" w:line="240" w:lineRule="auto"/>
                    <w:ind w:firstLine="0" w:firstLineChars="0"/>
                    <w:jc w:val="center"/>
                    <w:rPr>
                      <w:sz w:val="21"/>
                      <w:szCs w:val="21"/>
                    </w:rPr>
                  </w:pPr>
                  <w:r>
                    <w:rPr>
                      <w:rFonts w:hint="eastAsia"/>
                      <w:sz w:val="21"/>
                      <w:szCs w:val="21"/>
                    </w:rPr>
                    <w:t>1</w:t>
                  </w:r>
                  <w:r>
                    <w:rPr>
                      <w:sz w:val="21"/>
                      <w:szCs w:val="21"/>
                    </w:rPr>
                    <w:t>1150</w:t>
                  </w:r>
                  <w:r>
                    <w:rPr>
                      <w:rFonts w:hint="eastAsia"/>
                      <w:sz w:val="21"/>
                      <w:szCs w:val="21"/>
                    </w:rPr>
                    <w:t>，2</w:t>
                  </w:r>
                  <w:r>
                    <w:rPr>
                      <w:sz w:val="21"/>
                      <w:szCs w:val="21"/>
                    </w:rPr>
                    <w:t>0-60</w:t>
                  </w:r>
                  <w:r>
                    <w:rPr>
                      <w:rFonts w:hint="eastAsia"/>
                      <w:sz w:val="21"/>
                      <w:szCs w:val="21"/>
                    </w:rPr>
                    <w:t>t/h</w:t>
                  </w:r>
                </w:p>
              </w:tc>
              <w:tc>
                <w:tcPr>
                  <w:tcW w:w="1979" w:type="dxa"/>
                  <w:vAlign w:val="center"/>
                </w:tcPr>
                <w:p>
                  <w:pPr>
                    <w:pStyle w:val="144"/>
                    <w:snapToGrid/>
                    <w:spacing w:before="0" w:after="0" w:line="240" w:lineRule="auto"/>
                    <w:ind w:firstLine="0" w:firstLineChars="0"/>
                    <w:jc w:val="center"/>
                    <w:rPr>
                      <w:sz w:val="21"/>
                      <w:szCs w:val="21"/>
                    </w:rPr>
                  </w:pPr>
                  <w:r>
                    <w:rPr>
                      <w:rFonts w:hint="eastAsia"/>
                      <w:sz w:val="21"/>
                      <w:szCs w:val="21"/>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3" w:type="dxa"/>
                  <w:vMerge w:val="continue"/>
                  <w:vAlign w:val="center"/>
                </w:tcPr>
                <w:p>
                  <w:pPr>
                    <w:pStyle w:val="144"/>
                    <w:spacing w:before="0" w:after="0" w:line="240" w:lineRule="auto"/>
                    <w:ind w:firstLine="0" w:firstLineChars="0"/>
                    <w:jc w:val="center"/>
                    <w:rPr>
                      <w:sz w:val="21"/>
                      <w:szCs w:val="21"/>
                    </w:rPr>
                  </w:pPr>
                </w:p>
              </w:tc>
              <w:tc>
                <w:tcPr>
                  <w:tcW w:w="2835" w:type="dxa"/>
                  <w:vAlign w:val="center"/>
                </w:tcPr>
                <w:p>
                  <w:pPr>
                    <w:pStyle w:val="144"/>
                    <w:snapToGrid/>
                    <w:spacing w:before="0" w:after="0" w:line="240" w:lineRule="auto"/>
                    <w:ind w:firstLine="0" w:firstLineChars="0"/>
                    <w:jc w:val="center"/>
                    <w:rPr>
                      <w:sz w:val="21"/>
                      <w:szCs w:val="21"/>
                    </w:rPr>
                  </w:pPr>
                  <w:r>
                    <w:rPr>
                      <w:rFonts w:hint="eastAsia"/>
                      <w:sz w:val="21"/>
                      <w:szCs w:val="21"/>
                    </w:rPr>
                    <w:t>振动筛</w:t>
                  </w:r>
                </w:p>
              </w:tc>
              <w:tc>
                <w:tcPr>
                  <w:tcW w:w="2573" w:type="dxa"/>
                  <w:vAlign w:val="center"/>
                </w:tcPr>
                <w:p>
                  <w:pPr>
                    <w:pStyle w:val="144"/>
                    <w:snapToGrid/>
                    <w:spacing w:before="0" w:after="0" w:line="240" w:lineRule="auto"/>
                    <w:ind w:firstLine="0" w:firstLineChars="0"/>
                    <w:jc w:val="center"/>
                    <w:rPr>
                      <w:sz w:val="21"/>
                      <w:szCs w:val="21"/>
                    </w:rPr>
                  </w:pPr>
                  <w:r>
                    <w:rPr>
                      <w:rFonts w:hint="eastAsia"/>
                      <w:sz w:val="21"/>
                      <w:szCs w:val="21"/>
                    </w:rPr>
                    <w:t>2</w:t>
                  </w:r>
                  <w:r>
                    <w:rPr>
                      <w:sz w:val="21"/>
                      <w:szCs w:val="21"/>
                    </w:rPr>
                    <w:t>160</w:t>
                  </w:r>
                </w:p>
              </w:tc>
              <w:tc>
                <w:tcPr>
                  <w:tcW w:w="1979" w:type="dxa"/>
                  <w:vAlign w:val="center"/>
                </w:tcPr>
                <w:p>
                  <w:pPr>
                    <w:pStyle w:val="144"/>
                    <w:snapToGrid/>
                    <w:spacing w:before="0" w:after="0" w:line="240" w:lineRule="auto"/>
                    <w:ind w:firstLine="0" w:firstLineChars="0"/>
                    <w:jc w:val="center"/>
                    <w:rPr>
                      <w:sz w:val="21"/>
                      <w:szCs w:val="21"/>
                    </w:rPr>
                  </w:pPr>
                  <w:r>
                    <w:rPr>
                      <w:rFonts w:hint="eastAsia"/>
                      <w:sz w:val="21"/>
                      <w:szCs w:val="21"/>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3" w:type="dxa"/>
                  <w:vMerge w:val="restart"/>
                  <w:vAlign w:val="center"/>
                </w:tcPr>
                <w:p>
                  <w:pPr>
                    <w:pStyle w:val="144"/>
                    <w:spacing w:before="0" w:after="0" w:line="240" w:lineRule="auto"/>
                    <w:ind w:firstLine="0" w:firstLineChars="0"/>
                    <w:jc w:val="center"/>
                    <w:rPr>
                      <w:sz w:val="21"/>
                      <w:szCs w:val="21"/>
                    </w:rPr>
                  </w:pPr>
                  <w:r>
                    <w:rPr>
                      <w:bCs/>
                      <w:sz w:val="21"/>
                      <w:szCs w:val="21"/>
                    </w:rPr>
                    <w:t>非道路移动机械</w:t>
                  </w:r>
                </w:p>
              </w:tc>
              <w:tc>
                <w:tcPr>
                  <w:tcW w:w="2835" w:type="dxa"/>
                  <w:vAlign w:val="center"/>
                </w:tcPr>
                <w:p>
                  <w:pPr>
                    <w:pStyle w:val="144"/>
                    <w:snapToGrid/>
                    <w:spacing w:before="0" w:after="0" w:line="240" w:lineRule="auto"/>
                    <w:ind w:firstLine="0" w:firstLineChars="0"/>
                    <w:jc w:val="center"/>
                    <w:rPr>
                      <w:sz w:val="21"/>
                      <w:szCs w:val="21"/>
                    </w:rPr>
                  </w:pPr>
                  <w:r>
                    <w:rPr>
                      <w:rFonts w:hint="eastAsia"/>
                      <w:sz w:val="21"/>
                      <w:szCs w:val="21"/>
                    </w:rPr>
                    <w:t>铲车</w:t>
                  </w:r>
                </w:p>
              </w:tc>
              <w:tc>
                <w:tcPr>
                  <w:tcW w:w="2573" w:type="dxa"/>
                  <w:vAlign w:val="center"/>
                </w:tcPr>
                <w:p>
                  <w:pPr>
                    <w:pStyle w:val="144"/>
                    <w:snapToGrid/>
                    <w:spacing w:before="0" w:after="0" w:line="240" w:lineRule="auto"/>
                    <w:ind w:firstLine="0" w:firstLineChars="0"/>
                    <w:jc w:val="center"/>
                    <w:rPr>
                      <w:sz w:val="21"/>
                      <w:szCs w:val="21"/>
                    </w:rPr>
                  </w:pPr>
                  <w:r>
                    <w:rPr>
                      <w:rFonts w:hint="eastAsia"/>
                      <w:sz w:val="21"/>
                      <w:szCs w:val="21"/>
                    </w:rPr>
                    <w:t>/</w:t>
                  </w:r>
                </w:p>
              </w:tc>
              <w:tc>
                <w:tcPr>
                  <w:tcW w:w="1979" w:type="dxa"/>
                  <w:vAlign w:val="center"/>
                </w:tcPr>
                <w:p>
                  <w:pPr>
                    <w:pStyle w:val="144"/>
                    <w:snapToGrid/>
                    <w:spacing w:before="0" w:after="0" w:line="240" w:lineRule="auto"/>
                    <w:ind w:firstLine="0" w:firstLineChars="0"/>
                    <w:jc w:val="center"/>
                    <w:rPr>
                      <w:sz w:val="21"/>
                      <w:szCs w:val="21"/>
                    </w:rPr>
                  </w:pPr>
                  <w:r>
                    <w:rPr>
                      <w:rFonts w:hint="eastAsia"/>
                      <w:sz w:val="21"/>
                      <w:szCs w:val="21"/>
                    </w:rPr>
                    <w:t>4台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3" w:type="dxa"/>
                  <w:vMerge w:val="continue"/>
                  <w:vAlign w:val="center"/>
                </w:tcPr>
                <w:p>
                  <w:pPr>
                    <w:pStyle w:val="144"/>
                    <w:spacing w:before="0" w:after="0" w:line="240" w:lineRule="auto"/>
                    <w:ind w:firstLine="0" w:firstLineChars="0"/>
                    <w:jc w:val="center"/>
                    <w:rPr>
                      <w:bCs/>
                      <w:sz w:val="21"/>
                      <w:szCs w:val="21"/>
                    </w:rPr>
                  </w:pPr>
                </w:p>
              </w:tc>
              <w:tc>
                <w:tcPr>
                  <w:tcW w:w="2835" w:type="dxa"/>
                  <w:vAlign w:val="center"/>
                </w:tcPr>
                <w:p>
                  <w:pPr>
                    <w:pStyle w:val="144"/>
                    <w:snapToGrid/>
                    <w:spacing w:before="0" w:after="0" w:line="240" w:lineRule="auto"/>
                    <w:ind w:firstLine="0" w:firstLineChars="0"/>
                    <w:jc w:val="center"/>
                    <w:rPr>
                      <w:sz w:val="21"/>
                      <w:szCs w:val="21"/>
                    </w:rPr>
                  </w:pPr>
                  <w:r>
                    <w:rPr>
                      <w:rFonts w:hint="eastAsia"/>
                      <w:bCs/>
                      <w:sz w:val="21"/>
                      <w:szCs w:val="21"/>
                    </w:rPr>
                    <w:t>叉车</w:t>
                  </w:r>
                </w:p>
              </w:tc>
              <w:tc>
                <w:tcPr>
                  <w:tcW w:w="2573" w:type="dxa"/>
                  <w:vAlign w:val="center"/>
                </w:tcPr>
                <w:p>
                  <w:pPr>
                    <w:pStyle w:val="144"/>
                    <w:snapToGrid/>
                    <w:spacing w:before="0" w:after="0" w:line="240" w:lineRule="auto"/>
                    <w:ind w:firstLine="0" w:firstLineChars="0"/>
                    <w:jc w:val="center"/>
                    <w:rPr>
                      <w:sz w:val="21"/>
                      <w:szCs w:val="21"/>
                    </w:rPr>
                  </w:pPr>
                  <w:r>
                    <w:rPr>
                      <w:rFonts w:hint="eastAsia"/>
                      <w:sz w:val="21"/>
                      <w:szCs w:val="21"/>
                    </w:rPr>
                    <w:t>/</w:t>
                  </w:r>
                </w:p>
              </w:tc>
              <w:tc>
                <w:tcPr>
                  <w:tcW w:w="1979" w:type="dxa"/>
                  <w:vAlign w:val="center"/>
                </w:tcPr>
                <w:p>
                  <w:pPr>
                    <w:pStyle w:val="144"/>
                    <w:snapToGrid/>
                    <w:spacing w:before="0" w:after="0" w:line="240" w:lineRule="auto"/>
                    <w:ind w:firstLine="0" w:firstLineChars="0"/>
                    <w:jc w:val="center"/>
                    <w:rPr>
                      <w:sz w:val="21"/>
                      <w:szCs w:val="21"/>
                    </w:rPr>
                  </w:pPr>
                  <w:r>
                    <w:rPr>
                      <w:rFonts w:hint="eastAsia"/>
                      <w:sz w:val="21"/>
                      <w:szCs w:val="21"/>
                    </w:rPr>
                    <w:t>5台</w:t>
                  </w:r>
                </w:p>
              </w:tc>
            </w:tr>
          </w:tbl>
          <w:p>
            <w:pPr>
              <w:ind w:firstLine="480"/>
              <w:rPr>
                <w:rFonts w:hAnsi="宋体"/>
                <w:bCs/>
              </w:rPr>
            </w:pPr>
            <w:r>
              <w:rPr>
                <w:rFonts w:hint="eastAsia" w:hAnsi="宋体"/>
                <w:bCs/>
              </w:rPr>
              <w:t>本项目建筑骨料生产线配套生产设备最大生产能力满足4</w:t>
            </w:r>
            <w:r>
              <w:rPr>
                <w:rFonts w:hAnsi="宋体"/>
                <w:bCs/>
              </w:rPr>
              <w:t>0</w:t>
            </w:r>
            <w:r>
              <w:rPr>
                <w:rFonts w:hint="eastAsia" w:hAnsi="宋体"/>
                <w:bCs/>
              </w:rPr>
              <w:t>万吨尾矿石的破碎要求，微粉生产线利用建筑骨料生产线成品进行深加工，该生产线配套生产设备最大生产能力满足1</w:t>
            </w:r>
            <w:r>
              <w:rPr>
                <w:rFonts w:hAnsi="宋体"/>
                <w:bCs/>
              </w:rPr>
              <w:t>0</w:t>
            </w:r>
            <w:r>
              <w:rPr>
                <w:rFonts w:hint="eastAsia" w:hAnsi="宋体"/>
                <w:bCs/>
              </w:rPr>
              <w:t>万吨尾矿石的制粉要求。</w:t>
            </w:r>
          </w:p>
          <w:p>
            <w:pPr>
              <w:ind w:firstLine="0" w:firstLineChars="0"/>
              <w:rPr>
                <w:b/>
              </w:rPr>
            </w:pPr>
            <w:r>
              <w:rPr>
                <w:rFonts w:hint="eastAsia" w:hAnsi="宋体"/>
                <w:b/>
              </w:rPr>
              <w:t>9、</w:t>
            </w:r>
            <w:r>
              <w:rPr>
                <w:rFonts w:hAnsi="宋体"/>
                <w:b/>
              </w:rPr>
              <w:t>工程投资及来源</w:t>
            </w:r>
            <w:r>
              <w:rPr>
                <w:b/>
              </w:rPr>
              <w:t xml:space="preserve"> </w:t>
            </w:r>
          </w:p>
          <w:p>
            <w:pPr>
              <w:ind w:firstLine="480"/>
            </w:pPr>
            <w:r>
              <w:rPr>
                <w:rFonts w:hint="eastAsia" w:hAnsi="宋体"/>
              </w:rPr>
              <w:t>本项目</w:t>
            </w:r>
            <w:r>
              <w:rPr>
                <w:rFonts w:hAnsi="宋体"/>
              </w:rPr>
              <w:t>总投资</w:t>
            </w:r>
            <w:r>
              <w:t>18</w:t>
            </w:r>
            <w:r>
              <w:rPr>
                <w:rFonts w:hint="eastAsia"/>
              </w:rPr>
              <w:t>00</w:t>
            </w:r>
            <w:r>
              <w:rPr>
                <w:rFonts w:hAnsi="宋体"/>
              </w:rPr>
              <w:t>万元，资金来源为项目单位自筹。</w:t>
            </w:r>
          </w:p>
          <w:p>
            <w:pPr>
              <w:ind w:firstLine="0" w:firstLineChars="0"/>
              <w:rPr>
                <w:b/>
              </w:rPr>
            </w:pPr>
            <w:r>
              <w:rPr>
                <w:rFonts w:hint="eastAsia" w:hAnsi="宋体"/>
                <w:b/>
              </w:rPr>
              <w:t>1</w:t>
            </w:r>
            <w:r>
              <w:rPr>
                <w:rFonts w:hAnsi="宋体"/>
                <w:b/>
              </w:rPr>
              <w:t>0</w:t>
            </w:r>
            <w:r>
              <w:rPr>
                <w:rFonts w:hint="eastAsia" w:hAnsi="宋体"/>
                <w:b/>
              </w:rPr>
              <w:t>、工作制度与</w:t>
            </w:r>
            <w:r>
              <w:rPr>
                <w:rFonts w:hAnsi="宋体"/>
                <w:b/>
              </w:rPr>
              <w:t>劳动定员</w:t>
            </w:r>
          </w:p>
          <w:p>
            <w:pPr>
              <w:ind w:firstLine="480"/>
            </w:pPr>
            <w:r>
              <w:rPr>
                <w:rFonts w:hint="eastAsia"/>
              </w:rPr>
              <w:t>本项目劳动定员20人，其中管理人员</w:t>
            </w:r>
            <w:r>
              <w:t>3</w:t>
            </w:r>
            <w:r>
              <w:rPr>
                <w:rFonts w:hint="eastAsia"/>
              </w:rPr>
              <w:t>人，各类工人</w:t>
            </w:r>
            <w:r>
              <w:t>17</w:t>
            </w:r>
            <w:r>
              <w:rPr>
                <w:rFonts w:hint="eastAsia"/>
              </w:rPr>
              <w:t>人；年工作3</w:t>
            </w:r>
            <w:r>
              <w:t>00</w:t>
            </w:r>
            <w:r>
              <w:rPr>
                <w:rFonts w:hint="eastAsia"/>
              </w:rPr>
              <w:t>d/</w:t>
            </w:r>
            <w:r>
              <w:t>a</w:t>
            </w:r>
            <w:r>
              <w:rPr>
                <w:rFonts w:hint="eastAsia"/>
              </w:rPr>
              <w:t>，</w:t>
            </w:r>
            <w:r>
              <w:t>8</w:t>
            </w:r>
            <w:r>
              <w:rPr>
                <w:rFonts w:hint="eastAsia"/>
              </w:rPr>
              <w:t>h/</w:t>
            </w:r>
            <w:r>
              <w:t>d</w:t>
            </w:r>
            <w:r>
              <w:rPr>
                <w:rFonts w:hint="eastAsia"/>
              </w:rPr>
              <w:t>。</w:t>
            </w:r>
          </w:p>
          <w:p>
            <w:pPr>
              <w:ind w:firstLine="0" w:firstLineChars="0"/>
              <w:rPr>
                <w:b/>
              </w:rPr>
            </w:pPr>
            <w:r>
              <w:rPr>
                <w:rFonts w:hint="eastAsia" w:hAnsi="宋体"/>
                <w:b/>
              </w:rPr>
              <w:t>1</w:t>
            </w:r>
            <w:r>
              <w:rPr>
                <w:rFonts w:hAnsi="宋体"/>
                <w:b/>
              </w:rPr>
              <w:t>1</w:t>
            </w:r>
            <w:r>
              <w:rPr>
                <w:rFonts w:hint="eastAsia" w:hAnsi="宋体"/>
                <w:b/>
              </w:rPr>
              <w:t>、</w:t>
            </w:r>
            <w:r>
              <w:rPr>
                <w:rFonts w:hAnsi="宋体"/>
                <w:b/>
              </w:rPr>
              <w:t>公用工程</w:t>
            </w:r>
          </w:p>
          <w:p>
            <w:pPr>
              <w:ind w:firstLine="482"/>
              <w:rPr>
                <w:b/>
              </w:rPr>
            </w:pPr>
            <w:r>
              <w:rPr>
                <w:rFonts w:hint="eastAsia" w:hAnsi="宋体"/>
                <w:b/>
              </w:rPr>
              <w:t>（1）</w:t>
            </w:r>
            <w:r>
              <w:rPr>
                <w:rFonts w:hAnsi="宋体"/>
                <w:b/>
              </w:rPr>
              <w:t>供热</w:t>
            </w:r>
          </w:p>
          <w:p>
            <w:pPr>
              <w:ind w:firstLine="480"/>
              <w:rPr>
                <w:szCs w:val="24"/>
              </w:rPr>
            </w:pPr>
            <w:r>
              <w:rPr>
                <w:rFonts w:hint="eastAsia"/>
                <w:bCs/>
              </w:rPr>
              <w:t>生产车间不设采暖设施，办公室取暖使用电暖气。</w:t>
            </w:r>
          </w:p>
          <w:p>
            <w:pPr>
              <w:ind w:firstLine="482"/>
              <w:rPr>
                <w:b/>
              </w:rPr>
            </w:pPr>
            <w:r>
              <w:rPr>
                <w:rFonts w:hint="eastAsia" w:hAnsi="宋体"/>
                <w:b/>
              </w:rPr>
              <w:t>（2）</w:t>
            </w:r>
            <w:r>
              <w:rPr>
                <w:rFonts w:hAnsi="宋体"/>
                <w:b/>
              </w:rPr>
              <w:t>供电</w:t>
            </w:r>
          </w:p>
          <w:p>
            <w:pPr>
              <w:ind w:firstLine="480"/>
            </w:pPr>
            <w:r>
              <w:rPr>
                <w:rFonts w:hint="eastAsia"/>
              </w:rPr>
              <w:t>由交城县水峪贯镇供电所供给，厂区内有变压器一台，可以满足本项目用电需要。</w:t>
            </w:r>
          </w:p>
          <w:p>
            <w:pPr>
              <w:ind w:firstLine="482"/>
              <w:rPr>
                <w:b/>
              </w:rPr>
            </w:pPr>
            <w:r>
              <w:rPr>
                <w:rFonts w:hint="eastAsia" w:hAnsi="宋体"/>
                <w:b/>
              </w:rPr>
              <w:t>（3）</w:t>
            </w:r>
            <w:r>
              <w:rPr>
                <w:rFonts w:hAnsi="宋体"/>
                <w:b/>
              </w:rPr>
              <w:t>给</w:t>
            </w:r>
            <w:r>
              <w:rPr>
                <w:rFonts w:hint="eastAsia" w:hAnsi="宋体"/>
                <w:b/>
              </w:rPr>
              <w:t>排</w:t>
            </w:r>
            <w:r>
              <w:rPr>
                <w:rFonts w:hAnsi="宋体"/>
                <w:b/>
              </w:rPr>
              <w:t>水</w:t>
            </w:r>
          </w:p>
          <w:p>
            <w:pPr>
              <w:ind w:firstLine="480"/>
            </w:pPr>
            <w:r>
              <w:rPr>
                <w:rFonts w:hint="eastAsia"/>
                <w:bCs/>
              </w:rPr>
              <w:t>生产、生活用水由厂区内水井提供</w:t>
            </w:r>
            <w:r>
              <w:rPr>
                <w:rFonts w:hint="eastAsia"/>
              </w:rPr>
              <w:t>。</w:t>
            </w:r>
          </w:p>
          <w:p>
            <w:pPr>
              <w:ind w:firstLine="482"/>
              <w:rPr>
                <w:rFonts w:hAnsi="宋体"/>
                <w:bCs/>
              </w:rPr>
            </w:pPr>
            <w:r>
              <w:rPr>
                <w:rFonts w:hAnsi="宋体"/>
                <w:b/>
                <w:bCs/>
              </w:rPr>
              <w:t>道路洒水用水量：</w:t>
            </w:r>
            <w:r>
              <w:rPr>
                <w:rFonts w:hint="eastAsia" w:hAnsi="宋体"/>
              </w:rPr>
              <w:t>厂区</w:t>
            </w:r>
            <w:r>
              <w:rPr>
                <w:rFonts w:hAnsi="宋体"/>
                <w:bCs/>
              </w:rPr>
              <w:t>道路面积约为</w:t>
            </w:r>
            <w:r>
              <w:rPr>
                <w:bCs/>
              </w:rPr>
              <w:t>20</w:t>
            </w:r>
            <w:r>
              <w:rPr>
                <w:rFonts w:hint="eastAsia"/>
                <w:bCs/>
              </w:rPr>
              <w:t>00</w:t>
            </w:r>
            <w:r>
              <w:rPr>
                <w:bCs/>
              </w:rPr>
              <w:t>m</w:t>
            </w:r>
            <w:r>
              <w:rPr>
                <w:bCs/>
                <w:vertAlign w:val="superscript"/>
              </w:rPr>
              <w:t>2</w:t>
            </w:r>
            <w:r>
              <w:rPr>
                <w:rFonts w:hint="eastAsia" w:hAnsi="宋体"/>
                <w:bCs/>
              </w:rPr>
              <w:t>，</w:t>
            </w:r>
            <w:r>
              <w:rPr>
                <w:rFonts w:hAnsi="宋体"/>
                <w:bCs/>
              </w:rPr>
              <w:t>道路洒水用水量按</w:t>
            </w:r>
            <w:r>
              <w:rPr>
                <w:bCs/>
              </w:rPr>
              <w:t>1L/m</w:t>
            </w:r>
            <w:r>
              <w:rPr>
                <w:bCs/>
                <w:vertAlign w:val="superscript"/>
              </w:rPr>
              <w:t>2</w:t>
            </w:r>
            <w:r>
              <w:rPr>
                <w:rFonts w:hint="eastAsia"/>
                <w:bCs/>
              </w:rPr>
              <w:t>·</w:t>
            </w:r>
            <w:r>
              <w:rPr>
                <w:rFonts w:hAnsi="宋体"/>
                <w:bCs/>
              </w:rPr>
              <w:t>次，浇洒次数取</w:t>
            </w:r>
            <w:r>
              <w:rPr>
                <w:bCs/>
              </w:rPr>
              <w:t>1</w:t>
            </w:r>
            <w:r>
              <w:rPr>
                <w:rFonts w:hAnsi="宋体"/>
                <w:bCs/>
              </w:rPr>
              <w:t>天</w:t>
            </w:r>
            <w:r>
              <w:rPr>
                <w:rFonts w:hint="eastAsia"/>
                <w:bCs/>
              </w:rPr>
              <w:t>2</w:t>
            </w:r>
            <w:r>
              <w:rPr>
                <w:rFonts w:hAnsi="宋体"/>
                <w:bCs/>
              </w:rPr>
              <w:t>次，则日用水量为4</w:t>
            </w:r>
            <w:r>
              <w:rPr>
                <w:bCs/>
              </w:rPr>
              <w:t>m</w:t>
            </w:r>
            <w:r>
              <w:rPr>
                <w:bCs/>
                <w:vertAlign w:val="superscript"/>
              </w:rPr>
              <w:t>3</w:t>
            </w:r>
            <w:r>
              <w:rPr>
                <w:bCs/>
              </w:rPr>
              <w:t>/d</w:t>
            </w:r>
            <w:r>
              <w:rPr>
                <w:rFonts w:hAnsi="宋体"/>
                <w:bCs/>
              </w:rPr>
              <w:t>。</w:t>
            </w:r>
          </w:p>
          <w:p>
            <w:pPr>
              <w:ind w:firstLine="482"/>
              <w:rPr>
                <w:rFonts w:hAnsi="宋体"/>
                <w:bCs/>
              </w:rPr>
            </w:pPr>
            <w:r>
              <w:rPr>
                <w:rFonts w:hAnsi="宋体"/>
                <w:b/>
                <w:bCs/>
              </w:rPr>
              <w:t>绿化用水：</w:t>
            </w:r>
            <w:r>
              <w:rPr>
                <w:rFonts w:hAnsi="宋体"/>
                <w:bCs/>
              </w:rPr>
              <w:t>绿化用水量按</w:t>
            </w:r>
            <w:r>
              <w:rPr>
                <w:bCs/>
              </w:rPr>
              <w:t>0.28</w:t>
            </w:r>
            <w:r>
              <w:rPr>
                <w:rFonts w:hint="eastAsia"/>
                <w:bCs/>
              </w:rPr>
              <w:t>m</w:t>
            </w:r>
            <w:r>
              <w:rPr>
                <w:bCs/>
                <w:vertAlign w:val="superscript"/>
              </w:rPr>
              <w:t>3</w:t>
            </w:r>
            <w:r>
              <w:rPr>
                <w:bCs/>
              </w:rPr>
              <w:t>/m</w:t>
            </w:r>
            <w:r>
              <w:rPr>
                <w:bCs/>
                <w:vertAlign w:val="superscript"/>
              </w:rPr>
              <w:t>2</w:t>
            </w:r>
            <w:r>
              <w:rPr>
                <w:rFonts w:hint="eastAsia"/>
                <w:bCs/>
              </w:rPr>
              <w:t>·</w:t>
            </w:r>
            <w:r>
              <w:rPr>
                <w:bCs/>
              </w:rPr>
              <w:t>a</w:t>
            </w:r>
            <w:r>
              <w:rPr>
                <w:rFonts w:hint="eastAsia"/>
                <w:bCs/>
              </w:rPr>
              <w:t>计</w:t>
            </w:r>
            <w:r>
              <w:rPr>
                <w:rFonts w:hAnsi="宋体"/>
                <w:bCs/>
              </w:rPr>
              <w:t>，绿化面积</w:t>
            </w:r>
            <w:r>
              <w:rPr>
                <w:rFonts w:hint="eastAsia" w:hAnsi="宋体"/>
                <w:bCs/>
              </w:rPr>
              <w:t>约</w:t>
            </w:r>
            <w:r>
              <w:rPr>
                <w:rFonts w:hAnsi="宋体"/>
                <w:bCs/>
              </w:rPr>
              <w:t>为</w:t>
            </w:r>
            <w:r>
              <w:rPr>
                <w:bCs/>
              </w:rPr>
              <w:t>3750m</w:t>
            </w:r>
            <w:r>
              <w:rPr>
                <w:bCs/>
                <w:vertAlign w:val="superscript"/>
              </w:rPr>
              <w:t>2</w:t>
            </w:r>
            <w:r>
              <w:rPr>
                <w:rFonts w:hAnsi="宋体"/>
                <w:bCs/>
              </w:rPr>
              <w:t>，则本项目绿化用水量为</w:t>
            </w:r>
            <w:r>
              <w:rPr>
                <w:bCs/>
              </w:rPr>
              <w:t>1050m</w:t>
            </w:r>
            <w:r>
              <w:rPr>
                <w:bCs/>
                <w:vertAlign w:val="superscript"/>
              </w:rPr>
              <w:t>3</w:t>
            </w:r>
            <w:r>
              <w:rPr>
                <w:bCs/>
              </w:rPr>
              <w:t>/a</w:t>
            </w:r>
            <w:r>
              <w:rPr>
                <w:rFonts w:hint="eastAsia"/>
                <w:bCs/>
              </w:rPr>
              <w:t>，洒水天数取</w:t>
            </w:r>
            <w:r>
              <w:rPr>
                <w:bCs/>
              </w:rPr>
              <w:t>150</w:t>
            </w:r>
            <w:r>
              <w:rPr>
                <w:rFonts w:hint="eastAsia"/>
                <w:bCs/>
              </w:rPr>
              <w:t>d，则每日用水量为</w:t>
            </w:r>
            <w:r>
              <w:rPr>
                <w:rFonts w:hAnsi="宋体"/>
                <w:bCs/>
              </w:rPr>
              <w:t>7</w:t>
            </w:r>
            <w:r>
              <w:rPr>
                <w:bCs/>
              </w:rPr>
              <w:t>m</w:t>
            </w:r>
            <w:r>
              <w:rPr>
                <w:bCs/>
                <w:vertAlign w:val="superscript"/>
              </w:rPr>
              <w:t>3</w:t>
            </w:r>
            <w:r>
              <w:rPr>
                <w:bCs/>
              </w:rPr>
              <w:t>/d</w:t>
            </w:r>
            <w:r>
              <w:rPr>
                <w:rFonts w:hAnsi="宋体"/>
                <w:bCs/>
              </w:rPr>
              <w:t>。</w:t>
            </w:r>
          </w:p>
          <w:p>
            <w:pPr>
              <w:ind w:firstLine="482"/>
              <w:rPr>
                <w:rFonts w:hAnsi="宋体"/>
                <w:bCs/>
              </w:rPr>
            </w:pPr>
            <w:r>
              <w:rPr>
                <w:rFonts w:hint="eastAsia"/>
                <w:b/>
              </w:rPr>
              <w:t>原料库内喷雾抑尘用水：</w:t>
            </w:r>
            <w:r>
              <w:rPr>
                <w:rFonts w:hint="eastAsia"/>
                <w:szCs w:val="24"/>
              </w:rPr>
              <w:t>本项目原料库喷洒强度按</w:t>
            </w:r>
            <w:r>
              <w:rPr>
                <w:szCs w:val="24"/>
              </w:rPr>
              <w:t>1L/(m</w:t>
            </w:r>
            <w:r>
              <w:rPr>
                <w:szCs w:val="24"/>
                <w:vertAlign w:val="superscript"/>
              </w:rPr>
              <w:t>2</w:t>
            </w:r>
            <w:r>
              <w:rPr>
                <w:szCs w:val="24"/>
              </w:rPr>
              <w:t>·</w:t>
            </w:r>
            <w:r>
              <w:rPr>
                <w:rFonts w:hint="eastAsia"/>
                <w:szCs w:val="24"/>
              </w:rPr>
              <w:t>次</w:t>
            </w:r>
            <w:r>
              <w:rPr>
                <w:szCs w:val="24"/>
              </w:rPr>
              <w:t>)</w:t>
            </w:r>
            <w:r>
              <w:rPr>
                <w:rFonts w:hint="eastAsia"/>
                <w:szCs w:val="24"/>
              </w:rPr>
              <w:t>计，原料库面积为</w:t>
            </w:r>
            <w:r>
              <w:rPr>
                <w:szCs w:val="24"/>
              </w:rPr>
              <w:t>1944m</w:t>
            </w:r>
            <w:r>
              <w:rPr>
                <w:szCs w:val="24"/>
                <w:vertAlign w:val="superscript"/>
              </w:rPr>
              <w:t>2</w:t>
            </w:r>
            <w:r>
              <w:rPr>
                <w:rFonts w:hint="eastAsia"/>
                <w:szCs w:val="24"/>
              </w:rPr>
              <w:t>，洒</w:t>
            </w:r>
            <w:r>
              <w:rPr>
                <w:rFonts w:hint="eastAsia" w:hAnsi="宋体"/>
                <w:bCs/>
              </w:rPr>
              <w:t>水</w:t>
            </w:r>
            <w:r>
              <w:rPr>
                <w:rFonts w:hAnsi="宋体"/>
                <w:bCs/>
              </w:rPr>
              <w:t>次数取</w:t>
            </w:r>
            <w:r>
              <w:rPr>
                <w:bCs/>
              </w:rPr>
              <w:t>1</w:t>
            </w:r>
            <w:r>
              <w:rPr>
                <w:rFonts w:hAnsi="宋体"/>
                <w:bCs/>
              </w:rPr>
              <w:t>天</w:t>
            </w:r>
            <w:r>
              <w:rPr>
                <w:rFonts w:hint="eastAsia"/>
                <w:bCs/>
              </w:rPr>
              <w:t>2</w:t>
            </w:r>
            <w:r>
              <w:rPr>
                <w:rFonts w:hAnsi="宋体"/>
                <w:bCs/>
              </w:rPr>
              <w:t>次，</w:t>
            </w:r>
            <w:r>
              <w:rPr>
                <w:rFonts w:hint="eastAsia" w:hAnsi="宋体"/>
                <w:bCs/>
              </w:rPr>
              <w:t>则</w:t>
            </w:r>
            <w:r>
              <w:rPr>
                <w:rFonts w:hint="eastAsia"/>
                <w:szCs w:val="24"/>
              </w:rPr>
              <w:t>原料库洒水抑尘用水量约</w:t>
            </w:r>
            <w:r>
              <w:rPr>
                <w:szCs w:val="24"/>
              </w:rPr>
              <w:t>3.9m</w:t>
            </w:r>
            <w:r>
              <w:rPr>
                <w:szCs w:val="24"/>
                <w:vertAlign w:val="superscript"/>
              </w:rPr>
              <w:t>3</w:t>
            </w:r>
            <w:r>
              <w:rPr>
                <w:szCs w:val="24"/>
              </w:rPr>
              <w:t>/d</w:t>
            </w:r>
            <w:r>
              <w:rPr>
                <w:rFonts w:hint="eastAsia"/>
                <w:szCs w:val="24"/>
              </w:rPr>
              <w:t>。</w:t>
            </w:r>
          </w:p>
          <w:p>
            <w:pPr>
              <w:ind w:firstLine="482"/>
              <w:rPr>
                <w:rFonts w:hAnsi="宋体"/>
                <w:bCs/>
              </w:rPr>
            </w:pPr>
            <w:r>
              <w:rPr>
                <w:rFonts w:hint="eastAsia"/>
                <w:b/>
              </w:rPr>
              <w:t>洗车用水：</w:t>
            </w:r>
            <w:r>
              <w:rPr>
                <w:rFonts w:hint="eastAsia"/>
              </w:rPr>
              <w:t>本项目</w:t>
            </w:r>
            <w:r>
              <w:rPr>
                <w:rFonts w:hint="eastAsia"/>
                <w:bCs/>
              </w:rPr>
              <w:t>原料、产品</w:t>
            </w:r>
            <w:r>
              <w:rPr>
                <w:rFonts w:hint="eastAsia"/>
              </w:rPr>
              <w:t>年运进出总量为</w:t>
            </w:r>
            <w:r>
              <w:t>80</w:t>
            </w:r>
            <w:r>
              <w:rPr>
                <w:rFonts w:hint="eastAsia"/>
              </w:rPr>
              <w:t>万吨/年，汽车载重按</w:t>
            </w:r>
            <w:r>
              <w:t>20t/</w:t>
            </w:r>
            <w:r>
              <w:rPr>
                <w:rFonts w:hint="eastAsia"/>
              </w:rPr>
              <w:t>辆计算，则年需载重车运输</w:t>
            </w:r>
            <w:r>
              <w:t>40000</w:t>
            </w:r>
            <w:r>
              <w:rPr>
                <w:rFonts w:hint="eastAsia"/>
              </w:rPr>
              <w:t>趟，汽车轮胎冲洗用水定额按</w:t>
            </w:r>
            <w:r>
              <w:t>80L/</w:t>
            </w:r>
            <w:r>
              <w:rPr>
                <w:rFonts w:hint="eastAsia"/>
              </w:rPr>
              <w:t>辆·次计，年用水量为</w:t>
            </w:r>
            <w:r>
              <w:t>3200m</w:t>
            </w:r>
            <w:r>
              <w:rPr>
                <w:vertAlign w:val="superscript"/>
              </w:rPr>
              <w:t>3</w:t>
            </w:r>
            <w:r>
              <w:t>/a</w:t>
            </w:r>
            <w:r>
              <w:rPr>
                <w:rFonts w:hint="eastAsia"/>
              </w:rPr>
              <w:t>，日用水量为</w:t>
            </w:r>
            <w:r>
              <w:t>10.7m</w:t>
            </w:r>
            <w:r>
              <w:rPr>
                <w:vertAlign w:val="superscript"/>
              </w:rPr>
              <w:t>3</w:t>
            </w:r>
            <w:r>
              <w:t>/d</w:t>
            </w:r>
            <w:r>
              <w:rPr>
                <w:rFonts w:hint="eastAsia"/>
              </w:rPr>
              <w:t>，废水产生量按8</w:t>
            </w:r>
            <w:r>
              <w:t>0</w:t>
            </w:r>
            <w:r>
              <w:rPr>
                <w:rFonts w:hint="eastAsia"/>
              </w:rPr>
              <w:t>%考虑，则废水量为</w:t>
            </w:r>
            <w:r>
              <w:t>8.56m</w:t>
            </w:r>
            <w:r>
              <w:rPr>
                <w:vertAlign w:val="superscript"/>
              </w:rPr>
              <w:t>3</w:t>
            </w:r>
            <w:r>
              <w:t>/d</w:t>
            </w:r>
            <w:r>
              <w:rPr>
                <w:rFonts w:hint="eastAsia"/>
              </w:rPr>
              <w:t>，洗车废水排至沉淀池沉淀处理后排入清水池循环使用。汽车带走损失按</w:t>
            </w:r>
            <w:r>
              <w:t>20%</w:t>
            </w:r>
            <w:r>
              <w:rPr>
                <w:rFonts w:hint="eastAsia"/>
              </w:rPr>
              <w:t>考虑，则洗车废水补充水量为</w:t>
            </w:r>
            <w:r>
              <w:t>2.14m</w:t>
            </w:r>
            <w:r>
              <w:rPr>
                <w:vertAlign w:val="superscript"/>
              </w:rPr>
              <w:t>3</w:t>
            </w:r>
            <w:r>
              <w:t>/d</w:t>
            </w:r>
            <w:r>
              <w:rPr>
                <w:rFonts w:hint="eastAsia"/>
              </w:rPr>
              <w:t>。</w:t>
            </w:r>
          </w:p>
          <w:p>
            <w:pPr>
              <w:ind w:firstLine="482"/>
            </w:pPr>
            <w:r>
              <w:rPr>
                <w:rFonts w:hAnsi="宋体"/>
                <w:b/>
              </w:rPr>
              <w:t>生活用水：</w:t>
            </w:r>
            <w:r>
              <w:rPr>
                <w:rFonts w:hint="eastAsia" w:hAnsi="宋体"/>
              </w:rPr>
              <w:t>本项目员工均为本地居民，厂区内不设浴室；</w:t>
            </w:r>
            <w:r>
              <w:rPr>
                <w:rFonts w:hint="eastAsia" w:hAnsi="宋体"/>
                <w:bCs/>
              </w:rPr>
              <w:t>生活用</w:t>
            </w:r>
            <w:r>
              <w:rPr>
                <w:rFonts w:hAnsi="宋体"/>
                <w:bCs/>
              </w:rPr>
              <w:t>水定额</w:t>
            </w:r>
            <w:r>
              <w:rPr>
                <w:rFonts w:hint="eastAsia" w:hAnsi="宋体"/>
                <w:bCs/>
              </w:rPr>
              <w:t>按</w:t>
            </w:r>
            <w:r>
              <w:rPr>
                <w:rFonts w:hAnsi="宋体"/>
                <w:bCs/>
              </w:rPr>
              <w:t>30</w:t>
            </w:r>
            <w:r>
              <w:rPr>
                <w:bCs/>
              </w:rPr>
              <w:t>L/</w:t>
            </w:r>
            <w:r>
              <w:rPr>
                <w:rFonts w:hAnsi="宋体"/>
                <w:bCs/>
              </w:rPr>
              <w:t>人</w:t>
            </w:r>
            <w:r>
              <w:rPr>
                <w:rFonts w:hint="eastAsia"/>
                <w:bCs/>
              </w:rPr>
              <w:t>·</w:t>
            </w:r>
            <w:r>
              <w:rPr>
                <w:bCs/>
              </w:rPr>
              <w:t>d</w:t>
            </w:r>
            <w:r>
              <w:rPr>
                <w:rFonts w:hint="eastAsia"/>
                <w:bCs/>
              </w:rPr>
              <w:t>计</w:t>
            </w:r>
            <w:r>
              <w:rPr>
                <w:rFonts w:hAnsi="宋体"/>
                <w:bCs/>
              </w:rPr>
              <w:t>，</w:t>
            </w:r>
            <w:r>
              <w:rPr>
                <w:rFonts w:hint="eastAsia"/>
              </w:rPr>
              <w:t>本项目劳动定员</w:t>
            </w:r>
            <w:r>
              <w:t>2</w:t>
            </w:r>
            <w:r>
              <w:rPr>
                <w:rFonts w:hint="eastAsia"/>
              </w:rPr>
              <w:t>0人</w:t>
            </w:r>
            <w:r>
              <w:rPr>
                <w:rFonts w:hAnsi="宋体"/>
                <w:bCs/>
              </w:rPr>
              <w:t>，则生活日用水量为</w:t>
            </w:r>
            <w:r>
              <w:rPr>
                <w:bCs/>
              </w:rPr>
              <w:t>0.6m</w:t>
            </w:r>
            <w:r>
              <w:rPr>
                <w:bCs/>
                <w:vertAlign w:val="superscript"/>
              </w:rPr>
              <w:t>3</w:t>
            </w:r>
            <w:r>
              <w:rPr>
                <w:bCs/>
              </w:rPr>
              <w:t>/d</w:t>
            </w:r>
            <w:r>
              <w:rPr>
                <w:rFonts w:hint="eastAsia" w:hAnsi="宋体"/>
                <w:bCs/>
              </w:rPr>
              <w:t>；</w:t>
            </w:r>
            <w:r>
              <w:rPr>
                <w:rFonts w:hint="eastAsia" w:hAnsi="宋体"/>
              </w:rPr>
              <w:t>厂区内设旱厕，定时清掏；生活污水产生量按用水量的80%计，则生活污水产生量为</w:t>
            </w:r>
            <w:r>
              <w:rPr>
                <w:rFonts w:hAnsi="宋体"/>
              </w:rPr>
              <w:t>0.48</w:t>
            </w:r>
            <w:r>
              <w:rPr>
                <w:bCs/>
              </w:rPr>
              <w:t>m</w:t>
            </w:r>
            <w:r>
              <w:rPr>
                <w:bCs/>
                <w:vertAlign w:val="superscript"/>
              </w:rPr>
              <w:t>3</w:t>
            </w:r>
            <w:r>
              <w:rPr>
                <w:bCs/>
              </w:rPr>
              <w:t>/d</w:t>
            </w:r>
            <w:r>
              <w:rPr>
                <w:rFonts w:hint="eastAsia" w:hAnsi="宋体"/>
              </w:rPr>
              <w:t>，主要为盥洗废水食堂废水，少量盥洗废水及经隔油沉淀的食堂废水用于泼洒抑尘或绿化用水。</w:t>
            </w:r>
          </w:p>
          <w:p>
            <w:pPr>
              <w:ind w:firstLine="480"/>
              <w:jc w:val="left"/>
              <w:rPr>
                <w:rFonts w:hAnsi="宋体"/>
              </w:rPr>
            </w:pPr>
            <w:r>
              <w:rPr>
                <w:rFonts w:hint="eastAsia" w:hAnsi="宋体"/>
                <w:bCs/>
              </w:rPr>
              <w:t>本项目给排水情况见表</w:t>
            </w:r>
            <w:r>
              <w:rPr>
                <w:rFonts w:hAnsi="宋体"/>
                <w:bCs/>
              </w:rPr>
              <w:t>6</w:t>
            </w:r>
            <w:r>
              <w:rPr>
                <w:rFonts w:hint="eastAsia" w:hAnsi="宋体"/>
                <w:bCs/>
              </w:rPr>
              <w:t>。</w:t>
            </w:r>
          </w:p>
          <w:p>
            <w:pPr>
              <w:ind w:firstLine="0" w:firstLineChars="0"/>
              <w:jc w:val="center"/>
              <w:rPr>
                <w:rFonts w:ascii="黑体" w:hAnsi="黑体" w:eastAsia="黑体"/>
              </w:rPr>
            </w:pPr>
            <w:r>
              <w:rPr>
                <w:rFonts w:ascii="黑体" w:hAnsi="黑体" w:eastAsia="黑体"/>
              </w:rPr>
              <w:t>表6</w:t>
            </w:r>
            <w:r>
              <w:rPr>
                <w:rFonts w:hint="eastAsia" w:ascii="黑体" w:hAnsi="黑体" w:eastAsia="黑体"/>
              </w:rPr>
              <w:t xml:space="preserve">  </w:t>
            </w:r>
            <w:r>
              <w:rPr>
                <w:rFonts w:ascii="黑体" w:hAnsi="黑体" w:eastAsia="黑体"/>
              </w:rPr>
              <w:t>给排水表（m</w:t>
            </w:r>
            <w:r>
              <w:rPr>
                <w:rFonts w:ascii="黑体" w:hAnsi="黑体" w:eastAsia="黑体"/>
                <w:vertAlign w:val="superscript"/>
              </w:rPr>
              <w:t>3</w:t>
            </w:r>
            <w:r>
              <w:rPr>
                <w:rFonts w:ascii="黑体" w:hAnsi="黑体" w:eastAsia="黑体"/>
              </w:rPr>
              <w:t>/d）</w:t>
            </w:r>
          </w:p>
          <w:tbl>
            <w:tblPr>
              <w:tblStyle w:val="70"/>
              <w:tblW w:w="91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1355"/>
              <w:gridCol w:w="1416"/>
              <w:gridCol w:w="962"/>
              <w:gridCol w:w="1191"/>
              <w:gridCol w:w="35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pStyle w:val="151"/>
                    <w:snapToGrid/>
                    <w:spacing w:line="240" w:lineRule="auto"/>
                    <w:rPr>
                      <w:rFonts w:eastAsia="宋体"/>
                      <w:sz w:val="21"/>
                      <w:szCs w:val="21"/>
                    </w:rPr>
                  </w:pPr>
                  <w:r>
                    <w:rPr>
                      <w:rFonts w:hAnsi="宋体" w:eastAsia="宋体"/>
                      <w:sz w:val="21"/>
                      <w:szCs w:val="21"/>
                    </w:rPr>
                    <w:t>序号</w:t>
                  </w:r>
                </w:p>
              </w:tc>
              <w:tc>
                <w:tcPr>
                  <w:tcW w:w="1355" w:type="dxa"/>
                  <w:vAlign w:val="center"/>
                </w:tcPr>
                <w:p>
                  <w:pPr>
                    <w:pStyle w:val="151"/>
                    <w:snapToGrid/>
                    <w:spacing w:line="240" w:lineRule="auto"/>
                    <w:rPr>
                      <w:rFonts w:eastAsia="宋体"/>
                      <w:sz w:val="21"/>
                      <w:szCs w:val="21"/>
                    </w:rPr>
                  </w:pPr>
                  <w:r>
                    <w:rPr>
                      <w:rFonts w:hAnsi="宋体" w:eastAsia="宋体"/>
                      <w:sz w:val="21"/>
                      <w:szCs w:val="21"/>
                    </w:rPr>
                    <w:t>用水设备</w:t>
                  </w:r>
                </w:p>
              </w:tc>
              <w:tc>
                <w:tcPr>
                  <w:tcW w:w="1416" w:type="dxa"/>
                  <w:vAlign w:val="center"/>
                </w:tcPr>
                <w:p>
                  <w:pPr>
                    <w:pStyle w:val="151"/>
                    <w:snapToGrid/>
                    <w:spacing w:line="240" w:lineRule="auto"/>
                    <w:rPr>
                      <w:rFonts w:eastAsia="宋体"/>
                      <w:sz w:val="21"/>
                      <w:szCs w:val="21"/>
                    </w:rPr>
                  </w:pPr>
                  <w:r>
                    <w:rPr>
                      <w:rFonts w:hAnsi="宋体" w:eastAsia="宋体"/>
                      <w:sz w:val="21"/>
                      <w:szCs w:val="21"/>
                    </w:rPr>
                    <w:t>定额</w:t>
                  </w:r>
                </w:p>
              </w:tc>
              <w:tc>
                <w:tcPr>
                  <w:tcW w:w="962" w:type="dxa"/>
                  <w:vAlign w:val="center"/>
                </w:tcPr>
                <w:p>
                  <w:pPr>
                    <w:pStyle w:val="151"/>
                    <w:snapToGrid/>
                    <w:spacing w:line="240" w:lineRule="auto"/>
                    <w:rPr>
                      <w:rFonts w:eastAsia="宋体"/>
                      <w:sz w:val="21"/>
                      <w:szCs w:val="21"/>
                    </w:rPr>
                  </w:pPr>
                  <w:r>
                    <w:rPr>
                      <w:rFonts w:hint="eastAsia" w:hAnsi="宋体" w:eastAsia="宋体"/>
                      <w:sz w:val="21"/>
                      <w:szCs w:val="21"/>
                    </w:rPr>
                    <w:t>新鲜水</w:t>
                  </w:r>
                  <w:r>
                    <w:rPr>
                      <w:rFonts w:hAnsi="宋体" w:eastAsia="宋体"/>
                      <w:sz w:val="21"/>
                      <w:szCs w:val="21"/>
                    </w:rPr>
                    <w:t>用水量</w:t>
                  </w:r>
                </w:p>
              </w:tc>
              <w:tc>
                <w:tcPr>
                  <w:tcW w:w="1191" w:type="dxa"/>
                  <w:vAlign w:val="center"/>
                </w:tcPr>
                <w:p>
                  <w:pPr>
                    <w:pStyle w:val="151"/>
                    <w:snapToGrid/>
                    <w:spacing w:line="240" w:lineRule="auto"/>
                    <w:rPr>
                      <w:rFonts w:eastAsia="宋体"/>
                      <w:sz w:val="21"/>
                      <w:szCs w:val="21"/>
                    </w:rPr>
                  </w:pPr>
                  <w:r>
                    <w:rPr>
                      <w:rFonts w:hint="eastAsia" w:eastAsia="宋体"/>
                      <w:sz w:val="21"/>
                      <w:szCs w:val="21"/>
                    </w:rPr>
                    <w:t>回用水量</w:t>
                  </w:r>
                </w:p>
              </w:tc>
              <w:tc>
                <w:tcPr>
                  <w:tcW w:w="3532" w:type="dxa"/>
                  <w:vAlign w:val="center"/>
                </w:tcPr>
                <w:p>
                  <w:pPr>
                    <w:pStyle w:val="151"/>
                    <w:spacing w:line="240" w:lineRule="auto"/>
                    <w:rPr>
                      <w:rFonts w:eastAsia="宋体"/>
                      <w:sz w:val="21"/>
                      <w:szCs w:val="21"/>
                    </w:rPr>
                  </w:pPr>
                  <w:r>
                    <w:rPr>
                      <w:rFonts w:hint="eastAsia" w:hAnsi="宋体" w:eastAsia="宋体"/>
                      <w:sz w:val="21"/>
                      <w:szCs w:val="21"/>
                    </w:rPr>
                    <w:t>废</w:t>
                  </w:r>
                  <w:r>
                    <w:rPr>
                      <w:rFonts w:hAnsi="宋体" w:eastAsia="宋体"/>
                      <w:sz w:val="21"/>
                      <w:szCs w:val="21"/>
                    </w:rPr>
                    <w:t>水量</w:t>
                  </w:r>
                  <w:r>
                    <w:rPr>
                      <w:rFonts w:hint="eastAsia" w:hAnsi="宋体" w:eastAsia="宋体"/>
                      <w:sz w:val="21"/>
                      <w:szCs w:val="21"/>
                    </w:rPr>
                    <w:t>及去向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pStyle w:val="151"/>
                    <w:snapToGrid/>
                    <w:spacing w:line="240" w:lineRule="auto"/>
                    <w:rPr>
                      <w:rFonts w:eastAsia="宋体"/>
                      <w:sz w:val="21"/>
                      <w:szCs w:val="21"/>
                    </w:rPr>
                  </w:pPr>
                  <w:r>
                    <w:rPr>
                      <w:rFonts w:eastAsia="宋体"/>
                      <w:sz w:val="21"/>
                      <w:szCs w:val="21"/>
                    </w:rPr>
                    <w:t>1</w:t>
                  </w:r>
                </w:p>
              </w:tc>
              <w:tc>
                <w:tcPr>
                  <w:tcW w:w="1355" w:type="dxa"/>
                  <w:vAlign w:val="center"/>
                </w:tcPr>
                <w:p>
                  <w:pPr>
                    <w:pStyle w:val="151"/>
                    <w:snapToGrid/>
                    <w:spacing w:line="240" w:lineRule="auto"/>
                    <w:rPr>
                      <w:rFonts w:hAnsi="宋体" w:eastAsia="宋体"/>
                      <w:sz w:val="21"/>
                      <w:szCs w:val="21"/>
                    </w:rPr>
                  </w:pPr>
                  <w:r>
                    <w:rPr>
                      <w:rFonts w:hAnsi="宋体" w:eastAsia="宋体"/>
                      <w:sz w:val="21"/>
                      <w:szCs w:val="21"/>
                    </w:rPr>
                    <w:t>道路洒水用水</w:t>
                  </w:r>
                </w:p>
              </w:tc>
              <w:tc>
                <w:tcPr>
                  <w:tcW w:w="1416" w:type="dxa"/>
                  <w:vAlign w:val="center"/>
                </w:tcPr>
                <w:p>
                  <w:pPr>
                    <w:pStyle w:val="151"/>
                    <w:snapToGrid/>
                    <w:spacing w:line="240" w:lineRule="auto"/>
                    <w:rPr>
                      <w:rFonts w:eastAsia="宋体"/>
                      <w:sz w:val="21"/>
                      <w:szCs w:val="21"/>
                    </w:rPr>
                  </w:pPr>
                  <w:r>
                    <w:rPr>
                      <w:rFonts w:eastAsia="宋体"/>
                      <w:bCs/>
                      <w:sz w:val="21"/>
                      <w:szCs w:val="21"/>
                    </w:rPr>
                    <w:t>1L/m</w:t>
                  </w:r>
                  <w:r>
                    <w:rPr>
                      <w:rFonts w:eastAsia="宋体"/>
                      <w:bCs/>
                      <w:sz w:val="21"/>
                      <w:szCs w:val="21"/>
                      <w:vertAlign w:val="superscript"/>
                    </w:rPr>
                    <w:t>2</w:t>
                  </w:r>
                  <w:r>
                    <w:rPr>
                      <w:rFonts w:eastAsia="宋体"/>
                      <w:bCs/>
                      <w:sz w:val="21"/>
                      <w:szCs w:val="21"/>
                    </w:rPr>
                    <w:t>·</w:t>
                  </w:r>
                  <w:r>
                    <w:rPr>
                      <w:rFonts w:hAnsi="宋体" w:eastAsia="宋体"/>
                      <w:bCs/>
                      <w:sz w:val="21"/>
                      <w:szCs w:val="21"/>
                    </w:rPr>
                    <w:t>次</w:t>
                  </w:r>
                </w:p>
              </w:tc>
              <w:tc>
                <w:tcPr>
                  <w:tcW w:w="962" w:type="dxa"/>
                  <w:vAlign w:val="center"/>
                </w:tcPr>
                <w:p>
                  <w:pPr>
                    <w:pStyle w:val="151"/>
                    <w:snapToGrid/>
                    <w:spacing w:line="240" w:lineRule="auto"/>
                    <w:rPr>
                      <w:rFonts w:eastAsia="宋体"/>
                      <w:sz w:val="21"/>
                      <w:szCs w:val="21"/>
                    </w:rPr>
                  </w:pPr>
                  <w:r>
                    <w:rPr>
                      <w:rFonts w:eastAsia="宋体"/>
                      <w:sz w:val="21"/>
                      <w:szCs w:val="21"/>
                    </w:rPr>
                    <w:t>4</w:t>
                  </w:r>
                </w:p>
              </w:tc>
              <w:tc>
                <w:tcPr>
                  <w:tcW w:w="1191" w:type="dxa"/>
                  <w:vAlign w:val="center"/>
                </w:tcPr>
                <w:p>
                  <w:pPr>
                    <w:pStyle w:val="151"/>
                    <w:snapToGrid/>
                    <w:spacing w:line="240" w:lineRule="auto"/>
                    <w:rPr>
                      <w:rFonts w:eastAsia="宋体"/>
                      <w:sz w:val="21"/>
                      <w:szCs w:val="21"/>
                    </w:rPr>
                  </w:pPr>
                  <w:r>
                    <w:rPr>
                      <w:rFonts w:hint="eastAsia" w:eastAsia="宋体"/>
                      <w:sz w:val="21"/>
                      <w:szCs w:val="21"/>
                    </w:rPr>
                    <w:t>0</w:t>
                  </w:r>
                </w:p>
              </w:tc>
              <w:tc>
                <w:tcPr>
                  <w:tcW w:w="3532" w:type="dxa"/>
                  <w:vAlign w:val="center"/>
                </w:tcPr>
                <w:p>
                  <w:pPr>
                    <w:pStyle w:val="151"/>
                    <w:spacing w:line="240" w:lineRule="auto"/>
                    <w:rPr>
                      <w:rFonts w:eastAsia="宋体"/>
                      <w:sz w:val="21"/>
                      <w:szCs w:val="21"/>
                    </w:rPr>
                  </w:pPr>
                  <w:r>
                    <w:rPr>
                      <w:rFonts w:hint="eastAsia" w:eastAsia="宋体"/>
                      <w:sz w:val="21"/>
                      <w:szCs w:val="21"/>
                    </w:rPr>
                    <w:t>蒸发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pStyle w:val="151"/>
                    <w:snapToGrid/>
                    <w:spacing w:line="240" w:lineRule="auto"/>
                    <w:rPr>
                      <w:rFonts w:eastAsia="宋体"/>
                      <w:sz w:val="21"/>
                      <w:szCs w:val="21"/>
                    </w:rPr>
                  </w:pPr>
                  <w:r>
                    <w:rPr>
                      <w:rFonts w:eastAsia="宋体"/>
                      <w:sz w:val="21"/>
                      <w:szCs w:val="21"/>
                    </w:rPr>
                    <w:t>2</w:t>
                  </w:r>
                </w:p>
              </w:tc>
              <w:tc>
                <w:tcPr>
                  <w:tcW w:w="1355" w:type="dxa"/>
                  <w:vAlign w:val="center"/>
                </w:tcPr>
                <w:p>
                  <w:pPr>
                    <w:pStyle w:val="151"/>
                    <w:snapToGrid/>
                    <w:spacing w:line="240" w:lineRule="auto"/>
                    <w:rPr>
                      <w:rFonts w:eastAsia="宋体"/>
                      <w:sz w:val="21"/>
                      <w:szCs w:val="21"/>
                    </w:rPr>
                  </w:pPr>
                  <w:r>
                    <w:rPr>
                      <w:rFonts w:hAnsi="宋体" w:eastAsia="宋体"/>
                      <w:sz w:val="21"/>
                      <w:szCs w:val="21"/>
                    </w:rPr>
                    <w:t>绿化用水</w:t>
                  </w:r>
                </w:p>
              </w:tc>
              <w:tc>
                <w:tcPr>
                  <w:tcW w:w="1416" w:type="dxa"/>
                  <w:vAlign w:val="center"/>
                </w:tcPr>
                <w:p>
                  <w:pPr>
                    <w:pStyle w:val="151"/>
                    <w:snapToGrid/>
                    <w:spacing w:line="240" w:lineRule="auto"/>
                    <w:rPr>
                      <w:rFonts w:eastAsia="宋体"/>
                      <w:sz w:val="21"/>
                      <w:szCs w:val="21"/>
                    </w:rPr>
                  </w:pPr>
                  <w:r>
                    <w:rPr>
                      <w:rFonts w:eastAsia="宋体"/>
                      <w:bCs/>
                      <w:sz w:val="21"/>
                      <w:szCs w:val="21"/>
                    </w:rPr>
                    <w:t>0.28</w:t>
                  </w:r>
                  <w:r>
                    <w:rPr>
                      <w:rFonts w:hint="eastAsia" w:eastAsia="宋体"/>
                      <w:bCs/>
                      <w:sz w:val="21"/>
                      <w:szCs w:val="21"/>
                    </w:rPr>
                    <w:t>m</w:t>
                  </w:r>
                  <w:r>
                    <w:rPr>
                      <w:rFonts w:eastAsia="宋体"/>
                      <w:bCs/>
                      <w:sz w:val="21"/>
                      <w:szCs w:val="21"/>
                      <w:vertAlign w:val="superscript"/>
                    </w:rPr>
                    <w:t>3</w:t>
                  </w:r>
                  <w:r>
                    <w:rPr>
                      <w:rFonts w:eastAsia="宋体"/>
                      <w:bCs/>
                      <w:sz w:val="21"/>
                      <w:szCs w:val="21"/>
                    </w:rPr>
                    <w:t>/m</w:t>
                  </w:r>
                  <w:r>
                    <w:rPr>
                      <w:rFonts w:eastAsia="宋体"/>
                      <w:bCs/>
                      <w:sz w:val="21"/>
                      <w:szCs w:val="21"/>
                      <w:vertAlign w:val="superscript"/>
                    </w:rPr>
                    <w:t>2</w:t>
                  </w:r>
                  <w:r>
                    <w:rPr>
                      <w:rFonts w:hint="eastAsia" w:eastAsia="宋体"/>
                      <w:bCs/>
                      <w:sz w:val="21"/>
                      <w:szCs w:val="21"/>
                    </w:rPr>
                    <w:t>·</w:t>
                  </w:r>
                  <w:r>
                    <w:rPr>
                      <w:rFonts w:eastAsia="宋体"/>
                      <w:bCs/>
                      <w:sz w:val="21"/>
                      <w:szCs w:val="21"/>
                    </w:rPr>
                    <w:t>a</w:t>
                  </w:r>
                </w:p>
              </w:tc>
              <w:tc>
                <w:tcPr>
                  <w:tcW w:w="962" w:type="dxa"/>
                  <w:vAlign w:val="center"/>
                </w:tcPr>
                <w:p>
                  <w:pPr>
                    <w:pStyle w:val="151"/>
                    <w:snapToGrid/>
                    <w:spacing w:line="240" w:lineRule="auto"/>
                    <w:rPr>
                      <w:rFonts w:eastAsia="宋体"/>
                      <w:sz w:val="21"/>
                      <w:szCs w:val="21"/>
                    </w:rPr>
                  </w:pPr>
                  <w:r>
                    <w:rPr>
                      <w:rFonts w:eastAsia="宋体"/>
                      <w:sz w:val="21"/>
                      <w:szCs w:val="21"/>
                    </w:rPr>
                    <w:t>7</w:t>
                  </w:r>
                </w:p>
              </w:tc>
              <w:tc>
                <w:tcPr>
                  <w:tcW w:w="1191" w:type="dxa"/>
                  <w:vAlign w:val="center"/>
                </w:tcPr>
                <w:p>
                  <w:pPr>
                    <w:pStyle w:val="151"/>
                    <w:snapToGrid/>
                    <w:spacing w:line="240" w:lineRule="auto"/>
                    <w:rPr>
                      <w:rFonts w:eastAsia="宋体"/>
                      <w:sz w:val="21"/>
                      <w:szCs w:val="21"/>
                    </w:rPr>
                  </w:pPr>
                  <w:r>
                    <w:rPr>
                      <w:rFonts w:hint="eastAsia" w:eastAsia="宋体"/>
                      <w:sz w:val="21"/>
                      <w:szCs w:val="21"/>
                    </w:rPr>
                    <w:t>0</w:t>
                  </w:r>
                </w:p>
              </w:tc>
              <w:tc>
                <w:tcPr>
                  <w:tcW w:w="3532" w:type="dxa"/>
                  <w:vAlign w:val="center"/>
                </w:tcPr>
                <w:p>
                  <w:pPr>
                    <w:pStyle w:val="151"/>
                    <w:spacing w:line="240" w:lineRule="auto"/>
                    <w:rPr>
                      <w:rFonts w:eastAsia="宋体"/>
                      <w:sz w:val="21"/>
                      <w:szCs w:val="21"/>
                    </w:rPr>
                  </w:pPr>
                  <w:r>
                    <w:rPr>
                      <w:rFonts w:hint="eastAsia" w:eastAsia="宋体"/>
                      <w:sz w:val="21"/>
                      <w:szCs w:val="21"/>
                    </w:rPr>
                    <w:t>植物吸收、渗漏、蒸发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pStyle w:val="151"/>
                    <w:snapToGrid/>
                    <w:spacing w:line="240" w:lineRule="auto"/>
                    <w:rPr>
                      <w:rFonts w:eastAsia="宋体"/>
                      <w:sz w:val="21"/>
                      <w:szCs w:val="21"/>
                    </w:rPr>
                  </w:pPr>
                  <w:r>
                    <w:rPr>
                      <w:rFonts w:hint="eastAsia" w:eastAsia="宋体"/>
                      <w:sz w:val="21"/>
                      <w:szCs w:val="21"/>
                    </w:rPr>
                    <w:t>3</w:t>
                  </w:r>
                </w:p>
              </w:tc>
              <w:tc>
                <w:tcPr>
                  <w:tcW w:w="1355" w:type="dxa"/>
                  <w:vAlign w:val="center"/>
                </w:tcPr>
                <w:p>
                  <w:pPr>
                    <w:pStyle w:val="151"/>
                    <w:snapToGrid/>
                    <w:spacing w:line="240" w:lineRule="auto"/>
                    <w:rPr>
                      <w:rFonts w:hAnsi="宋体" w:eastAsia="宋体"/>
                      <w:sz w:val="21"/>
                      <w:szCs w:val="21"/>
                    </w:rPr>
                  </w:pPr>
                  <w:r>
                    <w:rPr>
                      <w:rFonts w:hint="eastAsia" w:hAnsi="宋体" w:eastAsia="宋体"/>
                      <w:sz w:val="21"/>
                      <w:szCs w:val="21"/>
                    </w:rPr>
                    <w:t>原料库抑尘用水</w:t>
                  </w:r>
                </w:p>
              </w:tc>
              <w:tc>
                <w:tcPr>
                  <w:tcW w:w="1416" w:type="dxa"/>
                  <w:vAlign w:val="center"/>
                </w:tcPr>
                <w:p>
                  <w:pPr>
                    <w:pStyle w:val="151"/>
                    <w:snapToGrid/>
                    <w:spacing w:line="240" w:lineRule="auto"/>
                    <w:rPr>
                      <w:rFonts w:eastAsia="宋体"/>
                      <w:bCs/>
                      <w:sz w:val="21"/>
                      <w:szCs w:val="21"/>
                    </w:rPr>
                  </w:pPr>
                  <w:r>
                    <w:rPr>
                      <w:rFonts w:eastAsia="宋体"/>
                      <w:bCs/>
                      <w:sz w:val="21"/>
                      <w:szCs w:val="21"/>
                    </w:rPr>
                    <w:t>1L/(m</w:t>
                  </w:r>
                  <w:r>
                    <w:rPr>
                      <w:rFonts w:eastAsia="宋体"/>
                      <w:bCs/>
                      <w:sz w:val="21"/>
                      <w:szCs w:val="21"/>
                      <w:vertAlign w:val="superscript"/>
                    </w:rPr>
                    <w:t>2</w:t>
                  </w:r>
                  <w:r>
                    <w:rPr>
                      <w:rFonts w:eastAsia="宋体"/>
                      <w:bCs/>
                      <w:sz w:val="21"/>
                      <w:szCs w:val="21"/>
                    </w:rPr>
                    <w:t>·</w:t>
                  </w:r>
                  <w:r>
                    <w:rPr>
                      <w:rFonts w:hint="eastAsia" w:eastAsia="宋体"/>
                      <w:bCs/>
                      <w:sz w:val="21"/>
                      <w:szCs w:val="21"/>
                    </w:rPr>
                    <w:t>次</w:t>
                  </w:r>
                  <w:r>
                    <w:rPr>
                      <w:rFonts w:eastAsia="宋体"/>
                      <w:bCs/>
                      <w:sz w:val="21"/>
                      <w:szCs w:val="21"/>
                    </w:rPr>
                    <w:t>)</w:t>
                  </w:r>
                </w:p>
              </w:tc>
              <w:tc>
                <w:tcPr>
                  <w:tcW w:w="962" w:type="dxa"/>
                  <w:vAlign w:val="center"/>
                </w:tcPr>
                <w:p>
                  <w:pPr>
                    <w:pStyle w:val="151"/>
                    <w:snapToGrid/>
                    <w:spacing w:line="240" w:lineRule="auto"/>
                    <w:rPr>
                      <w:rFonts w:eastAsia="宋体"/>
                      <w:sz w:val="21"/>
                      <w:szCs w:val="21"/>
                    </w:rPr>
                  </w:pPr>
                  <w:r>
                    <w:rPr>
                      <w:rFonts w:eastAsia="宋体"/>
                      <w:sz w:val="21"/>
                      <w:szCs w:val="21"/>
                    </w:rPr>
                    <w:t>3.9</w:t>
                  </w:r>
                </w:p>
              </w:tc>
              <w:tc>
                <w:tcPr>
                  <w:tcW w:w="1191" w:type="dxa"/>
                  <w:vAlign w:val="center"/>
                </w:tcPr>
                <w:p>
                  <w:pPr>
                    <w:pStyle w:val="151"/>
                    <w:snapToGrid/>
                    <w:spacing w:line="240" w:lineRule="auto"/>
                    <w:rPr>
                      <w:rFonts w:eastAsia="宋体"/>
                      <w:sz w:val="21"/>
                      <w:szCs w:val="21"/>
                    </w:rPr>
                  </w:pPr>
                  <w:r>
                    <w:rPr>
                      <w:rFonts w:hint="eastAsia" w:eastAsia="宋体"/>
                      <w:sz w:val="21"/>
                      <w:szCs w:val="21"/>
                    </w:rPr>
                    <w:t>0</w:t>
                  </w:r>
                </w:p>
              </w:tc>
              <w:tc>
                <w:tcPr>
                  <w:tcW w:w="3532" w:type="dxa"/>
                  <w:vAlign w:val="center"/>
                </w:tcPr>
                <w:p>
                  <w:pPr>
                    <w:pStyle w:val="151"/>
                    <w:spacing w:line="240" w:lineRule="auto"/>
                    <w:rPr>
                      <w:rFonts w:eastAsia="宋体"/>
                      <w:sz w:val="21"/>
                      <w:szCs w:val="21"/>
                    </w:rPr>
                  </w:pPr>
                  <w:r>
                    <w:rPr>
                      <w:rFonts w:hint="eastAsia" w:eastAsia="宋体"/>
                      <w:sz w:val="21"/>
                      <w:szCs w:val="21"/>
                    </w:rPr>
                    <w:t>蒸发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pStyle w:val="151"/>
                    <w:snapToGrid/>
                    <w:spacing w:line="240" w:lineRule="auto"/>
                    <w:rPr>
                      <w:rFonts w:eastAsia="宋体"/>
                      <w:sz w:val="21"/>
                      <w:szCs w:val="21"/>
                    </w:rPr>
                  </w:pPr>
                  <w:r>
                    <w:rPr>
                      <w:rFonts w:eastAsia="宋体"/>
                      <w:sz w:val="21"/>
                      <w:szCs w:val="21"/>
                    </w:rPr>
                    <w:t>4</w:t>
                  </w:r>
                </w:p>
              </w:tc>
              <w:tc>
                <w:tcPr>
                  <w:tcW w:w="1355" w:type="dxa"/>
                  <w:vAlign w:val="center"/>
                </w:tcPr>
                <w:p>
                  <w:pPr>
                    <w:pStyle w:val="151"/>
                    <w:snapToGrid/>
                    <w:spacing w:line="240" w:lineRule="auto"/>
                    <w:rPr>
                      <w:rFonts w:hAnsi="宋体" w:eastAsia="宋体"/>
                      <w:sz w:val="21"/>
                      <w:szCs w:val="21"/>
                    </w:rPr>
                  </w:pPr>
                  <w:r>
                    <w:rPr>
                      <w:rFonts w:hint="eastAsia" w:hAnsi="宋体" w:eastAsia="宋体"/>
                      <w:sz w:val="21"/>
                      <w:szCs w:val="21"/>
                    </w:rPr>
                    <w:t>洗车用水</w:t>
                  </w:r>
                </w:p>
              </w:tc>
              <w:tc>
                <w:tcPr>
                  <w:tcW w:w="1416" w:type="dxa"/>
                  <w:vAlign w:val="center"/>
                </w:tcPr>
                <w:p>
                  <w:pPr>
                    <w:pStyle w:val="151"/>
                    <w:snapToGrid/>
                    <w:spacing w:line="240" w:lineRule="auto"/>
                    <w:rPr>
                      <w:rFonts w:eastAsia="宋体"/>
                      <w:bCs/>
                      <w:sz w:val="21"/>
                      <w:szCs w:val="21"/>
                    </w:rPr>
                  </w:pPr>
                  <w:r>
                    <w:rPr>
                      <w:rFonts w:eastAsia="宋体"/>
                      <w:bCs/>
                      <w:sz w:val="21"/>
                      <w:szCs w:val="21"/>
                    </w:rPr>
                    <w:t>80L/</w:t>
                  </w:r>
                  <w:r>
                    <w:rPr>
                      <w:rFonts w:hint="eastAsia" w:eastAsia="宋体"/>
                      <w:bCs/>
                      <w:sz w:val="21"/>
                      <w:szCs w:val="21"/>
                    </w:rPr>
                    <w:t>辆·次</w:t>
                  </w:r>
                </w:p>
              </w:tc>
              <w:tc>
                <w:tcPr>
                  <w:tcW w:w="962" w:type="dxa"/>
                  <w:vAlign w:val="center"/>
                </w:tcPr>
                <w:p>
                  <w:pPr>
                    <w:pStyle w:val="151"/>
                    <w:snapToGrid/>
                    <w:spacing w:line="240" w:lineRule="auto"/>
                    <w:rPr>
                      <w:rFonts w:eastAsia="宋体"/>
                      <w:sz w:val="21"/>
                      <w:szCs w:val="21"/>
                    </w:rPr>
                  </w:pPr>
                  <w:r>
                    <w:rPr>
                      <w:rFonts w:eastAsia="宋体"/>
                      <w:sz w:val="21"/>
                      <w:szCs w:val="21"/>
                    </w:rPr>
                    <w:t>2.14</w:t>
                  </w:r>
                </w:p>
              </w:tc>
              <w:tc>
                <w:tcPr>
                  <w:tcW w:w="1191" w:type="dxa"/>
                  <w:vAlign w:val="center"/>
                </w:tcPr>
                <w:p>
                  <w:pPr>
                    <w:pStyle w:val="151"/>
                    <w:snapToGrid/>
                    <w:spacing w:line="240" w:lineRule="auto"/>
                    <w:rPr>
                      <w:rFonts w:eastAsia="宋体"/>
                      <w:sz w:val="21"/>
                      <w:szCs w:val="21"/>
                    </w:rPr>
                  </w:pPr>
                  <w:r>
                    <w:rPr>
                      <w:rFonts w:eastAsia="宋体"/>
                      <w:sz w:val="21"/>
                      <w:szCs w:val="21"/>
                    </w:rPr>
                    <w:t>8.56</w:t>
                  </w:r>
                </w:p>
              </w:tc>
              <w:tc>
                <w:tcPr>
                  <w:tcW w:w="3532" w:type="dxa"/>
                  <w:vAlign w:val="center"/>
                </w:tcPr>
                <w:p>
                  <w:pPr>
                    <w:pStyle w:val="151"/>
                    <w:snapToGrid/>
                    <w:spacing w:line="240" w:lineRule="auto"/>
                    <w:rPr>
                      <w:rFonts w:eastAsia="宋体"/>
                      <w:sz w:val="21"/>
                      <w:szCs w:val="21"/>
                    </w:rPr>
                  </w:pPr>
                  <w:r>
                    <w:rPr>
                      <w:rFonts w:eastAsia="宋体"/>
                      <w:sz w:val="21"/>
                      <w:szCs w:val="21"/>
                    </w:rPr>
                    <w:t>8.56</w:t>
                  </w:r>
                  <w:r>
                    <w:rPr>
                      <w:rFonts w:hint="eastAsia" w:eastAsia="宋体"/>
                      <w:sz w:val="21"/>
                      <w:szCs w:val="21"/>
                    </w:rPr>
                    <w:t>m</w:t>
                  </w:r>
                  <w:r>
                    <w:rPr>
                      <w:rFonts w:hint="eastAsia" w:eastAsia="宋体"/>
                      <w:sz w:val="21"/>
                      <w:szCs w:val="21"/>
                      <w:vertAlign w:val="superscript"/>
                    </w:rPr>
                    <w:t>3</w:t>
                  </w:r>
                  <w:r>
                    <w:rPr>
                      <w:rFonts w:hint="eastAsia" w:eastAsia="宋体"/>
                      <w:sz w:val="21"/>
                      <w:szCs w:val="21"/>
                    </w:rPr>
                    <w:t>/d；洗车废水排至沉淀池沉淀后排入清水池循环使用，不外排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Align w:val="center"/>
                </w:tcPr>
                <w:p>
                  <w:pPr>
                    <w:pStyle w:val="151"/>
                    <w:snapToGrid/>
                    <w:spacing w:line="240" w:lineRule="auto"/>
                    <w:rPr>
                      <w:rFonts w:eastAsia="宋体"/>
                      <w:sz w:val="21"/>
                      <w:szCs w:val="21"/>
                    </w:rPr>
                  </w:pPr>
                  <w:r>
                    <w:rPr>
                      <w:rFonts w:eastAsia="宋体"/>
                      <w:sz w:val="21"/>
                      <w:szCs w:val="21"/>
                    </w:rPr>
                    <w:t>5</w:t>
                  </w:r>
                </w:p>
              </w:tc>
              <w:tc>
                <w:tcPr>
                  <w:tcW w:w="1355" w:type="dxa"/>
                  <w:vAlign w:val="center"/>
                </w:tcPr>
                <w:p>
                  <w:pPr>
                    <w:pStyle w:val="151"/>
                    <w:snapToGrid/>
                    <w:spacing w:line="240" w:lineRule="auto"/>
                    <w:rPr>
                      <w:rFonts w:eastAsia="宋体"/>
                      <w:sz w:val="21"/>
                      <w:szCs w:val="21"/>
                    </w:rPr>
                  </w:pPr>
                  <w:r>
                    <w:rPr>
                      <w:rFonts w:hint="eastAsia" w:eastAsia="宋体"/>
                      <w:sz w:val="21"/>
                      <w:szCs w:val="21"/>
                    </w:rPr>
                    <w:t>生活用水</w:t>
                  </w:r>
                </w:p>
              </w:tc>
              <w:tc>
                <w:tcPr>
                  <w:tcW w:w="1416" w:type="dxa"/>
                  <w:vAlign w:val="center"/>
                </w:tcPr>
                <w:p>
                  <w:pPr>
                    <w:pStyle w:val="151"/>
                    <w:snapToGrid/>
                    <w:spacing w:line="240" w:lineRule="auto"/>
                    <w:rPr>
                      <w:rFonts w:eastAsia="宋体"/>
                      <w:sz w:val="21"/>
                      <w:szCs w:val="21"/>
                    </w:rPr>
                  </w:pPr>
                  <w:r>
                    <w:rPr>
                      <w:rFonts w:eastAsia="宋体"/>
                      <w:sz w:val="21"/>
                      <w:szCs w:val="21"/>
                    </w:rPr>
                    <w:t>3</w:t>
                  </w:r>
                  <w:r>
                    <w:rPr>
                      <w:rFonts w:hint="eastAsia" w:eastAsia="宋体"/>
                      <w:sz w:val="21"/>
                      <w:szCs w:val="21"/>
                    </w:rPr>
                    <w:t>0L/人·d</w:t>
                  </w:r>
                </w:p>
              </w:tc>
              <w:tc>
                <w:tcPr>
                  <w:tcW w:w="962" w:type="dxa"/>
                  <w:vAlign w:val="center"/>
                </w:tcPr>
                <w:p>
                  <w:pPr>
                    <w:pStyle w:val="151"/>
                    <w:snapToGrid/>
                    <w:spacing w:line="240" w:lineRule="auto"/>
                    <w:rPr>
                      <w:rFonts w:eastAsia="宋体"/>
                      <w:sz w:val="21"/>
                      <w:szCs w:val="21"/>
                    </w:rPr>
                  </w:pPr>
                  <w:r>
                    <w:rPr>
                      <w:rFonts w:eastAsia="宋体"/>
                      <w:sz w:val="21"/>
                      <w:szCs w:val="21"/>
                    </w:rPr>
                    <w:t>0.6</w:t>
                  </w:r>
                </w:p>
              </w:tc>
              <w:tc>
                <w:tcPr>
                  <w:tcW w:w="1191" w:type="dxa"/>
                  <w:vAlign w:val="center"/>
                </w:tcPr>
                <w:p>
                  <w:pPr>
                    <w:pStyle w:val="151"/>
                    <w:snapToGrid/>
                    <w:spacing w:line="240" w:lineRule="auto"/>
                    <w:rPr>
                      <w:rFonts w:eastAsia="宋体"/>
                      <w:sz w:val="21"/>
                      <w:szCs w:val="21"/>
                    </w:rPr>
                  </w:pPr>
                  <w:r>
                    <w:rPr>
                      <w:rFonts w:hint="eastAsia" w:eastAsia="宋体"/>
                      <w:sz w:val="21"/>
                      <w:szCs w:val="21"/>
                    </w:rPr>
                    <w:t>0</w:t>
                  </w:r>
                </w:p>
              </w:tc>
              <w:tc>
                <w:tcPr>
                  <w:tcW w:w="3532" w:type="dxa"/>
                  <w:vAlign w:val="center"/>
                </w:tcPr>
                <w:p>
                  <w:pPr>
                    <w:pStyle w:val="151"/>
                    <w:snapToGrid/>
                    <w:spacing w:line="240" w:lineRule="auto"/>
                    <w:rPr>
                      <w:rFonts w:eastAsia="宋体"/>
                      <w:sz w:val="21"/>
                      <w:szCs w:val="21"/>
                    </w:rPr>
                  </w:pPr>
                  <w:r>
                    <w:rPr>
                      <w:rFonts w:eastAsia="宋体"/>
                      <w:sz w:val="21"/>
                      <w:szCs w:val="21"/>
                    </w:rPr>
                    <w:t>0.48</w:t>
                  </w:r>
                  <w:r>
                    <w:rPr>
                      <w:rFonts w:hint="eastAsia" w:eastAsia="宋体"/>
                      <w:sz w:val="21"/>
                      <w:szCs w:val="21"/>
                    </w:rPr>
                    <w:t>m</w:t>
                  </w:r>
                  <w:r>
                    <w:rPr>
                      <w:rFonts w:hint="eastAsia" w:eastAsia="宋体"/>
                      <w:sz w:val="21"/>
                      <w:szCs w:val="21"/>
                      <w:vertAlign w:val="superscript"/>
                    </w:rPr>
                    <w:t>3</w:t>
                  </w:r>
                  <w:r>
                    <w:rPr>
                      <w:rFonts w:hint="eastAsia" w:eastAsia="宋体"/>
                      <w:sz w:val="21"/>
                      <w:szCs w:val="21"/>
                    </w:rPr>
                    <w:t>/d；少量盥洗废水</w:t>
                  </w:r>
                  <w:r>
                    <w:rPr>
                      <w:rFonts w:hint="eastAsia" w:eastAsia="宋体"/>
                      <w:bCs/>
                      <w:sz w:val="21"/>
                      <w:szCs w:val="21"/>
                    </w:rPr>
                    <w:t>（0.24</w:t>
                  </w:r>
                  <w:r>
                    <w:rPr>
                      <w:rFonts w:eastAsia="宋体"/>
                      <w:bCs/>
                      <w:sz w:val="21"/>
                      <w:szCs w:val="21"/>
                    </w:rPr>
                    <w:t xml:space="preserve"> m</w:t>
                  </w:r>
                  <w:r>
                    <w:rPr>
                      <w:rFonts w:eastAsia="宋体"/>
                      <w:bCs/>
                      <w:sz w:val="21"/>
                      <w:szCs w:val="21"/>
                      <w:vertAlign w:val="superscript"/>
                    </w:rPr>
                    <w:t>3</w:t>
                  </w:r>
                  <w:r>
                    <w:rPr>
                      <w:rFonts w:eastAsia="宋体"/>
                      <w:bCs/>
                      <w:sz w:val="21"/>
                      <w:szCs w:val="21"/>
                    </w:rPr>
                    <w:t>/d</w:t>
                  </w:r>
                  <w:r>
                    <w:rPr>
                      <w:rFonts w:hint="eastAsia" w:eastAsia="宋体"/>
                      <w:bCs/>
                      <w:sz w:val="21"/>
                      <w:szCs w:val="21"/>
                    </w:rPr>
                    <w:t>）</w:t>
                  </w:r>
                  <w:r>
                    <w:rPr>
                      <w:rFonts w:hint="eastAsia" w:eastAsia="宋体"/>
                      <w:sz w:val="21"/>
                      <w:szCs w:val="21"/>
                    </w:rPr>
                    <w:t>用于泼洒抑尘；</w:t>
                  </w:r>
                  <w:r>
                    <w:rPr>
                      <w:rFonts w:hint="eastAsia" w:eastAsia="宋体"/>
                      <w:bCs/>
                      <w:sz w:val="21"/>
                      <w:szCs w:val="21"/>
                    </w:rPr>
                    <w:t>食堂餐余物及食堂废水（0.24</w:t>
                  </w:r>
                  <w:r>
                    <w:rPr>
                      <w:rFonts w:eastAsia="宋体"/>
                      <w:bCs/>
                      <w:sz w:val="21"/>
                      <w:szCs w:val="21"/>
                    </w:rPr>
                    <w:t>m</w:t>
                  </w:r>
                  <w:r>
                    <w:rPr>
                      <w:rFonts w:eastAsia="宋体"/>
                      <w:bCs/>
                      <w:sz w:val="21"/>
                      <w:szCs w:val="21"/>
                      <w:vertAlign w:val="superscript"/>
                    </w:rPr>
                    <w:t>3</w:t>
                  </w:r>
                  <w:r>
                    <w:rPr>
                      <w:rFonts w:eastAsia="宋体"/>
                      <w:bCs/>
                      <w:sz w:val="21"/>
                      <w:szCs w:val="21"/>
                    </w:rPr>
                    <w:t>/d</w:t>
                  </w:r>
                  <w:r>
                    <w:rPr>
                      <w:rFonts w:hint="eastAsia" w:eastAsia="宋体"/>
                      <w:bCs/>
                      <w:sz w:val="21"/>
                      <w:szCs w:val="21"/>
                    </w:rPr>
                    <w:t>）</w:t>
                  </w:r>
                  <w:r>
                    <w:rPr>
                      <w:rFonts w:hint="eastAsia" w:eastAsia="宋体"/>
                      <w:sz w:val="21"/>
                      <w:szCs w:val="21"/>
                    </w:rPr>
                    <w:t>经收集后委托有相关资质的单位外运处置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674" w:type="dxa"/>
                  <w:vMerge w:val="restart"/>
                  <w:vAlign w:val="center"/>
                </w:tcPr>
                <w:p>
                  <w:pPr>
                    <w:pStyle w:val="151"/>
                    <w:snapToGrid/>
                    <w:spacing w:line="240" w:lineRule="auto"/>
                    <w:rPr>
                      <w:rFonts w:eastAsia="宋体"/>
                      <w:sz w:val="21"/>
                      <w:szCs w:val="21"/>
                    </w:rPr>
                  </w:pPr>
                  <w:r>
                    <w:rPr>
                      <w:rFonts w:hint="eastAsia" w:eastAsia="宋体"/>
                      <w:sz w:val="21"/>
                      <w:szCs w:val="21"/>
                    </w:rPr>
                    <w:t>6</w:t>
                  </w:r>
                </w:p>
              </w:tc>
              <w:tc>
                <w:tcPr>
                  <w:tcW w:w="1355" w:type="dxa"/>
                  <w:vMerge w:val="restart"/>
                  <w:vAlign w:val="center"/>
                </w:tcPr>
                <w:p>
                  <w:pPr>
                    <w:pStyle w:val="151"/>
                    <w:snapToGrid/>
                    <w:spacing w:line="240" w:lineRule="auto"/>
                    <w:rPr>
                      <w:rFonts w:eastAsia="宋体"/>
                      <w:sz w:val="21"/>
                      <w:szCs w:val="21"/>
                    </w:rPr>
                  </w:pPr>
                  <w:r>
                    <w:rPr>
                      <w:rFonts w:hAnsi="宋体" w:eastAsia="宋体"/>
                      <w:sz w:val="21"/>
                      <w:szCs w:val="21"/>
                    </w:rPr>
                    <w:t>合计</w:t>
                  </w:r>
                </w:p>
              </w:tc>
              <w:tc>
                <w:tcPr>
                  <w:tcW w:w="1416" w:type="dxa"/>
                  <w:vAlign w:val="center"/>
                </w:tcPr>
                <w:p>
                  <w:pPr>
                    <w:pStyle w:val="151"/>
                    <w:snapToGrid/>
                    <w:spacing w:line="240" w:lineRule="auto"/>
                    <w:rPr>
                      <w:rFonts w:eastAsia="宋体"/>
                      <w:bCs/>
                      <w:sz w:val="21"/>
                      <w:szCs w:val="21"/>
                    </w:rPr>
                  </w:pPr>
                  <w:r>
                    <w:rPr>
                      <w:rFonts w:hAnsi="宋体" w:eastAsia="宋体"/>
                      <w:bCs/>
                      <w:sz w:val="21"/>
                      <w:szCs w:val="21"/>
                    </w:rPr>
                    <w:t>采暖期</w:t>
                  </w:r>
                </w:p>
              </w:tc>
              <w:tc>
                <w:tcPr>
                  <w:tcW w:w="962" w:type="dxa"/>
                  <w:vAlign w:val="center"/>
                </w:tcPr>
                <w:p>
                  <w:pPr>
                    <w:pStyle w:val="151"/>
                    <w:snapToGrid/>
                    <w:spacing w:line="240" w:lineRule="auto"/>
                    <w:rPr>
                      <w:rFonts w:eastAsia="宋体"/>
                      <w:sz w:val="21"/>
                      <w:szCs w:val="21"/>
                    </w:rPr>
                  </w:pPr>
                  <w:r>
                    <w:rPr>
                      <w:rFonts w:hint="eastAsia" w:eastAsia="宋体"/>
                      <w:sz w:val="21"/>
                      <w:szCs w:val="21"/>
                    </w:rPr>
                    <w:t>1</w:t>
                  </w:r>
                  <w:r>
                    <w:rPr>
                      <w:rFonts w:eastAsia="宋体"/>
                      <w:sz w:val="21"/>
                      <w:szCs w:val="21"/>
                    </w:rPr>
                    <w:t>0.64</w:t>
                  </w:r>
                </w:p>
              </w:tc>
              <w:tc>
                <w:tcPr>
                  <w:tcW w:w="1191" w:type="dxa"/>
                  <w:vMerge w:val="restart"/>
                  <w:vAlign w:val="center"/>
                </w:tcPr>
                <w:p>
                  <w:pPr>
                    <w:spacing w:line="240" w:lineRule="auto"/>
                    <w:ind w:firstLine="0" w:firstLineChars="0"/>
                    <w:jc w:val="center"/>
                    <w:rPr>
                      <w:sz w:val="21"/>
                      <w:szCs w:val="21"/>
                    </w:rPr>
                  </w:pPr>
                  <w:r>
                    <w:rPr>
                      <w:rFonts w:hint="eastAsia"/>
                      <w:sz w:val="21"/>
                      <w:szCs w:val="21"/>
                    </w:rPr>
                    <w:t>8</w:t>
                  </w:r>
                  <w:r>
                    <w:rPr>
                      <w:sz w:val="21"/>
                      <w:szCs w:val="21"/>
                    </w:rPr>
                    <w:t>.56</w:t>
                  </w:r>
                </w:p>
              </w:tc>
              <w:tc>
                <w:tcPr>
                  <w:tcW w:w="3532" w:type="dxa"/>
                  <w:vMerge w:val="restart"/>
                  <w:vAlign w:val="center"/>
                </w:tcPr>
                <w:p>
                  <w:pPr>
                    <w:spacing w:line="240" w:lineRule="auto"/>
                    <w:ind w:firstLine="0" w:firstLineChars="0"/>
                    <w:jc w:val="center"/>
                    <w:rPr>
                      <w:sz w:val="21"/>
                      <w:szCs w:val="21"/>
                    </w:rPr>
                  </w:pPr>
                  <w:r>
                    <w:rPr>
                      <w:rFonts w:hint="eastAsia"/>
                      <w:sz w:val="21"/>
                      <w:szCs w:val="21"/>
                    </w:rPr>
                    <w:t>生活废水量</w:t>
                  </w:r>
                  <w:r>
                    <w:rPr>
                      <w:sz w:val="21"/>
                      <w:szCs w:val="21"/>
                    </w:rPr>
                    <w:t>0.48</w:t>
                  </w:r>
                  <w:r>
                    <w:rPr>
                      <w:rFonts w:hint="eastAsia"/>
                      <w:sz w:val="21"/>
                      <w:szCs w:val="21"/>
                    </w:rPr>
                    <w:t>m</w:t>
                  </w:r>
                  <w:r>
                    <w:rPr>
                      <w:rFonts w:hint="eastAsia"/>
                      <w:sz w:val="21"/>
                      <w:szCs w:val="21"/>
                      <w:vertAlign w:val="superscript"/>
                    </w:rPr>
                    <w:t>3</w:t>
                  </w:r>
                  <w:r>
                    <w:rPr>
                      <w:rFonts w:hint="eastAsia"/>
                      <w:sz w:val="21"/>
                      <w:szCs w:val="21"/>
                    </w:rPr>
                    <w:t>/d；少量盥洗废水</w:t>
                  </w:r>
                  <w:r>
                    <w:rPr>
                      <w:rFonts w:hint="eastAsia"/>
                      <w:bCs/>
                      <w:sz w:val="21"/>
                      <w:szCs w:val="21"/>
                    </w:rPr>
                    <w:t>（0.24</w:t>
                  </w:r>
                  <w:r>
                    <w:rPr>
                      <w:bCs/>
                      <w:sz w:val="21"/>
                      <w:szCs w:val="21"/>
                    </w:rPr>
                    <w:t xml:space="preserve"> m</w:t>
                  </w:r>
                  <w:r>
                    <w:rPr>
                      <w:bCs/>
                      <w:sz w:val="21"/>
                      <w:szCs w:val="21"/>
                      <w:vertAlign w:val="superscript"/>
                    </w:rPr>
                    <w:t>3</w:t>
                  </w:r>
                  <w:r>
                    <w:rPr>
                      <w:bCs/>
                      <w:sz w:val="21"/>
                      <w:szCs w:val="21"/>
                    </w:rPr>
                    <w:t>/d</w:t>
                  </w:r>
                  <w:r>
                    <w:rPr>
                      <w:rFonts w:hint="eastAsia"/>
                      <w:bCs/>
                      <w:sz w:val="21"/>
                      <w:szCs w:val="21"/>
                    </w:rPr>
                    <w:t>）</w:t>
                  </w:r>
                  <w:r>
                    <w:rPr>
                      <w:rFonts w:hint="eastAsia"/>
                      <w:sz w:val="21"/>
                      <w:szCs w:val="21"/>
                    </w:rPr>
                    <w:t>用于泼洒抑尘；</w:t>
                  </w:r>
                  <w:r>
                    <w:rPr>
                      <w:rFonts w:hint="eastAsia"/>
                      <w:bCs/>
                      <w:sz w:val="21"/>
                      <w:szCs w:val="21"/>
                    </w:rPr>
                    <w:t>食堂餐余物及食堂废水（0.24</w:t>
                  </w:r>
                  <w:r>
                    <w:rPr>
                      <w:bCs/>
                      <w:sz w:val="21"/>
                      <w:szCs w:val="21"/>
                    </w:rPr>
                    <w:t>m</w:t>
                  </w:r>
                  <w:r>
                    <w:rPr>
                      <w:bCs/>
                      <w:sz w:val="21"/>
                      <w:szCs w:val="21"/>
                      <w:vertAlign w:val="superscript"/>
                    </w:rPr>
                    <w:t>3</w:t>
                  </w:r>
                  <w:r>
                    <w:rPr>
                      <w:bCs/>
                      <w:sz w:val="21"/>
                      <w:szCs w:val="21"/>
                    </w:rPr>
                    <w:t>/d</w:t>
                  </w:r>
                  <w:r>
                    <w:rPr>
                      <w:rFonts w:hint="eastAsia"/>
                      <w:bCs/>
                      <w:sz w:val="21"/>
                      <w:szCs w:val="21"/>
                    </w:rPr>
                    <w:t>）</w:t>
                  </w:r>
                  <w:r>
                    <w:rPr>
                      <w:rFonts w:hint="eastAsia"/>
                      <w:sz w:val="21"/>
                      <w:szCs w:val="21"/>
                    </w:rPr>
                    <w:t>经收集后委托有相关资质的单位外运处置。</w:t>
                  </w:r>
                </w:p>
                <w:p>
                  <w:pPr>
                    <w:spacing w:line="240" w:lineRule="auto"/>
                    <w:ind w:firstLine="0" w:firstLineChars="0"/>
                    <w:jc w:val="center"/>
                    <w:rPr>
                      <w:sz w:val="21"/>
                      <w:szCs w:val="21"/>
                    </w:rPr>
                  </w:pPr>
                  <w:r>
                    <w:rPr>
                      <w:rFonts w:hint="eastAsia"/>
                      <w:sz w:val="21"/>
                      <w:szCs w:val="21"/>
                    </w:rPr>
                    <w:t>洗车废水量</w:t>
                  </w:r>
                  <w:r>
                    <w:rPr>
                      <w:sz w:val="21"/>
                      <w:szCs w:val="21"/>
                    </w:rPr>
                    <w:t>8.56</w:t>
                  </w:r>
                  <w:r>
                    <w:rPr>
                      <w:rFonts w:hint="eastAsia"/>
                      <w:sz w:val="21"/>
                      <w:szCs w:val="21"/>
                    </w:rPr>
                    <w:t>m</w:t>
                  </w:r>
                  <w:r>
                    <w:rPr>
                      <w:rFonts w:hint="eastAsia"/>
                      <w:sz w:val="21"/>
                      <w:szCs w:val="21"/>
                      <w:vertAlign w:val="superscript"/>
                    </w:rPr>
                    <w:t>3</w:t>
                  </w:r>
                  <w:r>
                    <w:rPr>
                      <w:rFonts w:hint="eastAsia"/>
                      <w:sz w:val="21"/>
                      <w:szCs w:val="21"/>
                    </w:rPr>
                    <w:t>/d；洗车废水排至沉淀池沉淀处理后排入清水池循环使用，不外排。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4" w:type="dxa"/>
                  <w:vMerge w:val="continue"/>
                  <w:vAlign w:val="center"/>
                </w:tcPr>
                <w:p>
                  <w:pPr>
                    <w:pStyle w:val="151"/>
                    <w:snapToGrid/>
                    <w:spacing w:line="240" w:lineRule="auto"/>
                    <w:rPr>
                      <w:rFonts w:eastAsia="宋体"/>
                      <w:sz w:val="21"/>
                      <w:szCs w:val="21"/>
                    </w:rPr>
                  </w:pPr>
                </w:p>
              </w:tc>
              <w:tc>
                <w:tcPr>
                  <w:tcW w:w="1355" w:type="dxa"/>
                  <w:vMerge w:val="continue"/>
                  <w:vAlign w:val="center"/>
                </w:tcPr>
                <w:p>
                  <w:pPr>
                    <w:pStyle w:val="151"/>
                    <w:snapToGrid/>
                    <w:spacing w:line="240" w:lineRule="auto"/>
                    <w:rPr>
                      <w:rFonts w:eastAsia="宋体"/>
                      <w:sz w:val="21"/>
                      <w:szCs w:val="21"/>
                    </w:rPr>
                  </w:pPr>
                </w:p>
              </w:tc>
              <w:tc>
                <w:tcPr>
                  <w:tcW w:w="1416" w:type="dxa"/>
                  <w:vAlign w:val="center"/>
                </w:tcPr>
                <w:p>
                  <w:pPr>
                    <w:pStyle w:val="151"/>
                    <w:snapToGrid/>
                    <w:spacing w:line="240" w:lineRule="auto"/>
                    <w:rPr>
                      <w:rFonts w:eastAsia="宋体"/>
                      <w:bCs/>
                      <w:sz w:val="21"/>
                      <w:szCs w:val="21"/>
                    </w:rPr>
                  </w:pPr>
                  <w:r>
                    <w:rPr>
                      <w:rFonts w:hint="eastAsia" w:hAnsi="宋体" w:eastAsia="宋体"/>
                      <w:bCs/>
                      <w:sz w:val="21"/>
                      <w:szCs w:val="21"/>
                    </w:rPr>
                    <w:t>非</w:t>
                  </w:r>
                  <w:r>
                    <w:rPr>
                      <w:rFonts w:hAnsi="宋体" w:eastAsia="宋体"/>
                      <w:bCs/>
                      <w:sz w:val="21"/>
                      <w:szCs w:val="21"/>
                    </w:rPr>
                    <w:t>采暖期</w:t>
                  </w:r>
                </w:p>
              </w:tc>
              <w:tc>
                <w:tcPr>
                  <w:tcW w:w="962" w:type="dxa"/>
                  <w:vAlign w:val="center"/>
                </w:tcPr>
                <w:p>
                  <w:pPr>
                    <w:pStyle w:val="151"/>
                    <w:snapToGrid/>
                    <w:spacing w:line="240" w:lineRule="auto"/>
                    <w:rPr>
                      <w:rFonts w:eastAsia="宋体"/>
                      <w:sz w:val="21"/>
                      <w:szCs w:val="21"/>
                    </w:rPr>
                  </w:pPr>
                  <w:r>
                    <w:rPr>
                      <w:rFonts w:hint="eastAsia" w:eastAsia="宋体"/>
                      <w:sz w:val="21"/>
                      <w:szCs w:val="21"/>
                    </w:rPr>
                    <w:t>1</w:t>
                  </w:r>
                  <w:r>
                    <w:rPr>
                      <w:rFonts w:eastAsia="宋体"/>
                      <w:sz w:val="21"/>
                      <w:szCs w:val="21"/>
                    </w:rPr>
                    <w:t>7.64</w:t>
                  </w:r>
                </w:p>
              </w:tc>
              <w:tc>
                <w:tcPr>
                  <w:tcW w:w="1191" w:type="dxa"/>
                  <w:vMerge w:val="continue"/>
                  <w:vAlign w:val="center"/>
                </w:tcPr>
                <w:p>
                  <w:pPr>
                    <w:spacing w:line="240" w:lineRule="auto"/>
                    <w:ind w:firstLine="0" w:firstLineChars="0"/>
                    <w:jc w:val="center"/>
                    <w:rPr>
                      <w:sz w:val="21"/>
                      <w:szCs w:val="21"/>
                    </w:rPr>
                  </w:pPr>
                </w:p>
              </w:tc>
              <w:tc>
                <w:tcPr>
                  <w:tcW w:w="3532" w:type="dxa"/>
                  <w:vMerge w:val="continue"/>
                  <w:vAlign w:val="center"/>
                </w:tcPr>
                <w:p>
                  <w:pPr>
                    <w:spacing w:line="240" w:lineRule="auto"/>
                    <w:ind w:firstLine="0" w:firstLineChars="0"/>
                    <w:jc w:val="center"/>
                    <w:rPr>
                      <w:sz w:val="21"/>
                      <w:szCs w:val="21"/>
                    </w:rPr>
                  </w:pPr>
                </w:p>
              </w:tc>
            </w:tr>
          </w:tbl>
          <w:p>
            <w:pPr>
              <w:ind w:firstLine="480"/>
            </w:pPr>
            <w:bookmarkStart w:id="4" w:name="OLE_LINK9"/>
            <w:bookmarkStart w:id="5" w:name="OLE_LINK8"/>
            <w:r>
              <w:rPr>
                <w:rFonts w:hint="eastAsia" w:hAnsi="宋体"/>
              </w:rPr>
              <w:t>本项目</w:t>
            </w:r>
            <w:r>
              <w:rPr>
                <w:rFonts w:hAnsi="宋体"/>
              </w:rPr>
              <w:t>新</w:t>
            </w:r>
            <w:bookmarkEnd w:id="4"/>
            <w:bookmarkEnd w:id="5"/>
            <w:r>
              <w:rPr>
                <w:rFonts w:hAnsi="宋体"/>
              </w:rPr>
              <w:t>鲜水用水量为</w:t>
            </w:r>
            <w:r>
              <w:rPr>
                <w:rFonts w:hint="eastAsia" w:hAnsi="宋体"/>
              </w:rPr>
              <w:t>采暖期</w:t>
            </w:r>
            <w:r>
              <w:rPr>
                <w:rFonts w:hAnsi="宋体"/>
              </w:rPr>
              <w:t>10.64</w:t>
            </w:r>
            <w:r>
              <w:t>m</w:t>
            </w:r>
            <w:r>
              <w:rPr>
                <w:vertAlign w:val="superscript"/>
              </w:rPr>
              <w:t>3</w:t>
            </w:r>
            <w:r>
              <w:t>/d</w:t>
            </w:r>
            <w:r>
              <w:rPr>
                <w:rFonts w:hint="eastAsia" w:hAnsi="宋体"/>
              </w:rPr>
              <w:t>，非采暖期</w:t>
            </w:r>
            <w:r>
              <w:rPr>
                <w:rFonts w:hAnsi="宋体"/>
              </w:rPr>
              <w:t>17.64</w:t>
            </w:r>
            <w:r>
              <w:t>m</w:t>
            </w:r>
            <w:r>
              <w:rPr>
                <w:vertAlign w:val="superscript"/>
              </w:rPr>
              <w:t>3</w:t>
            </w:r>
            <w:r>
              <w:t>/d</w:t>
            </w:r>
            <w:r>
              <w:rPr>
                <w:rFonts w:hint="eastAsia" w:hAnsi="宋体"/>
              </w:rPr>
              <w:t>；</w:t>
            </w:r>
            <w:r>
              <w:rPr>
                <w:rFonts w:hint="eastAsia" w:hAnsi="宋体"/>
                <w:bCs/>
              </w:rPr>
              <w:t>生活污水产生量为0.48</w:t>
            </w:r>
            <w:r>
              <w:rPr>
                <w:rFonts w:hAnsi="宋体"/>
                <w:bCs/>
              </w:rPr>
              <w:t>m</w:t>
            </w:r>
            <w:r>
              <w:rPr>
                <w:rFonts w:hAnsi="宋体"/>
                <w:bCs/>
                <w:vertAlign w:val="superscript"/>
              </w:rPr>
              <w:t>3</w:t>
            </w:r>
            <w:r>
              <w:rPr>
                <w:rFonts w:hAnsi="宋体"/>
                <w:bCs/>
              </w:rPr>
              <w:t>/d</w:t>
            </w:r>
            <w:r>
              <w:rPr>
                <w:rFonts w:hint="eastAsia" w:hAnsi="宋体"/>
                <w:bCs/>
              </w:rPr>
              <w:t>；主要为盥洗废水、食堂废水；其中盥洗废水（0.24</w:t>
            </w:r>
            <w:r>
              <w:rPr>
                <w:rFonts w:hAnsi="宋体"/>
                <w:bCs/>
              </w:rPr>
              <w:t xml:space="preserve"> m</w:t>
            </w:r>
            <w:r>
              <w:rPr>
                <w:rFonts w:hAnsi="宋体"/>
                <w:bCs/>
                <w:vertAlign w:val="superscript"/>
              </w:rPr>
              <w:t>3</w:t>
            </w:r>
            <w:r>
              <w:rPr>
                <w:rFonts w:hAnsi="宋体"/>
                <w:bCs/>
              </w:rPr>
              <w:t>/d</w:t>
            </w:r>
            <w:r>
              <w:rPr>
                <w:rFonts w:hint="eastAsia" w:hAnsi="宋体"/>
                <w:bCs/>
              </w:rPr>
              <w:t>）直接用于厂区泼洒抑尘，食堂餐余物及食堂废水（0.24</w:t>
            </w:r>
            <w:r>
              <w:rPr>
                <w:rFonts w:hAnsi="宋体"/>
                <w:bCs/>
              </w:rPr>
              <w:t>m</w:t>
            </w:r>
            <w:r>
              <w:rPr>
                <w:rFonts w:hAnsi="宋体"/>
                <w:bCs/>
                <w:vertAlign w:val="superscript"/>
              </w:rPr>
              <w:t>3</w:t>
            </w:r>
            <w:r>
              <w:rPr>
                <w:rFonts w:hAnsi="宋体"/>
                <w:bCs/>
              </w:rPr>
              <w:t>/d</w:t>
            </w:r>
            <w:r>
              <w:rPr>
                <w:rFonts w:hint="eastAsia" w:hAnsi="宋体"/>
                <w:bCs/>
              </w:rPr>
              <w:t>）</w:t>
            </w:r>
            <w:r>
              <w:rPr>
                <w:rFonts w:hint="eastAsia" w:hAnsi="宋体"/>
              </w:rPr>
              <w:t>经收集后委托有相关资质的单位外运处置</w:t>
            </w:r>
            <w:r>
              <w:rPr>
                <w:rFonts w:hint="eastAsia" w:hAnsi="宋体"/>
                <w:bCs/>
              </w:rPr>
              <w:t>。洗车废水量</w:t>
            </w:r>
            <w:r>
              <w:rPr>
                <w:rFonts w:hAnsi="宋体"/>
                <w:bCs/>
              </w:rPr>
              <w:t>8.56</w:t>
            </w:r>
            <w:r>
              <w:rPr>
                <w:rFonts w:hint="eastAsia" w:hAnsi="宋体"/>
                <w:bCs/>
              </w:rPr>
              <w:t>m</w:t>
            </w:r>
            <w:r>
              <w:rPr>
                <w:rFonts w:hint="eastAsia" w:hAnsi="宋体"/>
                <w:bCs/>
                <w:vertAlign w:val="superscript"/>
              </w:rPr>
              <w:t>3</w:t>
            </w:r>
            <w:r>
              <w:rPr>
                <w:rFonts w:hint="eastAsia" w:hAnsi="宋体"/>
                <w:bCs/>
              </w:rPr>
              <w:t>/d；洗车废水排至沉淀池沉淀处理后排入清水池循环使用，不外排。</w:t>
            </w:r>
          </w:p>
          <w:p>
            <w:pPr>
              <w:ind w:firstLine="480"/>
              <w:rPr>
                <w:rFonts w:hAnsi="宋体"/>
              </w:rPr>
            </w:pPr>
            <w:r>
              <w:rPr>
                <w:rFonts w:hint="eastAsia" w:hAnsi="宋体"/>
              </w:rPr>
              <w:t>本项目</w:t>
            </w:r>
            <w:r>
              <w:rPr>
                <w:rFonts w:hAnsi="宋体"/>
              </w:rPr>
              <w:t>用排水平衡见图</w:t>
            </w:r>
            <w:r>
              <w:rPr>
                <w:rFonts w:hint="eastAsia"/>
              </w:rPr>
              <w:t>1、图2</w:t>
            </w:r>
            <w:r>
              <w:rPr>
                <w:rFonts w:hAnsi="宋体"/>
              </w:rPr>
              <w:t>。</w:t>
            </w:r>
          </w:p>
          <w:p>
            <w:pPr>
              <w:ind w:firstLine="480"/>
              <w:rPr>
                <w:rFonts w:hAnsi="宋体"/>
              </w:rPr>
            </w:pPr>
          </w:p>
          <w:p>
            <w:pPr>
              <w:ind w:firstLine="480"/>
              <w:rPr>
                <w:rFonts w:hAnsi="宋体"/>
              </w:rPr>
            </w:pPr>
          </w:p>
          <w:p>
            <w:pPr>
              <w:ind w:firstLine="480"/>
              <w:rPr>
                <w:rFonts w:hAnsi="宋体"/>
              </w:rPr>
            </w:pPr>
          </w:p>
          <w:p>
            <w:pPr>
              <w:ind w:firstLine="480"/>
              <w:rPr>
                <w:rFonts w:hAnsi="宋体"/>
              </w:rPr>
            </w:pPr>
          </w:p>
          <w:p>
            <w:pPr>
              <w:ind w:firstLine="480"/>
              <w:rPr>
                <w:rFonts w:hAnsi="宋体"/>
              </w:rPr>
            </w:pPr>
          </w:p>
          <w:p>
            <w:pPr>
              <w:spacing w:line="240" w:lineRule="auto"/>
              <w:ind w:firstLine="0" w:firstLineChars="0"/>
              <w:jc w:val="center"/>
              <w:rPr>
                <w:rFonts w:hAnsi="宋体"/>
              </w:rPr>
            </w:pPr>
            <w:r>
              <w:object>
                <v:shape id="_x0000_i1025" o:spt="75" type="#_x0000_t75" style="height:331.5pt;width:396pt;" o:ole="t" filled="f" o:preferrelative="t" stroked="f" coordsize="21600,21600">
                  <v:path/>
                  <v:fill on="f" focussize="0,0"/>
                  <v:stroke on="f" joinstyle="miter"/>
                  <v:imagedata r:id="rId16" o:title=""/>
                  <o:lock v:ext="edit" aspectratio="t"/>
                  <w10:wrap type="none"/>
                  <w10:anchorlock/>
                </v:shape>
                <o:OLEObject Type="Embed" ProgID="Visio.Drawing.15" ShapeID="_x0000_i1025" DrawAspect="Content" ObjectID="_1468075725" r:id="rId15">
                  <o:LockedField>false</o:LockedField>
                </o:OLEObject>
              </w:object>
            </w:r>
          </w:p>
          <w:p>
            <w:pPr>
              <w:spacing w:line="240" w:lineRule="auto"/>
              <w:ind w:firstLine="0" w:firstLineChars="0"/>
              <w:jc w:val="center"/>
              <w:rPr>
                <w:rFonts w:ascii="黑体" w:hAnsi="黑体" w:eastAsia="黑体"/>
              </w:rPr>
            </w:pPr>
            <w:r>
              <w:rPr>
                <w:rFonts w:ascii="黑体" w:hAnsi="黑体" w:eastAsia="黑体"/>
                <w:bCs/>
              </w:rPr>
              <w:t>图</w:t>
            </w:r>
            <w:r>
              <w:rPr>
                <w:rFonts w:hint="eastAsia" w:ascii="黑体" w:hAnsi="黑体" w:eastAsia="黑体"/>
                <w:bCs/>
              </w:rPr>
              <w:t xml:space="preserve">1 </w:t>
            </w:r>
            <w:r>
              <w:rPr>
                <w:rFonts w:ascii="黑体" w:hAnsi="黑体" w:eastAsia="黑体"/>
                <w:bCs/>
              </w:rPr>
              <w:t xml:space="preserve"> </w:t>
            </w:r>
            <w:r>
              <w:rPr>
                <w:rFonts w:hint="eastAsia" w:ascii="黑体" w:hAnsi="黑体" w:eastAsia="黑体"/>
                <w:bCs/>
              </w:rPr>
              <w:t>本项目</w:t>
            </w:r>
            <w:r>
              <w:rPr>
                <w:rFonts w:ascii="黑体" w:hAnsi="黑体" w:eastAsia="黑体"/>
                <w:bCs/>
              </w:rPr>
              <w:t>采暖期</w:t>
            </w:r>
            <w:r>
              <w:rPr>
                <w:rFonts w:ascii="黑体" w:hAnsi="黑体" w:eastAsia="黑体"/>
              </w:rPr>
              <w:t>用排水平衡图 单位：m</w:t>
            </w:r>
            <w:r>
              <w:rPr>
                <w:rFonts w:ascii="黑体" w:hAnsi="黑体" w:eastAsia="黑体"/>
                <w:vertAlign w:val="superscript"/>
              </w:rPr>
              <w:t>3</w:t>
            </w:r>
            <w:r>
              <w:rPr>
                <w:rFonts w:ascii="黑体" w:hAnsi="黑体" w:eastAsia="黑体"/>
              </w:rPr>
              <w:t>/d</w:t>
            </w:r>
          </w:p>
          <w:p>
            <w:pPr>
              <w:spacing w:line="240" w:lineRule="auto"/>
              <w:ind w:firstLine="0" w:firstLineChars="0"/>
              <w:jc w:val="center"/>
              <w:rPr>
                <w:rFonts w:ascii="黑体" w:hAnsi="黑体" w:eastAsia="黑体"/>
              </w:rPr>
            </w:pPr>
            <w:r>
              <w:object>
                <v:shape id="_x0000_i1026" o:spt="75" type="#_x0000_t75" style="height:273.75pt;width:396pt;" o:ole="t" filled="f" o:preferrelative="t" stroked="f" coordsize="21600,21600">
                  <v:path/>
                  <v:fill on="f" focussize="0,0"/>
                  <v:stroke on="f" joinstyle="miter"/>
                  <v:imagedata r:id="rId18" o:title=""/>
                  <o:lock v:ext="edit" aspectratio="t"/>
                  <w10:wrap type="none"/>
                  <w10:anchorlock/>
                </v:shape>
                <o:OLEObject Type="Embed" ProgID="Visio.Drawing.15" ShapeID="_x0000_i1026" DrawAspect="Content" ObjectID="_1468075726" r:id="rId17">
                  <o:LockedField>false</o:LockedField>
                </o:OLEObject>
              </w:object>
            </w:r>
          </w:p>
          <w:p>
            <w:pPr>
              <w:ind w:firstLine="0" w:firstLineChars="0"/>
              <w:jc w:val="center"/>
              <w:rPr>
                <w:rFonts w:ascii="黑体" w:hAnsi="黑体" w:eastAsia="黑体"/>
              </w:rPr>
            </w:pPr>
            <w:r>
              <w:rPr>
                <w:rFonts w:ascii="黑体" w:hAnsi="黑体" w:eastAsia="黑体"/>
                <w:bCs/>
              </w:rPr>
              <w:t>图</w:t>
            </w:r>
            <w:r>
              <w:rPr>
                <w:rFonts w:hint="eastAsia" w:ascii="黑体" w:hAnsi="黑体" w:eastAsia="黑体"/>
                <w:bCs/>
              </w:rPr>
              <w:t xml:space="preserve">2 </w:t>
            </w:r>
            <w:r>
              <w:rPr>
                <w:rFonts w:ascii="黑体" w:hAnsi="黑体" w:eastAsia="黑体"/>
                <w:bCs/>
              </w:rPr>
              <w:t xml:space="preserve"> </w:t>
            </w:r>
            <w:r>
              <w:rPr>
                <w:rFonts w:hint="eastAsia" w:ascii="黑体" w:hAnsi="黑体" w:eastAsia="黑体"/>
                <w:bCs/>
              </w:rPr>
              <w:t>本项目非采暖期</w:t>
            </w:r>
            <w:r>
              <w:rPr>
                <w:rFonts w:ascii="黑体" w:hAnsi="黑体" w:eastAsia="黑体"/>
              </w:rPr>
              <w:t>用排水平衡图 单位：m</w:t>
            </w:r>
            <w:r>
              <w:rPr>
                <w:rFonts w:ascii="黑体" w:hAnsi="黑体" w:eastAsia="黑体"/>
                <w:vertAlign w:val="superscript"/>
              </w:rPr>
              <w:t>3</w:t>
            </w:r>
            <w:r>
              <w:rPr>
                <w:rFonts w:ascii="黑体" w:hAnsi="黑体" w:eastAsia="黑体"/>
              </w:rPr>
              <w:t>/d</w:t>
            </w:r>
          </w:p>
          <w:p>
            <w:pPr>
              <w:ind w:firstLine="0" w:firstLineChars="0"/>
              <w:rPr>
                <w:b/>
              </w:rPr>
            </w:pPr>
            <w:r>
              <w:rPr>
                <w:rFonts w:hint="eastAsia" w:hAnsi="宋体"/>
                <w:b/>
                <w:bCs/>
              </w:rPr>
              <w:t>12、</w:t>
            </w:r>
            <w:r>
              <w:rPr>
                <w:rFonts w:hAnsi="宋体"/>
                <w:b/>
              </w:rPr>
              <w:t>主要技术经济指标</w:t>
            </w:r>
          </w:p>
          <w:p>
            <w:pPr>
              <w:ind w:firstLine="480"/>
            </w:pPr>
            <w:r>
              <w:rPr>
                <w:rFonts w:hint="eastAsia" w:hAnsi="宋体"/>
                <w:bCs/>
              </w:rPr>
              <w:t>本项目</w:t>
            </w:r>
            <w:r>
              <w:rPr>
                <w:rFonts w:hAnsi="宋体"/>
              </w:rPr>
              <w:t>主要经济技术指标见表</w:t>
            </w:r>
            <w:r>
              <w:t>7</w:t>
            </w:r>
            <w:r>
              <w:rPr>
                <w:rFonts w:hAnsi="宋体"/>
              </w:rPr>
              <w:t>。</w:t>
            </w:r>
          </w:p>
          <w:p>
            <w:pPr>
              <w:pStyle w:val="247"/>
              <w:spacing w:before="0" w:line="480" w:lineRule="exact"/>
              <w:ind w:firstLine="0" w:firstLineChars="0"/>
              <w:rPr>
                <w:rFonts w:ascii="黑体" w:hAnsi="黑体" w:eastAsia="黑体"/>
              </w:rPr>
            </w:pPr>
            <w:r>
              <w:rPr>
                <w:rFonts w:ascii="黑体" w:hAnsi="黑体" w:eastAsia="黑体"/>
              </w:rPr>
              <w:t>表7</w:t>
            </w:r>
            <w:r>
              <w:rPr>
                <w:rFonts w:hint="eastAsia" w:ascii="黑体" w:hAnsi="黑体" w:eastAsia="黑体"/>
              </w:rPr>
              <w:t xml:space="preserve">  </w:t>
            </w:r>
            <w:r>
              <w:rPr>
                <w:rFonts w:ascii="黑体" w:hAnsi="黑体" w:eastAsia="黑体"/>
              </w:rPr>
              <w:t>主要技术经济指标一览表</w:t>
            </w:r>
          </w:p>
          <w:tbl>
            <w:tblPr>
              <w:tblStyle w:val="70"/>
              <w:tblW w:w="91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8"/>
              <w:gridCol w:w="2292"/>
              <w:gridCol w:w="1275"/>
              <w:gridCol w:w="1276"/>
              <w:gridCol w:w="3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28" w:type="dxa"/>
                  <w:tcBorders>
                    <w:top w:val="single" w:color="auto" w:sz="6" w:space="0"/>
                    <w:left w:val="single" w:color="auto" w:sz="6" w:space="0"/>
                  </w:tcBorders>
                  <w:vAlign w:val="center"/>
                </w:tcPr>
                <w:p>
                  <w:pPr>
                    <w:spacing w:line="240" w:lineRule="auto"/>
                    <w:ind w:firstLine="0" w:firstLineChars="0"/>
                    <w:jc w:val="center"/>
                    <w:rPr>
                      <w:sz w:val="21"/>
                      <w:szCs w:val="21"/>
                    </w:rPr>
                  </w:pPr>
                  <w:r>
                    <w:rPr>
                      <w:rFonts w:hAnsi="宋体"/>
                      <w:sz w:val="21"/>
                      <w:szCs w:val="21"/>
                    </w:rPr>
                    <w:t>序号</w:t>
                  </w:r>
                </w:p>
              </w:tc>
              <w:tc>
                <w:tcPr>
                  <w:tcW w:w="2292" w:type="dxa"/>
                  <w:tcBorders>
                    <w:top w:val="single" w:color="auto" w:sz="6" w:space="0"/>
                  </w:tcBorders>
                  <w:vAlign w:val="center"/>
                </w:tcPr>
                <w:p>
                  <w:pPr>
                    <w:spacing w:line="240" w:lineRule="auto"/>
                    <w:ind w:firstLine="0" w:firstLineChars="0"/>
                    <w:jc w:val="center"/>
                    <w:rPr>
                      <w:sz w:val="21"/>
                      <w:szCs w:val="21"/>
                    </w:rPr>
                  </w:pPr>
                  <w:r>
                    <w:rPr>
                      <w:rFonts w:hAnsi="宋体"/>
                      <w:sz w:val="21"/>
                      <w:szCs w:val="21"/>
                    </w:rPr>
                    <w:t>项</w:t>
                  </w:r>
                  <w:r>
                    <w:rPr>
                      <w:sz w:val="21"/>
                      <w:szCs w:val="21"/>
                    </w:rPr>
                    <w:t xml:space="preserve">     </w:t>
                  </w:r>
                  <w:r>
                    <w:rPr>
                      <w:rFonts w:hAnsi="宋体"/>
                      <w:sz w:val="21"/>
                      <w:szCs w:val="21"/>
                    </w:rPr>
                    <w:t>目</w:t>
                  </w:r>
                </w:p>
              </w:tc>
              <w:tc>
                <w:tcPr>
                  <w:tcW w:w="1275" w:type="dxa"/>
                  <w:tcBorders>
                    <w:top w:val="single" w:color="auto" w:sz="6" w:space="0"/>
                  </w:tcBorders>
                  <w:vAlign w:val="center"/>
                </w:tcPr>
                <w:p>
                  <w:pPr>
                    <w:spacing w:line="240" w:lineRule="auto"/>
                    <w:ind w:firstLine="0" w:firstLineChars="0"/>
                    <w:jc w:val="center"/>
                    <w:rPr>
                      <w:sz w:val="21"/>
                      <w:szCs w:val="21"/>
                    </w:rPr>
                  </w:pPr>
                  <w:r>
                    <w:rPr>
                      <w:rFonts w:hAnsi="宋体"/>
                      <w:sz w:val="21"/>
                      <w:szCs w:val="21"/>
                    </w:rPr>
                    <w:t>单位</w:t>
                  </w:r>
                </w:p>
              </w:tc>
              <w:tc>
                <w:tcPr>
                  <w:tcW w:w="1276" w:type="dxa"/>
                  <w:tcBorders>
                    <w:top w:val="single" w:color="auto" w:sz="6" w:space="0"/>
                  </w:tcBorders>
                  <w:vAlign w:val="center"/>
                </w:tcPr>
                <w:p>
                  <w:pPr>
                    <w:spacing w:line="240" w:lineRule="auto"/>
                    <w:ind w:firstLine="0" w:firstLineChars="0"/>
                    <w:jc w:val="center"/>
                    <w:rPr>
                      <w:sz w:val="21"/>
                      <w:szCs w:val="21"/>
                    </w:rPr>
                  </w:pPr>
                  <w:r>
                    <w:rPr>
                      <w:rFonts w:hint="eastAsia" w:hAnsi="宋体"/>
                      <w:sz w:val="21"/>
                      <w:szCs w:val="21"/>
                    </w:rPr>
                    <w:t>工程</w:t>
                  </w:r>
                  <w:r>
                    <w:rPr>
                      <w:rFonts w:hAnsi="宋体"/>
                      <w:sz w:val="21"/>
                      <w:szCs w:val="21"/>
                    </w:rPr>
                    <w:t>指标</w:t>
                  </w:r>
                </w:p>
              </w:tc>
              <w:tc>
                <w:tcPr>
                  <w:tcW w:w="3153" w:type="dxa"/>
                  <w:tcBorders>
                    <w:top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28" w:type="dxa"/>
                  <w:tcBorders>
                    <w:top w:val="single" w:color="auto" w:sz="6" w:space="0"/>
                    <w:left w:val="single" w:color="auto" w:sz="6" w:space="0"/>
                  </w:tcBorders>
                  <w:vAlign w:val="center"/>
                </w:tcPr>
                <w:p>
                  <w:pPr>
                    <w:spacing w:line="240" w:lineRule="auto"/>
                    <w:ind w:firstLine="0" w:firstLineChars="0"/>
                    <w:jc w:val="center"/>
                    <w:rPr>
                      <w:rFonts w:hAnsi="宋体"/>
                      <w:sz w:val="21"/>
                      <w:szCs w:val="21"/>
                    </w:rPr>
                  </w:pPr>
                  <w:r>
                    <w:rPr>
                      <w:rFonts w:hint="eastAsia" w:hAnsi="宋体"/>
                      <w:sz w:val="21"/>
                      <w:szCs w:val="21"/>
                    </w:rPr>
                    <w:t>1</w:t>
                  </w:r>
                </w:p>
              </w:tc>
              <w:tc>
                <w:tcPr>
                  <w:tcW w:w="2292" w:type="dxa"/>
                  <w:tcBorders>
                    <w:top w:val="single" w:color="auto" w:sz="6" w:space="0"/>
                  </w:tcBorders>
                  <w:vAlign w:val="center"/>
                </w:tcPr>
                <w:p>
                  <w:pPr>
                    <w:spacing w:line="240" w:lineRule="auto"/>
                    <w:ind w:firstLine="0" w:firstLineChars="0"/>
                    <w:jc w:val="center"/>
                    <w:rPr>
                      <w:rFonts w:hAnsi="宋体"/>
                      <w:sz w:val="21"/>
                      <w:szCs w:val="21"/>
                    </w:rPr>
                  </w:pPr>
                  <w:r>
                    <w:rPr>
                      <w:rFonts w:hint="eastAsia" w:hAnsi="宋体"/>
                      <w:sz w:val="21"/>
                      <w:szCs w:val="21"/>
                    </w:rPr>
                    <w:t>产品</w:t>
                  </w:r>
                </w:p>
              </w:tc>
              <w:tc>
                <w:tcPr>
                  <w:tcW w:w="1275" w:type="dxa"/>
                  <w:tcBorders>
                    <w:top w:val="single" w:color="auto" w:sz="6" w:space="0"/>
                  </w:tcBorders>
                  <w:vAlign w:val="center"/>
                </w:tcPr>
                <w:p>
                  <w:pPr>
                    <w:spacing w:line="240" w:lineRule="auto"/>
                    <w:ind w:firstLine="0" w:firstLineChars="0"/>
                    <w:jc w:val="center"/>
                    <w:rPr>
                      <w:rFonts w:hAnsi="宋体"/>
                      <w:sz w:val="21"/>
                      <w:szCs w:val="21"/>
                    </w:rPr>
                  </w:pPr>
                  <w:r>
                    <w:rPr>
                      <w:rFonts w:hint="eastAsia" w:hAnsi="宋体"/>
                      <w:sz w:val="21"/>
                      <w:szCs w:val="21"/>
                    </w:rPr>
                    <w:t>/</w:t>
                  </w:r>
                </w:p>
              </w:tc>
              <w:tc>
                <w:tcPr>
                  <w:tcW w:w="1276" w:type="dxa"/>
                  <w:tcBorders>
                    <w:top w:val="single" w:color="auto" w:sz="6" w:space="0"/>
                  </w:tcBorders>
                  <w:vAlign w:val="center"/>
                </w:tcPr>
                <w:p>
                  <w:pPr>
                    <w:spacing w:line="240" w:lineRule="auto"/>
                    <w:ind w:firstLine="0" w:firstLineChars="0"/>
                    <w:jc w:val="center"/>
                    <w:rPr>
                      <w:rFonts w:hAnsi="宋体"/>
                      <w:sz w:val="21"/>
                      <w:szCs w:val="21"/>
                    </w:rPr>
                  </w:pPr>
                  <w:r>
                    <w:rPr>
                      <w:rFonts w:hint="eastAsia" w:hAnsi="宋体"/>
                      <w:sz w:val="21"/>
                      <w:szCs w:val="21"/>
                    </w:rPr>
                    <w:t>/</w:t>
                  </w:r>
                </w:p>
              </w:tc>
              <w:tc>
                <w:tcPr>
                  <w:tcW w:w="3153" w:type="dxa"/>
                  <w:tcBorders>
                    <w:top w:val="single" w:color="auto" w:sz="6" w:space="0"/>
                    <w:right w:val="single" w:color="auto" w:sz="6" w:space="0"/>
                  </w:tcBorders>
                  <w:vAlign w:val="center"/>
                </w:tcPr>
                <w:p>
                  <w:pPr>
                    <w:spacing w:line="240" w:lineRule="auto"/>
                    <w:ind w:firstLine="0" w:firstLineChars="0"/>
                    <w:jc w:val="center"/>
                    <w:rPr>
                      <w:rFonts w:hAnsi="宋体"/>
                      <w:sz w:val="21"/>
                      <w:szCs w:val="21"/>
                    </w:rPr>
                  </w:pPr>
                  <w:r>
                    <w:rPr>
                      <w:rFonts w:hint="eastAsia" w:hAnsi="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28" w:type="dxa"/>
                  <w:tcBorders>
                    <w:top w:val="single" w:color="auto" w:sz="6" w:space="0"/>
                    <w:left w:val="single" w:color="auto" w:sz="6" w:space="0"/>
                  </w:tcBorders>
                  <w:vAlign w:val="center"/>
                </w:tcPr>
                <w:p>
                  <w:pPr>
                    <w:spacing w:line="240" w:lineRule="auto"/>
                    <w:ind w:firstLine="0" w:firstLineChars="0"/>
                    <w:jc w:val="center"/>
                    <w:rPr>
                      <w:rFonts w:hAnsi="宋体"/>
                      <w:sz w:val="21"/>
                      <w:szCs w:val="21"/>
                    </w:rPr>
                  </w:pPr>
                  <w:r>
                    <w:rPr>
                      <w:rFonts w:hint="eastAsia" w:hAnsi="宋体"/>
                      <w:sz w:val="21"/>
                      <w:szCs w:val="21"/>
                    </w:rPr>
                    <w:t>1.1</w:t>
                  </w:r>
                </w:p>
              </w:tc>
              <w:tc>
                <w:tcPr>
                  <w:tcW w:w="2292" w:type="dxa"/>
                  <w:tcBorders>
                    <w:top w:val="single" w:color="auto" w:sz="6" w:space="0"/>
                  </w:tcBorders>
                  <w:vAlign w:val="center"/>
                </w:tcPr>
                <w:p>
                  <w:pPr>
                    <w:spacing w:line="240" w:lineRule="auto"/>
                    <w:ind w:firstLine="0" w:firstLineChars="0"/>
                    <w:jc w:val="center"/>
                    <w:rPr>
                      <w:rFonts w:hAnsi="宋体"/>
                      <w:sz w:val="21"/>
                      <w:szCs w:val="21"/>
                    </w:rPr>
                  </w:pPr>
                  <w:r>
                    <w:rPr>
                      <w:rFonts w:hint="eastAsia" w:hAnsi="宋体"/>
                      <w:sz w:val="21"/>
                      <w:szCs w:val="21"/>
                    </w:rPr>
                    <w:t>建筑骨料</w:t>
                  </w:r>
                </w:p>
              </w:tc>
              <w:tc>
                <w:tcPr>
                  <w:tcW w:w="1275" w:type="dxa"/>
                  <w:tcBorders>
                    <w:top w:val="single" w:color="auto" w:sz="6" w:space="0"/>
                  </w:tcBorders>
                  <w:vAlign w:val="center"/>
                </w:tcPr>
                <w:p>
                  <w:pPr>
                    <w:spacing w:line="240" w:lineRule="auto"/>
                    <w:ind w:firstLine="0" w:firstLineChars="0"/>
                    <w:jc w:val="center"/>
                    <w:rPr>
                      <w:rFonts w:hAnsi="宋体"/>
                      <w:sz w:val="21"/>
                      <w:szCs w:val="21"/>
                    </w:rPr>
                  </w:pPr>
                  <w:r>
                    <w:rPr>
                      <w:rFonts w:hint="eastAsia" w:hAnsi="宋体"/>
                      <w:sz w:val="21"/>
                      <w:szCs w:val="21"/>
                    </w:rPr>
                    <w:t>万t/a</w:t>
                  </w:r>
                </w:p>
              </w:tc>
              <w:tc>
                <w:tcPr>
                  <w:tcW w:w="1276" w:type="dxa"/>
                  <w:tcBorders>
                    <w:top w:val="single" w:color="auto" w:sz="6" w:space="0"/>
                  </w:tcBorders>
                  <w:vAlign w:val="center"/>
                </w:tcPr>
                <w:p>
                  <w:pPr>
                    <w:spacing w:line="240" w:lineRule="auto"/>
                    <w:ind w:firstLine="0" w:firstLineChars="0"/>
                    <w:jc w:val="center"/>
                    <w:rPr>
                      <w:rFonts w:hAnsi="宋体"/>
                      <w:sz w:val="21"/>
                      <w:szCs w:val="21"/>
                    </w:rPr>
                  </w:pPr>
                  <w:r>
                    <w:rPr>
                      <w:rFonts w:hAnsi="宋体"/>
                      <w:sz w:val="21"/>
                      <w:szCs w:val="21"/>
                    </w:rPr>
                    <w:t>30</w:t>
                  </w:r>
                </w:p>
              </w:tc>
              <w:tc>
                <w:tcPr>
                  <w:tcW w:w="3153" w:type="dxa"/>
                  <w:tcBorders>
                    <w:top w:val="single" w:color="auto" w:sz="6" w:space="0"/>
                    <w:right w:val="single" w:color="auto" w:sz="6" w:space="0"/>
                  </w:tcBorders>
                  <w:vAlign w:val="center"/>
                </w:tcPr>
                <w:p>
                  <w:pPr>
                    <w:spacing w:line="240" w:lineRule="auto"/>
                    <w:ind w:firstLine="0" w:firstLineChars="0"/>
                    <w:jc w:val="left"/>
                    <w:rPr>
                      <w:sz w:val="21"/>
                      <w:szCs w:val="21"/>
                    </w:rPr>
                  </w:pPr>
                  <w:r>
                    <w:rPr>
                      <w:rFonts w:hint="eastAsia"/>
                      <w:sz w:val="21"/>
                      <w:szCs w:val="21"/>
                    </w:rPr>
                    <w:t>规格：</w:t>
                  </w:r>
                </w:p>
                <w:p>
                  <w:pPr>
                    <w:spacing w:line="240" w:lineRule="auto"/>
                    <w:ind w:firstLine="0" w:firstLineChars="0"/>
                    <w:jc w:val="left"/>
                    <w:rPr>
                      <w:rFonts w:hAnsi="宋体"/>
                      <w:sz w:val="21"/>
                      <w:szCs w:val="21"/>
                    </w:rPr>
                  </w:pPr>
                  <w:r>
                    <w:rPr>
                      <w:sz w:val="21"/>
                      <w:szCs w:val="21"/>
                    </w:rPr>
                    <w:t>&lt;</w:t>
                  </w:r>
                  <w:r>
                    <w:rPr>
                      <w:rFonts w:hint="eastAsia"/>
                      <w:sz w:val="21"/>
                      <w:szCs w:val="21"/>
                    </w:rPr>
                    <w:t>1</w:t>
                  </w:r>
                  <w:r>
                    <w:rPr>
                      <w:sz w:val="21"/>
                      <w:szCs w:val="21"/>
                    </w:rPr>
                    <w:t>m</w:t>
                  </w:r>
                  <w:r>
                    <w:rPr>
                      <w:rFonts w:hint="eastAsia"/>
                      <w:sz w:val="21"/>
                      <w:szCs w:val="21"/>
                    </w:rPr>
                    <w:t>m</w:t>
                  </w:r>
                  <w:r>
                    <w:rPr>
                      <w:sz w:val="21"/>
                      <w:szCs w:val="21"/>
                    </w:rPr>
                    <w:t xml:space="preserve">             </w:t>
                  </w:r>
                  <w:r>
                    <w:rPr>
                      <w:bCs/>
                      <w:sz w:val="21"/>
                      <w:szCs w:val="21"/>
                    </w:rPr>
                    <w:t>7</w:t>
                  </w:r>
                  <w:r>
                    <w:rPr>
                      <w:rFonts w:hint="eastAsia"/>
                      <w:bCs/>
                      <w:sz w:val="21"/>
                      <w:szCs w:val="21"/>
                    </w:rPr>
                    <w:t>万吨/年</w:t>
                  </w:r>
                </w:p>
                <w:p>
                  <w:pPr>
                    <w:spacing w:line="240" w:lineRule="auto"/>
                    <w:ind w:firstLine="0" w:firstLineChars="0"/>
                    <w:jc w:val="left"/>
                    <w:rPr>
                      <w:rFonts w:hAnsi="宋体"/>
                      <w:sz w:val="21"/>
                      <w:szCs w:val="21"/>
                    </w:rPr>
                  </w:pPr>
                  <w:r>
                    <w:rPr>
                      <w:rFonts w:hint="eastAsia"/>
                      <w:sz w:val="21"/>
                      <w:szCs w:val="21"/>
                    </w:rPr>
                    <w:t>1</w:t>
                  </w:r>
                  <w:r>
                    <w:rPr>
                      <w:sz w:val="21"/>
                      <w:szCs w:val="21"/>
                    </w:rPr>
                    <w:t>mm~</w:t>
                  </w:r>
                  <w:r>
                    <w:rPr>
                      <w:rFonts w:hint="eastAsia"/>
                      <w:sz w:val="21"/>
                      <w:szCs w:val="21"/>
                    </w:rPr>
                    <w:t>3</w:t>
                  </w:r>
                  <w:r>
                    <w:rPr>
                      <w:sz w:val="21"/>
                      <w:szCs w:val="21"/>
                    </w:rPr>
                    <w:t xml:space="preserve">mm        </w:t>
                  </w:r>
                  <w:r>
                    <w:rPr>
                      <w:bCs/>
                      <w:sz w:val="21"/>
                      <w:szCs w:val="21"/>
                    </w:rPr>
                    <w:t>10</w:t>
                  </w:r>
                  <w:r>
                    <w:rPr>
                      <w:rFonts w:hint="eastAsia"/>
                      <w:bCs/>
                      <w:sz w:val="21"/>
                      <w:szCs w:val="21"/>
                    </w:rPr>
                    <w:t>万吨/年</w:t>
                  </w:r>
                </w:p>
                <w:p>
                  <w:pPr>
                    <w:spacing w:line="240" w:lineRule="auto"/>
                    <w:ind w:firstLine="0" w:firstLineChars="0"/>
                    <w:jc w:val="left"/>
                    <w:rPr>
                      <w:rFonts w:hAnsi="宋体"/>
                      <w:sz w:val="21"/>
                      <w:szCs w:val="21"/>
                    </w:rPr>
                  </w:pPr>
                  <w:r>
                    <w:rPr>
                      <w:rFonts w:hint="eastAsia"/>
                      <w:sz w:val="21"/>
                      <w:szCs w:val="21"/>
                    </w:rPr>
                    <w:t>3</w:t>
                  </w:r>
                  <w:r>
                    <w:rPr>
                      <w:sz w:val="21"/>
                      <w:szCs w:val="21"/>
                    </w:rPr>
                    <w:t>mm~</w:t>
                  </w:r>
                  <w:r>
                    <w:rPr>
                      <w:rFonts w:hint="eastAsia"/>
                      <w:sz w:val="21"/>
                      <w:szCs w:val="21"/>
                    </w:rPr>
                    <w:t>5</w:t>
                  </w:r>
                  <w:r>
                    <w:rPr>
                      <w:sz w:val="21"/>
                      <w:szCs w:val="21"/>
                    </w:rPr>
                    <w:t xml:space="preserve">mm         </w:t>
                  </w:r>
                  <w:r>
                    <w:rPr>
                      <w:bCs/>
                      <w:sz w:val="21"/>
                      <w:szCs w:val="21"/>
                    </w:rPr>
                    <w:t>8</w:t>
                  </w:r>
                  <w:r>
                    <w:rPr>
                      <w:rFonts w:hint="eastAsia"/>
                      <w:bCs/>
                      <w:sz w:val="21"/>
                      <w:szCs w:val="21"/>
                    </w:rPr>
                    <w:t>万吨/年</w:t>
                  </w:r>
                </w:p>
                <w:p>
                  <w:pPr>
                    <w:spacing w:line="240" w:lineRule="auto"/>
                    <w:ind w:firstLine="0" w:firstLineChars="0"/>
                    <w:jc w:val="left"/>
                    <w:rPr>
                      <w:rFonts w:hAnsi="宋体"/>
                      <w:sz w:val="21"/>
                      <w:szCs w:val="21"/>
                    </w:rPr>
                  </w:pPr>
                  <w:r>
                    <w:rPr>
                      <w:rFonts w:hint="eastAsia"/>
                      <w:sz w:val="21"/>
                      <w:szCs w:val="21"/>
                    </w:rPr>
                    <w:t>5</w:t>
                  </w:r>
                  <w:r>
                    <w:rPr>
                      <w:sz w:val="21"/>
                      <w:szCs w:val="21"/>
                    </w:rPr>
                    <w:t>m</w:t>
                  </w:r>
                  <w:r>
                    <w:rPr>
                      <w:rFonts w:hint="eastAsia"/>
                      <w:sz w:val="21"/>
                      <w:szCs w:val="21"/>
                    </w:rPr>
                    <w:t>m</w:t>
                  </w:r>
                  <w:r>
                    <w:rPr>
                      <w:sz w:val="21"/>
                      <w:szCs w:val="21"/>
                    </w:rPr>
                    <w:t>~</w:t>
                  </w:r>
                  <w:r>
                    <w:rPr>
                      <w:rFonts w:hint="eastAsia"/>
                      <w:sz w:val="21"/>
                      <w:szCs w:val="21"/>
                    </w:rPr>
                    <w:t>8</w:t>
                  </w:r>
                  <w:r>
                    <w:rPr>
                      <w:sz w:val="21"/>
                      <w:szCs w:val="21"/>
                    </w:rPr>
                    <w:t>m</w:t>
                  </w:r>
                  <w:r>
                    <w:rPr>
                      <w:rFonts w:hint="eastAsia"/>
                      <w:sz w:val="21"/>
                      <w:szCs w:val="21"/>
                    </w:rPr>
                    <w:t>m</w:t>
                  </w:r>
                  <w:r>
                    <w:rPr>
                      <w:sz w:val="21"/>
                      <w:szCs w:val="21"/>
                    </w:rPr>
                    <w:t xml:space="preserve">         </w:t>
                  </w:r>
                  <w:r>
                    <w:rPr>
                      <w:bCs/>
                      <w:sz w:val="21"/>
                      <w:szCs w:val="21"/>
                    </w:rPr>
                    <w:t>5</w:t>
                  </w:r>
                  <w:r>
                    <w:rPr>
                      <w:rFonts w:hint="eastAsia"/>
                      <w:bCs/>
                      <w:sz w:val="21"/>
                      <w:szCs w:val="21"/>
                    </w:rPr>
                    <w:t>万吨/年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28" w:type="dxa"/>
                  <w:tcBorders>
                    <w:top w:val="single" w:color="auto" w:sz="6" w:space="0"/>
                    <w:left w:val="single" w:color="auto" w:sz="6" w:space="0"/>
                  </w:tcBorders>
                  <w:vAlign w:val="center"/>
                </w:tcPr>
                <w:p>
                  <w:pPr>
                    <w:spacing w:line="240" w:lineRule="auto"/>
                    <w:ind w:firstLine="0" w:firstLineChars="0"/>
                    <w:jc w:val="center"/>
                    <w:rPr>
                      <w:rFonts w:hAnsi="宋体"/>
                      <w:sz w:val="21"/>
                      <w:szCs w:val="21"/>
                    </w:rPr>
                  </w:pPr>
                  <w:r>
                    <w:rPr>
                      <w:rFonts w:hint="eastAsia" w:hAnsi="宋体"/>
                      <w:sz w:val="21"/>
                      <w:szCs w:val="21"/>
                    </w:rPr>
                    <w:t>1</w:t>
                  </w:r>
                  <w:r>
                    <w:rPr>
                      <w:rFonts w:hAnsi="宋体"/>
                      <w:sz w:val="21"/>
                      <w:szCs w:val="21"/>
                    </w:rPr>
                    <w:t>.2</w:t>
                  </w:r>
                </w:p>
              </w:tc>
              <w:tc>
                <w:tcPr>
                  <w:tcW w:w="2292" w:type="dxa"/>
                  <w:tcBorders>
                    <w:top w:val="single" w:color="auto" w:sz="6" w:space="0"/>
                  </w:tcBorders>
                  <w:vAlign w:val="center"/>
                </w:tcPr>
                <w:p>
                  <w:pPr>
                    <w:spacing w:line="240" w:lineRule="auto"/>
                    <w:ind w:firstLine="0" w:firstLineChars="0"/>
                    <w:jc w:val="center"/>
                    <w:rPr>
                      <w:rFonts w:hAnsi="宋体"/>
                      <w:sz w:val="21"/>
                      <w:szCs w:val="21"/>
                    </w:rPr>
                  </w:pPr>
                  <w:r>
                    <w:rPr>
                      <w:rFonts w:hint="eastAsia" w:hAnsi="宋体"/>
                      <w:sz w:val="21"/>
                      <w:szCs w:val="21"/>
                    </w:rPr>
                    <w:t>尾矿微粉</w:t>
                  </w:r>
                </w:p>
              </w:tc>
              <w:tc>
                <w:tcPr>
                  <w:tcW w:w="1275" w:type="dxa"/>
                  <w:tcBorders>
                    <w:top w:val="single" w:color="auto" w:sz="6" w:space="0"/>
                  </w:tcBorders>
                  <w:vAlign w:val="center"/>
                </w:tcPr>
                <w:p>
                  <w:pPr>
                    <w:spacing w:line="240" w:lineRule="auto"/>
                    <w:ind w:firstLine="0" w:firstLineChars="0"/>
                    <w:jc w:val="center"/>
                    <w:rPr>
                      <w:rFonts w:hAnsi="宋体"/>
                      <w:sz w:val="21"/>
                      <w:szCs w:val="21"/>
                    </w:rPr>
                  </w:pPr>
                  <w:r>
                    <w:rPr>
                      <w:rFonts w:hint="eastAsia" w:hAnsi="宋体"/>
                      <w:sz w:val="21"/>
                      <w:szCs w:val="21"/>
                    </w:rPr>
                    <w:t>万t/a</w:t>
                  </w:r>
                </w:p>
              </w:tc>
              <w:tc>
                <w:tcPr>
                  <w:tcW w:w="1276" w:type="dxa"/>
                  <w:tcBorders>
                    <w:top w:val="single" w:color="auto" w:sz="6" w:space="0"/>
                  </w:tcBorders>
                  <w:vAlign w:val="center"/>
                </w:tcPr>
                <w:p>
                  <w:pPr>
                    <w:spacing w:line="240" w:lineRule="auto"/>
                    <w:ind w:firstLine="0" w:firstLineChars="0"/>
                    <w:jc w:val="center"/>
                    <w:rPr>
                      <w:rFonts w:hAnsi="宋体"/>
                      <w:sz w:val="21"/>
                      <w:szCs w:val="21"/>
                    </w:rPr>
                  </w:pPr>
                  <w:r>
                    <w:rPr>
                      <w:rFonts w:hAnsi="宋体"/>
                      <w:sz w:val="21"/>
                      <w:szCs w:val="21"/>
                    </w:rPr>
                    <w:t>10</w:t>
                  </w:r>
                </w:p>
              </w:tc>
              <w:tc>
                <w:tcPr>
                  <w:tcW w:w="3153" w:type="dxa"/>
                  <w:tcBorders>
                    <w:top w:val="single" w:color="auto" w:sz="6" w:space="0"/>
                    <w:right w:val="single" w:color="auto" w:sz="6" w:space="0"/>
                  </w:tcBorders>
                  <w:vAlign w:val="center"/>
                </w:tcPr>
                <w:p>
                  <w:pPr>
                    <w:spacing w:line="240" w:lineRule="auto"/>
                    <w:ind w:firstLine="0" w:firstLineChars="0"/>
                    <w:jc w:val="left"/>
                    <w:rPr>
                      <w:rFonts w:hAnsi="宋体"/>
                      <w:sz w:val="21"/>
                      <w:szCs w:val="21"/>
                    </w:rPr>
                  </w:pPr>
                  <w:r>
                    <w:rPr>
                      <w:rFonts w:hint="eastAsia" w:hAnsi="宋体"/>
                      <w:sz w:val="21"/>
                      <w:szCs w:val="21"/>
                    </w:rPr>
                    <w:t>规格：</w:t>
                  </w:r>
                </w:p>
                <w:p>
                  <w:pPr>
                    <w:spacing w:line="240" w:lineRule="auto"/>
                    <w:ind w:firstLine="0" w:firstLineChars="0"/>
                    <w:jc w:val="left"/>
                    <w:rPr>
                      <w:rFonts w:hAnsi="宋体"/>
                      <w:sz w:val="21"/>
                      <w:szCs w:val="21"/>
                    </w:rPr>
                  </w:pPr>
                  <w:r>
                    <w:rPr>
                      <w:sz w:val="21"/>
                      <w:szCs w:val="21"/>
                    </w:rPr>
                    <w:t>&lt;0.3m</w:t>
                  </w:r>
                  <w:r>
                    <w:rPr>
                      <w:rFonts w:hint="eastAsia"/>
                      <w:sz w:val="21"/>
                      <w:szCs w:val="21"/>
                    </w:rPr>
                    <w:t>m</w:t>
                  </w:r>
                  <w:r>
                    <w:rPr>
                      <w:sz w:val="21"/>
                      <w:szCs w:val="21"/>
                    </w:rPr>
                    <w:t xml:space="preserve">            10</w:t>
                  </w:r>
                  <w:r>
                    <w:rPr>
                      <w:rFonts w:hint="eastAsia"/>
                      <w:bCs/>
                      <w:sz w:val="21"/>
                      <w:szCs w:val="21"/>
                    </w:rPr>
                    <w:t>万吨/年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28" w:type="dxa"/>
                  <w:tcBorders>
                    <w:left w:val="single" w:color="auto" w:sz="6" w:space="0"/>
                  </w:tcBorders>
                  <w:vAlign w:val="center"/>
                </w:tcPr>
                <w:p>
                  <w:pPr>
                    <w:spacing w:line="240" w:lineRule="auto"/>
                    <w:ind w:firstLine="0" w:firstLineChars="0"/>
                    <w:jc w:val="center"/>
                    <w:rPr>
                      <w:sz w:val="21"/>
                      <w:szCs w:val="21"/>
                    </w:rPr>
                  </w:pPr>
                  <w:r>
                    <w:rPr>
                      <w:rFonts w:hint="eastAsia"/>
                      <w:sz w:val="21"/>
                      <w:szCs w:val="21"/>
                    </w:rPr>
                    <w:t>2</w:t>
                  </w:r>
                </w:p>
              </w:tc>
              <w:tc>
                <w:tcPr>
                  <w:tcW w:w="2292" w:type="dxa"/>
                  <w:vAlign w:val="center"/>
                </w:tcPr>
                <w:p>
                  <w:pPr>
                    <w:spacing w:line="240" w:lineRule="auto"/>
                    <w:ind w:firstLine="0" w:firstLineChars="0"/>
                    <w:jc w:val="center"/>
                    <w:rPr>
                      <w:rFonts w:hAnsi="宋体"/>
                      <w:sz w:val="21"/>
                      <w:szCs w:val="21"/>
                    </w:rPr>
                  </w:pPr>
                  <w:r>
                    <w:rPr>
                      <w:rFonts w:hint="eastAsia" w:hAnsi="宋体"/>
                      <w:sz w:val="21"/>
                      <w:szCs w:val="21"/>
                    </w:rPr>
                    <w:t>原辅材料</w:t>
                  </w:r>
                </w:p>
              </w:tc>
              <w:tc>
                <w:tcPr>
                  <w:tcW w:w="1275" w:type="dxa"/>
                  <w:vAlign w:val="center"/>
                </w:tcPr>
                <w:p>
                  <w:pPr>
                    <w:spacing w:line="240" w:lineRule="auto"/>
                    <w:ind w:firstLine="0" w:firstLineChars="0"/>
                    <w:jc w:val="center"/>
                    <w:rPr>
                      <w:rFonts w:hAnsi="宋体"/>
                      <w:sz w:val="21"/>
                      <w:szCs w:val="21"/>
                    </w:rPr>
                  </w:pPr>
                  <w:r>
                    <w:rPr>
                      <w:rFonts w:hint="eastAsia" w:hAnsi="宋体"/>
                      <w:sz w:val="21"/>
                      <w:szCs w:val="21"/>
                    </w:rPr>
                    <w:t>/</w:t>
                  </w:r>
                </w:p>
              </w:tc>
              <w:tc>
                <w:tcPr>
                  <w:tcW w:w="1276" w:type="dxa"/>
                  <w:vAlign w:val="center"/>
                </w:tcPr>
                <w:p>
                  <w:pPr>
                    <w:spacing w:line="240" w:lineRule="auto"/>
                    <w:ind w:firstLine="0" w:firstLineChars="0"/>
                    <w:jc w:val="center"/>
                    <w:rPr>
                      <w:sz w:val="21"/>
                      <w:szCs w:val="21"/>
                    </w:rPr>
                  </w:pPr>
                  <w:r>
                    <w:rPr>
                      <w:rFonts w:hint="eastAsia"/>
                      <w:sz w:val="21"/>
                      <w:szCs w:val="21"/>
                    </w:rPr>
                    <w:t>/</w:t>
                  </w:r>
                </w:p>
              </w:tc>
              <w:tc>
                <w:tcPr>
                  <w:tcW w:w="3153" w:type="dxa"/>
                  <w:tcBorders>
                    <w:right w:val="single" w:color="auto" w:sz="6" w:space="0"/>
                  </w:tcBorders>
                  <w:vAlign w:val="center"/>
                </w:tcPr>
                <w:p>
                  <w:pPr>
                    <w:spacing w:line="240" w:lineRule="auto"/>
                    <w:ind w:firstLine="0" w:firstLineChars="0"/>
                    <w:jc w:val="center"/>
                    <w:rPr>
                      <w:rFonts w:hAnsi="宋体"/>
                      <w:sz w:val="21"/>
                      <w:szCs w:val="21"/>
                    </w:rPr>
                  </w:pPr>
                  <w:r>
                    <w:rPr>
                      <w:rFonts w:hint="eastAsia" w:hAnsi="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28" w:type="dxa"/>
                  <w:tcBorders>
                    <w:left w:val="single" w:color="auto" w:sz="6" w:space="0"/>
                  </w:tcBorders>
                  <w:vAlign w:val="center"/>
                </w:tcPr>
                <w:p>
                  <w:pPr>
                    <w:spacing w:line="240" w:lineRule="auto"/>
                    <w:ind w:firstLine="0" w:firstLineChars="0"/>
                    <w:jc w:val="center"/>
                    <w:rPr>
                      <w:sz w:val="21"/>
                      <w:szCs w:val="21"/>
                    </w:rPr>
                  </w:pPr>
                  <w:r>
                    <w:rPr>
                      <w:rFonts w:hint="eastAsia"/>
                      <w:sz w:val="21"/>
                      <w:szCs w:val="21"/>
                    </w:rPr>
                    <w:t>2.1</w:t>
                  </w:r>
                </w:p>
              </w:tc>
              <w:tc>
                <w:tcPr>
                  <w:tcW w:w="2292" w:type="dxa"/>
                  <w:vAlign w:val="center"/>
                </w:tcPr>
                <w:p>
                  <w:pPr>
                    <w:spacing w:line="240" w:lineRule="auto"/>
                    <w:ind w:firstLine="0" w:firstLineChars="0"/>
                    <w:jc w:val="center"/>
                    <w:rPr>
                      <w:sz w:val="21"/>
                      <w:szCs w:val="21"/>
                    </w:rPr>
                  </w:pPr>
                  <w:r>
                    <w:rPr>
                      <w:rFonts w:hint="eastAsia"/>
                      <w:sz w:val="21"/>
                      <w:szCs w:val="21"/>
                    </w:rPr>
                    <w:t>尾矿石</w:t>
                  </w:r>
                </w:p>
              </w:tc>
              <w:tc>
                <w:tcPr>
                  <w:tcW w:w="1275" w:type="dxa"/>
                  <w:vAlign w:val="center"/>
                </w:tcPr>
                <w:p>
                  <w:pPr>
                    <w:spacing w:line="240" w:lineRule="auto"/>
                    <w:ind w:firstLine="0" w:firstLineChars="0"/>
                    <w:jc w:val="center"/>
                    <w:rPr>
                      <w:rFonts w:hAnsi="宋体"/>
                      <w:sz w:val="21"/>
                      <w:szCs w:val="21"/>
                    </w:rPr>
                  </w:pPr>
                  <w:r>
                    <w:rPr>
                      <w:rFonts w:hint="eastAsia"/>
                      <w:sz w:val="21"/>
                      <w:szCs w:val="21"/>
                    </w:rPr>
                    <w:t>t/a</w:t>
                  </w:r>
                </w:p>
              </w:tc>
              <w:tc>
                <w:tcPr>
                  <w:tcW w:w="1276" w:type="dxa"/>
                  <w:vAlign w:val="center"/>
                </w:tcPr>
                <w:p>
                  <w:pPr>
                    <w:spacing w:line="240" w:lineRule="auto"/>
                    <w:ind w:firstLine="0" w:firstLineChars="0"/>
                    <w:jc w:val="center"/>
                    <w:rPr>
                      <w:sz w:val="21"/>
                      <w:szCs w:val="21"/>
                    </w:rPr>
                  </w:pPr>
                  <w:r>
                    <w:rPr>
                      <w:sz w:val="21"/>
                      <w:szCs w:val="21"/>
                    </w:rPr>
                    <w:t>400000</w:t>
                  </w:r>
                </w:p>
              </w:tc>
              <w:tc>
                <w:tcPr>
                  <w:tcW w:w="3153" w:type="dxa"/>
                  <w:tcBorders>
                    <w:right w:val="single" w:color="auto" w:sz="6" w:space="0"/>
                  </w:tcBorders>
                  <w:vAlign w:val="center"/>
                </w:tcPr>
                <w:p>
                  <w:pPr>
                    <w:spacing w:line="240" w:lineRule="auto"/>
                    <w:ind w:firstLine="0" w:firstLineChars="0"/>
                    <w:jc w:val="center"/>
                    <w:rPr>
                      <w:rFonts w:hAnsi="宋体"/>
                      <w:sz w:val="21"/>
                      <w:szCs w:val="21"/>
                    </w:rPr>
                  </w:pPr>
                  <w:r>
                    <w:rPr>
                      <w:rFonts w:hAnsi="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28" w:type="dxa"/>
                  <w:tcBorders>
                    <w:left w:val="single" w:color="auto" w:sz="6" w:space="0"/>
                  </w:tcBorders>
                  <w:vAlign w:val="center"/>
                </w:tcPr>
                <w:p>
                  <w:pPr>
                    <w:spacing w:line="240" w:lineRule="auto"/>
                    <w:ind w:firstLine="0" w:firstLineChars="0"/>
                    <w:jc w:val="center"/>
                    <w:rPr>
                      <w:sz w:val="21"/>
                      <w:szCs w:val="21"/>
                    </w:rPr>
                  </w:pPr>
                  <w:r>
                    <w:rPr>
                      <w:rFonts w:hint="eastAsia"/>
                      <w:sz w:val="21"/>
                      <w:szCs w:val="21"/>
                    </w:rPr>
                    <w:t>3</w:t>
                  </w:r>
                </w:p>
              </w:tc>
              <w:tc>
                <w:tcPr>
                  <w:tcW w:w="2292" w:type="dxa"/>
                  <w:vAlign w:val="center"/>
                </w:tcPr>
                <w:p>
                  <w:pPr>
                    <w:spacing w:line="240" w:lineRule="auto"/>
                    <w:ind w:firstLine="0" w:firstLineChars="0"/>
                    <w:jc w:val="center"/>
                    <w:rPr>
                      <w:sz w:val="21"/>
                      <w:szCs w:val="21"/>
                    </w:rPr>
                  </w:pPr>
                  <w:r>
                    <w:rPr>
                      <w:rFonts w:hAnsi="宋体"/>
                      <w:sz w:val="21"/>
                      <w:szCs w:val="21"/>
                    </w:rPr>
                    <w:t>劳动定员</w:t>
                  </w:r>
                </w:p>
              </w:tc>
              <w:tc>
                <w:tcPr>
                  <w:tcW w:w="1275" w:type="dxa"/>
                  <w:vAlign w:val="center"/>
                </w:tcPr>
                <w:p>
                  <w:pPr>
                    <w:spacing w:line="240" w:lineRule="auto"/>
                    <w:ind w:firstLine="0" w:firstLineChars="0"/>
                    <w:jc w:val="center"/>
                    <w:rPr>
                      <w:sz w:val="21"/>
                      <w:szCs w:val="21"/>
                    </w:rPr>
                  </w:pPr>
                  <w:r>
                    <w:rPr>
                      <w:rFonts w:hAnsi="宋体"/>
                      <w:sz w:val="21"/>
                      <w:szCs w:val="21"/>
                    </w:rPr>
                    <w:t>人</w:t>
                  </w:r>
                </w:p>
              </w:tc>
              <w:tc>
                <w:tcPr>
                  <w:tcW w:w="1276" w:type="dxa"/>
                  <w:vAlign w:val="center"/>
                </w:tcPr>
                <w:p>
                  <w:pPr>
                    <w:spacing w:line="240" w:lineRule="auto"/>
                    <w:ind w:firstLine="0" w:firstLineChars="0"/>
                    <w:jc w:val="center"/>
                    <w:rPr>
                      <w:sz w:val="21"/>
                      <w:szCs w:val="21"/>
                    </w:rPr>
                  </w:pPr>
                  <w:r>
                    <w:rPr>
                      <w:sz w:val="21"/>
                      <w:szCs w:val="21"/>
                    </w:rPr>
                    <w:t>20</w:t>
                  </w:r>
                </w:p>
              </w:tc>
              <w:tc>
                <w:tcPr>
                  <w:tcW w:w="3153" w:type="dxa"/>
                  <w:tcBorders>
                    <w:right w:val="single" w:color="auto" w:sz="6" w:space="0"/>
                  </w:tcBorders>
                  <w:vAlign w:val="center"/>
                </w:tcPr>
                <w:p>
                  <w:pPr>
                    <w:spacing w:line="240" w:lineRule="auto"/>
                    <w:ind w:firstLine="0" w:firstLineChars="0"/>
                    <w:jc w:val="center"/>
                    <w:rPr>
                      <w:sz w:val="21"/>
                      <w:szCs w:val="21"/>
                    </w:rPr>
                  </w:pPr>
                  <w:r>
                    <w:rPr>
                      <w:rFonts w:hint="eastAsia" w:hAnsi="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28" w:type="dxa"/>
                  <w:tcBorders>
                    <w:left w:val="single" w:color="auto" w:sz="6" w:space="0"/>
                  </w:tcBorders>
                  <w:vAlign w:val="center"/>
                </w:tcPr>
                <w:p>
                  <w:pPr>
                    <w:spacing w:line="240" w:lineRule="auto"/>
                    <w:ind w:firstLine="0" w:firstLineChars="0"/>
                    <w:jc w:val="center"/>
                    <w:rPr>
                      <w:sz w:val="21"/>
                      <w:szCs w:val="21"/>
                    </w:rPr>
                  </w:pPr>
                  <w:r>
                    <w:rPr>
                      <w:rFonts w:hint="eastAsia"/>
                      <w:sz w:val="21"/>
                      <w:szCs w:val="21"/>
                    </w:rPr>
                    <w:t>4</w:t>
                  </w:r>
                </w:p>
              </w:tc>
              <w:tc>
                <w:tcPr>
                  <w:tcW w:w="2292" w:type="dxa"/>
                  <w:vAlign w:val="center"/>
                </w:tcPr>
                <w:p>
                  <w:pPr>
                    <w:spacing w:line="240" w:lineRule="auto"/>
                    <w:ind w:firstLine="0" w:firstLineChars="0"/>
                    <w:jc w:val="center"/>
                    <w:rPr>
                      <w:sz w:val="21"/>
                      <w:szCs w:val="21"/>
                    </w:rPr>
                  </w:pPr>
                  <w:r>
                    <w:rPr>
                      <w:rFonts w:hint="eastAsia" w:hAnsi="宋体"/>
                      <w:sz w:val="21"/>
                      <w:szCs w:val="21"/>
                    </w:rPr>
                    <w:t>年工作天数</w:t>
                  </w:r>
                </w:p>
              </w:tc>
              <w:tc>
                <w:tcPr>
                  <w:tcW w:w="1275" w:type="dxa"/>
                  <w:vAlign w:val="center"/>
                </w:tcPr>
                <w:p>
                  <w:pPr>
                    <w:spacing w:line="240" w:lineRule="auto"/>
                    <w:ind w:firstLine="0" w:firstLineChars="0"/>
                    <w:jc w:val="center"/>
                    <w:rPr>
                      <w:sz w:val="21"/>
                      <w:szCs w:val="21"/>
                    </w:rPr>
                  </w:pPr>
                  <w:r>
                    <w:rPr>
                      <w:sz w:val="21"/>
                      <w:szCs w:val="21"/>
                    </w:rPr>
                    <w:t>h</w:t>
                  </w:r>
                  <w:r>
                    <w:rPr>
                      <w:rFonts w:hint="eastAsia"/>
                      <w:sz w:val="21"/>
                      <w:szCs w:val="21"/>
                    </w:rPr>
                    <w:t>/a</w:t>
                  </w:r>
                </w:p>
              </w:tc>
              <w:tc>
                <w:tcPr>
                  <w:tcW w:w="1276" w:type="dxa"/>
                  <w:vAlign w:val="center"/>
                </w:tcPr>
                <w:p>
                  <w:pPr>
                    <w:spacing w:line="240" w:lineRule="auto"/>
                    <w:ind w:firstLine="0" w:firstLineChars="0"/>
                    <w:jc w:val="center"/>
                    <w:rPr>
                      <w:sz w:val="21"/>
                      <w:szCs w:val="21"/>
                    </w:rPr>
                  </w:pPr>
                  <w:r>
                    <w:rPr>
                      <w:sz w:val="21"/>
                      <w:szCs w:val="21"/>
                    </w:rPr>
                    <w:t>7200</w:t>
                  </w:r>
                </w:p>
              </w:tc>
              <w:tc>
                <w:tcPr>
                  <w:tcW w:w="3153" w:type="dxa"/>
                  <w:tcBorders>
                    <w:right w:val="single" w:color="auto" w:sz="6" w:space="0"/>
                  </w:tcBorders>
                  <w:vAlign w:val="center"/>
                </w:tcPr>
                <w:p>
                  <w:pPr>
                    <w:spacing w:line="240" w:lineRule="auto"/>
                    <w:ind w:firstLine="0" w:firstLineChars="0"/>
                    <w:jc w:val="center"/>
                    <w:rPr>
                      <w:sz w:val="21"/>
                      <w:szCs w:val="21"/>
                    </w:rPr>
                  </w:pPr>
                  <w:r>
                    <w:rPr>
                      <w:sz w:val="21"/>
                      <w:szCs w:val="21"/>
                    </w:rPr>
                    <w:t>300d/a</w:t>
                  </w:r>
                  <w:r>
                    <w:rPr>
                      <w:rFonts w:hint="eastAsia"/>
                      <w:sz w:val="21"/>
                      <w:szCs w:val="21"/>
                    </w:rPr>
                    <w:t>，2</w:t>
                  </w:r>
                  <w:r>
                    <w:rPr>
                      <w:sz w:val="21"/>
                      <w:szCs w:val="21"/>
                    </w:rPr>
                    <w:t>4</w:t>
                  </w:r>
                  <w:r>
                    <w:rPr>
                      <w:rFonts w:hint="eastAsia"/>
                      <w:sz w:val="21"/>
                      <w:szCs w:val="21"/>
                    </w:rPr>
                    <w:t>h/d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28" w:type="dxa"/>
                  <w:tcBorders>
                    <w:left w:val="single" w:color="auto" w:sz="6" w:space="0"/>
                  </w:tcBorders>
                  <w:vAlign w:val="center"/>
                </w:tcPr>
                <w:p>
                  <w:pPr>
                    <w:spacing w:line="240" w:lineRule="auto"/>
                    <w:ind w:firstLine="0" w:firstLineChars="0"/>
                    <w:jc w:val="center"/>
                    <w:rPr>
                      <w:sz w:val="21"/>
                      <w:szCs w:val="21"/>
                    </w:rPr>
                  </w:pPr>
                  <w:r>
                    <w:rPr>
                      <w:rFonts w:hint="eastAsia"/>
                      <w:sz w:val="21"/>
                      <w:szCs w:val="21"/>
                    </w:rPr>
                    <w:t>5</w:t>
                  </w:r>
                </w:p>
              </w:tc>
              <w:tc>
                <w:tcPr>
                  <w:tcW w:w="2292" w:type="dxa"/>
                  <w:vAlign w:val="center"/>
                </w:tcPr>
                <w:p>
                  <w:pPr>
                    <w:spacing w:line="240" w:lineRule="auto"/>
                    <w:ind w:firstLine="0" w:firstLineChars="0"/>
                    <w:jc w:val="center"/>
                    <w:rPr>
                      <w:sz w:val="21"/>
                      <w:szCs w:val="21"/>
                    </w:rPr>
                  </w:pPr>
                  <w:r>
                    <w:rPr>
                      <w:rFonts w:hAnsi="宋体"/>
                      <w:sz w:val="21"/>
                      <w:szCs w:val="21"/>
                    </w:rPr>
                    <w:t>总占地面积</w:t>
                  </w:r>
                </w:p>
              </w:tc>
              <w:tc>
                <w:tcPr>
                  <w:tcW w:w="1275" w:type="dxa"/>
                  <w:vAlign w:val="center"/>
                </w:tcPr>
                <w:p>
                  <w:pPr>
                    <w:spacing w:line="240" w:lineRule="auto"/>
                    <w:ind w:firstLine="0" w:firstLineChars="0"/>
                    <w:jc w:val="center"/>
                    <w:rPr>
                      <w:sz w:val="21"/>
                      <w:szCs w:val="21"/>
                    </w:rPr>
                  </w:pPr>
                  <w:r>
                    <w:rPr>
                      <w:sz w:val="21"/>
                      <w:szCs w:val="21"/>
                    </w:rPr>
                    <w:t>m</w:t>
                  </w:r>
                  <w:r>
                    <w:rPr>
                      <w:sz w:val="21"/>
                      <w:szCs w:val="21"/>
                      <w:vertAlign w:val="superscript"/>
                    </w:rPr>
                    <w:t>2</w:t>
                  </w:r>
                </w:p>
              </w:tc>
              <w:tc>
                <w:tcPr>
                  <w:tcW w:w="1276" w:type="dxa"/>
                  <w:vAlign w:val="center"/>
                </w:tcPr>
                <w:p>
                  <w:pPr>
                    <w:spacing w:line="240" w:lineRule="auto"/>
                    <w:ind w:firstLine="0" w:firstLineChars="0"/>
                    <w:jc w:val="center"/>
                    <w:rPr>
                      <w:sz w:val="21"/>
                      <w:szCs w:val="21"/>
                    </w:rPr>
                  </w:pPr>
                  <w:r>
                    <w:rPr>
                      <w:sz w:val="21"/>
                      <w:szCs w:val="21"/>
                    </w:rPr>
                    <w:t>37500</w:t>
                  </w:r>
                </w:p>
              </w:tc>
              <w:tc>
                <w:tcPr>
                  <w:tcW w:w="3153" w:type="dxa"/>
                  <w:tcBorders>
                    <w:right w:val="single" w:color="auto" w:sz="6" w:space="0"/>
                  </w:tcBorders>
                  <w:vAlign w:val="center"/>
                </w:tcPr>
                <w:p>
                  <w:pPr>
                    <w:spacing w:line="240" w:lineRule="auto"/>
                    <w:ind w:firstLine="0" w:firstLineChars="0"/>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28" w:type="dxa"/>
                  <w:tcBorders>
                    <w:left w:val="single" w:color="auto" w:sz="6" w:space="0"/>
                  </w:tcBorders>
                  <w:vAlign w:val="center"/>
                </w:tcPr>
                <w:p>
                  <w:pPr>
                    <w:spacing w:line="240" w:lineRule="auto"/>
                    <w:ind w:firstLine="0" w:firstLineChars="0"/>
                    <w:jc w:val="center"/>
                    <w:rPr>
                      <w:sz w:val="21"/>
                      <w:szCs w:val="21"/>
                    </w:rPr>
                  </w:pPr>
                  <w:r>
                    <w:rPr>
                      <w:sz w:val="21"/>
                      <w:szCs w:val="21"/>
                    </w:rPr>
                    <w:t>6</w:t>
                  </w:r>
                </w:p>
              </w:tc>
              <w:tc>
                <w:tcPr>
                  <w:tcW w:w="2292" w:type="dxa"/>
                  <w:vAlign w:val="center"/>
                </w:tcPr>
                <w:p>
                  <w:pPr>
                    <w:pStyle w:val="142"/>
                  </w:pPr>
                  <w:r>
                    <w:rPr>
                      <w:rFonts w:hAnsi="宋体"/>
                    </w:rPr>
                    <w:t>项目总投资</w:t>
                  </w:r>
                </w:p>
              </w:tc>
              <w:tc>
                <w:tcPr>
                  <w:tcW w:w="1275" w:type="dxa"/>
                  <w:vAlign w:val="center"/>
                </w:tcPr>
                <w:p>
                  <w:pPr>
                    <w:pStyle w:val="142"/>
                  </w:pPr>
                  <w:r>
                    <w:rPr>
                      <w:rFonts w:hAnsi="宋体"/>
                    </w:rPr>
                    <w:t>万元</w:t>
                  </w:r>
                </w:p>
              </w:tc>
              <w:tc>
                <w:tcPr>
                  <w:tcW w:w="1276" w:type="dxa"/>
                  <w:vAlign w:val="center"/>
                </w:tcPr>
                <w:p>
                  <w:pPr>
                    <w:pStyle w:val="142"/>
                  </w:pPr>
                  <w:r>
                    <w:t>1800</w:t>
                  </w:r>
                </w:p>
              </w:tc>
              <w:tc>
                <w:tcPr>
                  <w:tcW w:w="3153" w:type="dxa"/>
                  <w:tcBorders>
                    <w:right w:val="single" w:color="auto" w:sz="6" w:space="0"/>
                  </w:tcBorders>
                  <w:vAlign w:val="center"/>
                </w:tcPr>
                <w:p>
                  <w:pPr>
                    <w:pStyle w:val="142"/>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28" w:type="dxa"/>
                  <w:tcBorders>
                    <w:left w:val="single" w:color="auto" w:sz="6" w:space="0"/>
                  </w:tcBorders>
                  <w:vAlign w:val="center"/>
                </w:tcPr>
                <w:p>
                  <w:pPr>
                    <w:spacing w:line="240" w:lineRule="auto"/>
                    <w:ind w:firstLine="0" w:firstLineChars="0"/>
                    <w:jc w:val="center"/>
                    <w:rPr>
                      <w:sz w:val="21"/>
                      <w:szCs w:val="21"/>
                    </w:rPr>
                  </w:pPr>
                  <w:r>
                    <w:rPr>
                      <w:rFonts w:hint="eastAsia"/>
                      <w:sz w:val="21"/>
                      <w:szCs w:val="21"/>
                    </w:rPr>
                    <w:t>7</w:t>
                  </w:r>
                </w:p>
              </w:tc>
              <w:tc>
                <w:tcPr>
                  <w:tcW w:w="2292" w:type="dxa"/>
                  <w:vAlign w:val="center"/>
                </w:tcPr>
                <w:p>
                  <w:pPr>
                    <w:pStyle w:val="142"/>
                    <w:rPr>
                      <w:rFonts w:hAnsi="宋体"/>
                    </w:rPr>
                  </w:pPr>
                  <w:r>
                    <w:rPr>
                      <w:rFonts w:hint="eastAsia" w:hAnsi="宋体"/>
                    </w:rPr>
                    <w:t>环保投资</w:t>
                  </w:r>
                </w:p>
              </w:tc>
              <w:tc>
                <w:tcPr>
                  <w:tcW w:w="1275" w:type="dxa"/>
                  <w:vAlign w:val="center"/>
                </w:tcPr>
                <w:p>
                  <w:pPr>
                    <w:pStyle w:val="142"/>
                    <w:rPr>
                      <w:rFonts w:hAnsi="宋体"/>
                    </w:rPr>
                  </w:pPr>
                  <w:r>
                    <w:rPr>
                      <w:rFonts w:hint="eastAsia" w:hAnsi="宋体"/>
                    </w:rPr>
                    <w:t>万元</w:t>
                  </w:r>
                </w:p>
              </w:tc>
              <w:tc>
                <w:tcPr>
                  <w:tcW w:w="1276" w:type="dxa"/>
                  <w:vAlign w:val="center"/>
                </w:tcPr>
                <w:p>
                  <w:pPr>
                    <w:pStyle w:val="142"/>
                  </w:pPr>
                  <w:r>
                    <w:t>90</w:t>
                  </w:r>
                </w:p>
              </w:tc>
              <w:tc>
                <w:tcPr>
                  <w:tcW w:w="3153" w:type="dxa"/>
                  <w:tcBorders>
                    <w:right w:val="single" w:color="auto" w:sz="6" w:space="0"/>
                  </w:tcBorders>
                  <w:vAlign w:val="center"/>
                </w:tcPr>
                <w:p>
                  <w:pPr>
                    <w:pStyle w:val="142"/>
                  </w:pPr>
                  <w:r>
                    <w:t>5</w:t>
                  </w:r>
                  <w:r>
                    <w:rPr>
                      <w:rFonts w:hint="eastAsia"/>
                    </w:rPr>
                    <w:t>%</w:t>
                  </w:r>
                </w:p>
              </w:tc>
            </w:tr>
          </w:tbl>
          <w:p>
            <w:pPr>
              <w:pStyle w:val="142"/>
              <w:snapToGrid/>
              <w:spacing w:line="480" w:lineRule="exact"/>
              <w:jc w:val="left"/>
              <w:rPr>
                <w:sz w:val="24"/>
                <w:szCs w:val="24"/>
              </w:rPr>
            </w:pPr>
          </w:p>
          <w:p>
            <w:pPr>
              <w:pStyle w:val="142"/>
              <w:snapToGrid/>
              <w:spacing w:line="480" w:lineRule="exact"/>
              <w:jc w:val="left"/>
              <w:rPr>
                <w:sz w:val="24"/>
                <w:szCs w:val="24"/>
              </w:rPr>
            </w:pPr>
          </w:p>
          <w:p>
            <w:pPr>
              <w:pStyle w:val="142"/>
              <w:snapToGrid/>
              <w:spacing w:line="480" w:lineRule="exact"/>
              <w:jc w:val="left"/>
              <w:rPr>
                <w:sz w:val="24"/>
                <w:szCs w:val="24"/>
              </w:rPr>
            </w:pPr>
          </w:p>
          <w:p>
            <w:pPr>
              <w:pStyle w:val="142"/>
              <w:snapToGrid/>
              <w:spacing w:line="480" w:lineRule="exact"/>
              <w:jc w:val="left"/>
              <w:rPr>
                <w:sz w:val="24"/>
                <w:szCs w:val="24"/>
              </w:rPr>
            </w:pPr>
          </w:p>
          <w:p>
            <w:pPr>
              <w:pStyle w:val="142"/>
              <w:snapToGrid/>
              <w:spacing w:line="480" w:lineRule="exact"/>
              <w:jc w:val="left"/>
              <w:rPr>
                <w:sz w:val="24"/>
                <w:szCs w:val="24"/>
              </w:rPr>
            </w:pPr>
          </w:p>
          <w:p>
            <w:pPr>
              <w:pStyle w:val="142"/>
              <w:snapToGrid/>
              <w:spacing w:line="480" w:lineRule="exact"/>
              <w:jc w:val="left"/>
              <w:rPr>
                <w:sz w:val="24"/>
                <w:szCs w:val="24"/>
              </w:rPr>
            </w:pPr>
          </w:p>
          <w:p>
            <w:pPr>
              <w:pStyle w:val="142"/>
              <w:snapToGrid/>
              <w:spacing w:line="480" w:lineRule="exact"/>
              <w:jc w:val="left"/>
              <w:rPr>
                <w:sz w:val="24"/>
                <w:szCs w:val="24"/>
              </w:rPr>
            </w:pPr>
          </w:p>
          <w:p>
            <w:pPr>
              <w:pStyle w:val="142"/>
              <w:snapToGrid/>
              <w:spacing w:line="480" w:lineRule="exact"/>
              <w:jc w:val="left"/>
              <w:rPr>
                <w:sz w:val="24"/>
                <w:szCs w:val="24"/>
              </w:rPr>
            </w:pPr>
          </w:p>
          <w:p>
            <w:pPr>
              <w:pStyle w:val="142"/>
              <w:snapToGrid/>
              <w:spacing w:line="480" w:lineRule="exact"/>
              <w:jc w:val="left"/>
              <w:rPr>
                <w:sz w:val="24"/>
                <w:szCs w:val="24"/>
              </w:rPr>
            </w:pPr>
          </w:p>
          <w:p>
            <w:pPr>
              <w:pStyle w:val="142"/>
              <w:snapToGrid/>
              <w:spacing w:line="480" w:lineRule="exact"/>
              <w:jc w:val="left"/>
              <w:rPr>
                <w:sz w:val="24"/>
                <w:szCs w:val="24"/>
              </w:rPr>
            </w:pPr>
          </w:p>
          <w:p>
            <w:pPr>
              <w:pStyle w:val="142"/>
              <w:snapToGrid/>
              <w:spacing w:line="480" w:lineRule="exact"/>
              <w:jc w:val="left"/>
              <w:rPr>
                <w:sz w:val="24"/>
                <w:szCs w:val="24"/>
              </w:rPr>
            </w:pPr>
          </w:p>
          <w:p>
            <w:pPr>
              <w:pStyle w:val="142"/>
              <w:snapToGrid/>
              <w:spacing w:line="480" w:lineRule="exact"/>
              <w:jc w:val="left"/>
              <w:rPr>
                <w:sz w:val="24"/>
                <w:szCs w:val="24"/>
              </w:rPr>
            </w:pPr>
          </w:p>
          <w:p>
            <w:pPr>
              <w:pStyle w:val="142"/>
              <w:snapToGrid/>
              <w:spacing w:line="480" w:lineRule="exact"/>
              <w:jc w:val="left"/>
              <w:rPr>
                <w:sz w:val="24"/>
                <w:szCs w:val="24"/>
              </w:rPr>
            </w:pPr>
          </w:p>
          <w:p>
            <w:pPr>
              <w:pStyle w:val="142"/>
              <w:snapToGrid/>
              <w:spacing w:line="480" w:lineRule="exact"/>
              <w:jc w:val="left"/>
              <w:rPr>
                <w:sz w:val="24"/>
                <w:szCs w:val="24"/>
              </w:rPr>
            </w:pPr>
          </w:p>
          <w:p>
            <w:pPr>
              <w:pStyle w:val="142"/>
              <w:snapToGrid/>
              <w:spacing w:line="480" w:lineRule="exact"/>
              <w:jc w:val="left"/>
              <w:rPr>
                <w:sz w:val="24"/>
                <w:szCs w:val="24"/>
              </w:rPr>
            </w:pPr>
          </w:p>
          <w:p>
            <w:pPr>
              <w:pStyle w:val="142"/>
              <w:snapToGrid/>
              <w:spacing w:line="480" w:lineRule="exact"/>
              <w:jc w:val="left"/>
              <w:rPr>
                <w:sz w:val="24"/>
                <w:szCs w:val="24"/>
              </w:rPr>
            </w:pPr>
          </w:p>
          <w:p>
            <w:pPr>
              <w:pStyle w:val="142"/>
              <w:snapToGrid/>
              <w:rPr>
                <w:sz w:val="24"/>
                <w:szCs w:val="24"/>
              </w:rPr>
            </w:pPr>
          </w:p>
          <w:p>
            <w:pPr>
              <w:pStyle w:val="142"/>
              <w:snapToGrid/>
              <w:rPr>
                <w:sz w:val="24"/>
                <w:szCs w:val="24"/>
              </w:rPr>
            </w:pPr>
          </w:p>
          <w:p>
            <w:pPr>
              <w:pStyle w:val="142"/>
              <w:spacing w:line="60" w:lineRule="exact"/>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88" w:hRule="atLeast"/>
        </w:trPr>
        <w:tc>
          <w:tcPr>
            <w:tcW w:w="0" w:type="auto"/>
            <w:gridSpan w:val="6"/>
          </w:tcPr>
          <w:p>
            <w:pPr>
              <w:ind w:firstLine="0" w:firstLineChars="0"/>
              <w:rPr>
                <w:b/>
                <w:bCs/>
              </w:rPr>
            </w:pPr>
            <w:r>
              <w:rPr>
                <w:rFonts w:hAnsi="宋体"/>
                <w:b/>
                <w:bCs/>
              </w:rPr>
              <w:t>与本项目有关的原有污染情况及主要环境问题：</w:t>
            </w:r>
          </w:p>
          <w:p>
            <w:pPr>
              <w:pStyle w:val="144"/>
              <w:spacing w:before="0" w:after="0"/>
              <w:ind w:firstLine="480"/>
            </w:pPr>
            <w:r>
              <w:rPr>
                <w:rFonts w:hint="eastAsia"/>
              </w:rPr>
              <w:t>交城县西冶兴威矿石加工厂原名交城县西冶华钰选矿厂，2</w:t>
            </w:r>
            <w:r>
              <w:t>010</w:t>
            </w:r>
            <w:r>
              <w:rPr>
                <w:rFonts w:hint="eastAsia"/>
              </w:rPr>
              <w:t>年改为现名。交城县西冶兴威矿石加工厂现建有“年产1</w:t>
            </w:r>
            <w:r>
              <w:t>0</w:t>
            </w:r>
            <w:r>
              <w:rPr>
                <w:rFonts w:hint="eastAsia"/>
              </w:rPr>
              <w:t>万吨铁精矿粉项目”，该项目年入选原矿1</w:t>
            </w:r>
            <w:r>
              <w:t>5</w:t>
            </w:r>
            <w:r>
              <w:rPr>
                <w:rFonts w:hint="eastAsia"/>
              </w:rPr>
              <w:t>万吨，年产1</w:t>
            </w:r>
            <w:r>
              <w:t>0</w:t>
            </w:r>
            <w:r>
              <w:rPr>
                <w:rFonts w:hint="eastAsia"/>
              </w:rPr>
              <w:t>万吨铁精矿粉，项目厂址位于交城县水峪贯镇西冶村。该项目于2</w:t>
            </w:r>
            <w:r>
              <w:t>007</w:t>
            </w:r>
            <w:r>
              <w:rPr>
                <w:rFonts w:hint="eastAsia"/>
              </w:rPr>
              <w:t>年9月1</w:t>
            </w:r>
            <w:r>
              <w:t>2</w:t>
            </w:r>
            <w:r>
              <w:rPr>
                <w:rFonts w:hint="eastAsia"/>
              </w:rPr>
              <w:t>日由原交城县环境保护局以交环函[</w:t>
            </w:r>
            <w:r>
              <w:t>2007]75</w:t>
            </w:r>
            <w:r>
              <w:rPr>
                <w:rFonts w:hint="eastAsia"/>
              </w:rPr>
              <w:t>号文对项目《环境影响报告表》予以批复，于2</w:t>
            </w:r>
            <w:r>
              <w:t>019</w:t>
            </w:r>
            <w:r>
              <w:rPr>
                <w:rFonts w:hint="eastAsia"/>
              </w:rPr>
              <w:t>年4月1</w:t>
            </w:r>
            <w:r>
              <w:t>5</w:t>
            </w:r>
            <w:r>
              <w:rPr>
                <w:rFonts w:hint="eastAsia"/>
              </w:rPr>
              <w:t>日在山西省排污许可证管理信息平台申领了排污许可证，证书编号：9</w:t>
            </w:r>
            <w:r>
              <w:t>2141122MA0HBBRUXC001P</w:t>
            </w:r>
            <w:r>
              <w:rPr>
                <w:rFonts w:hint="eastAsia"/>
              </w:rPr>
              <w:t>；建设单位于2</w:t>
            </w:r>
            <w:r>
              <w:t>020</w:t>
            </w:r>
            <w:r>
              <w:rPr>
                <w:rFonts w:hint="eastAsia"/>
              </w:rPr>
              <w:t>年5月2</w:t>
            </w:r>
            <w:r>
              <w:t>0</w:t>
            </w:r>
            <w:r>
              <w:rPr>
                <w:rFonts w:hint="eastAsia"/>
              </w:rPr>
              <w:t>日组织了该项目竣工环境保护验收并通过环保验收。</w:t>
            </w:r>
          </w:p>
          <w:p>
            <w:pPr>
              <w:pStyle w:val="144"/>
              <w:spacing w:before="0" w:after="0"/>
              <w:ind w:firstLine="480"/>
            </w:pPr>
            <w:r>
              <w:rPr>
                <w:rFonts w:hint="eastAsia"/>
              </w:rPr>
              <w:t>交城县西冶兴威矿石加工厂于2</w:t>
            </w:r>
            <w:r>
              <w:t>019</w:t>
            </w:r>
            <w:r>
              <w:rPr>
                <w:rFonts w:hint="eastAsia"/>
              </w:rPr>
              <w:t>年决定在交城县水峪贯镇西冶村现有厂址南侧，利用废弃洗煤厂场地建设“利用尾矿石加工建筑骨料及微粉生产线技改项目”。本次技改项目拟建场地利用废弃洗煤厂（交城县西冶兴威蜂窝煤厂）场地，场地现存原煤库、精煤库、办公生活设施、地磅等可供利用。该洗煤厂于2</w:t>
            </w:r>
            <w:r>
              <w:t>016</w:t>
            </w:r>
            <w:r>
              <w:rPr>
                <w:rFonts w:hint="eastAsia"/>
              </w:rPr>
              <w:t>年1</w:t>
            </w:r>
            <w:r>
              <w:t>2</w:t>
            </w:r>
            <w:r>
              <w:rPr>
                <w:rFonts w:hint="eastAsia"/>
              </w:rPr>
              <w:t>月3</w:t>
            </w:r>
            <w:r>
              <w:t>1</w:t>
            </w:r>
            <w:r>
              <w:rPr>
                <w:rFonts w:hint="eastAsia"/>
              </w:rPr>
              <w:t>日由原交城县环境保护局以交环备案[</w:t>
            </w:r>
            <w:r>
              <w:t>2016]29</w:t>
            </w:r>
            <w:r>
              <w:rPr>
                <w:rFonts w:hint="eastAsia"/>
              </w:rPr>
              <w:t>号予以环保备案（关于交城县西冶兴威蜂窝煤厂年产6</w:t>
            </w:r>
            <w:r>
              <w:t>0</w:t>
            </w:r>
            <w:r>
              <w:rPr>
                <w:rFonts w:hint="eastAsia"/>
              </w:rPr>
              <w:t>万吨无烟煤分级加工项目环保备案的意见），现因市场及政策原因，该洗煤厂目前已停产废弃。</w:t>
            </w:r>
          </w:p>
          <w:p>
            <w:pPr>
              <w:pStyle w:val="144"/>
              <w:spacing w:before="0" w:after="0"/>
              <w:ind w:firstLine="0" w:firstLineChars="0"/>
              <w:rPr>
                <w:b/>
                <w:bCs/>
              </w:rPr>
            </w:pPr>
            <w:r>
              <w:rPr>
                <w:rFonts w:hint="eastAsia"/>
                <w:b/>
                <w:bCs/>
              </w:rPr>
              <w:t>1、现有工程概况</w:t>
            </w:r>
          </w:p>
          <w:p>
            <w:pPr>
              <w:pStyle w:val="144"/>
              <w:spacing w:before="0" w:after="0"/>
              <w:ind w:firstLine="480"/>
            </w:pPr>
            <w:r>
              <w:rPr>
                <w:rFonts w:hint="eastAsia"/>
              </w:rPr>
              <w:t>现有工程基本情况见下表。</w:t>
            </w:r>
          </w:p>
          <w:p>
            <w:pPr>
              <w:pStyle w:val="247"/>
              <w:spacing w:before="0" w:line="480" w:lineRule="exact"/>
              <w:ind w:firstLine="0" w:firstLineChars="0"/>
              <w:rPr>
                <w:rFonts w:ascii="黑体" w:hAnsi="黑体" w:eastAsia="黑体"/>
              </w:rPr>
            </w:pPr>
            <w:r>
              <w:rPr>
                <w:rFonts w:ascii="黑体" w:hAnsi="黑体" w:eastAsia="黑体"/>
              </w:rPr>
              <w:t>表8</w:t>
            </w:r>
            <w:r>
              <w:rPr>
                <w:rFonts w:hint="eastAsia" w:ascii="黑体" w:hAnsi="黑体" w:eastAsia="黑体"/>
              </w:rPr>
              <w:t xml:space="preserve">  现有工程基本情况</w:t>
            </w:r>
            <w:r>
              <w:rPr>
                <w:rFonts w:ascii="黑体" w:hAnsi="黑体" w:eastAsia="黑体"/>
              </w:rPr>
              <w:t>一览表</w:t>
            </w:r>
          </w:p>
          <w:tbl>
            <w:tblPr>
              <w:tblStyle w:val="7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8"/>
              <w:gridCol w:w="76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4" w:type="pct"/>
                  <w:vAlign w:val="center"/>
                </w:tcPr>
                <w:p>
                  <w:pPr>
                    <w:spacing w:line="240" w:lineRule="auto"/>
                    <w:ind w:firstLine="0" w:firstLineChars="0"/>
                    <w:jc w:val="center"/>
                    <w:rPr>
                      <w:bCs/>
                      <w:sz w:val="21"/>
                      <w:szCs w:val="21"/>
                    </w:rPr>
                  </w:pPr>
                  <w:r>
                    <w:rPr>
                      <w:rFonts w:hint="eastAsia"/>
                      <w:bCs/>
                      <w:sz w:val="21"/>
                      <w:szCs w:val="21"/>
                    </w:rPr>
                    <w:t>项目</w:t>
                  </w:r>
                </w:p>
              </w:tc>
              <w:tc>
                <w:tcPr>
                  <w:tcW w:w="4226" w:type="pct"/>
                  <w:vAlign w:val="center"/>
                </w:tcPr>
                <w:p>
                  <w:pPr>
                    <w:spacing w:line="240" w:lineRule="auto"/>
                    <w:ind w:firstLine="0" w:firstLineChars="0"/>
                    <w:jc w:val="center"/>
                    <w:rPr>
                      <w:bCs/>
                      <w:sz w:val="21"/>
                      <w:szCs w:val="21"/>
                    </w:rPr>
                  </w:pPr>
                  <w:r>
                    <w:rPr>
                      <w:rFonts w:hint="eastAsia"/>
                      <w:bCs/>
                      <w:sz w:val="21"/>
                      <w:szCs w:val="21"/>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4" w:type="pct"/>
                  <w:vAlign w:val="center"/>
                </w:tcPr>
                <w:p>
                  <w:pPr>
                    <w:spacing w:line="240" w:lineRule="auto"/>
                    <w:ind w:firstLine="0" w:firstLineChars="0"/>
                    <w:jc w:val="center"/>
                    <w:rPr>
                      <w:bCs/>
                      <w:sz w:val="21"/>
                      <w:szCs w:val="21"/>
                    </w:rPr>
                  </w:pPr>
                  <w:r>
                    <w:rPr>
                      <w:rFonts w:hint="eastAsia"/>
                      <w:bCs/>
                      <w:sz w:val="21"/>
                      <w:szCs w:val="21"/>
                    </w:rPr>
                    <w:t>项目名称</w:t>
                  </w:r>
                </w:p>
              </w:tc>
              <w:tc>
                <w:tcPr>
                  <w:tcW w:w="4226" w:type="pct"/>
                  <w:vAlign w:val="center"/>
                </w:tcPr>
                <w:p>
                  <w:pPr>
                    <w:spacing w:line="240" w:lineRule="auto"/>
                    <w:ind w:firstLine="0" w:firstLineChars="0"/>
                    <w:jc w:val="center"/>
                    <w:rPr>
                      <w:bCs/>
                      <w:sz w:val="21"/>
                      <w:szCs w:val="21"/>
                    </w:rPr>
                  </w:pPr>
                  <w:r>
                    <w:rPr>
                      <w:rFonts w:hint="eastAsia"/>
                      <w:sz w:val="21"/>
                      <w:szCs w:val="21"/>
                    </w:rPr>
                    <w:t>年产1</w:t>
                  </w:r>
                  <w:r>
                    <w:rPr>
                      <w:sz w:val="21"/>
                      <w:szCs w:val="21"/>
                    </w:rPr>
                    <w:t>0</w:t>
                  </w:r>
                  <w:r>
                    <w:rPr>
                      <w:rFonts w:hint="eastAsia"/>
                      <w:sz w:val="21"/>
                      <w:szCs w:val="21"/>
                    </w:rPr>
                    <w:t>万吨铁精矿粉建设项目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4" w:type="pct"/>
                  <w:vAlign w:val="center"/>
                </w:tcPr>
                <w:p>
                  <w:pPr>
                    <w:spacing w:line="240" w:lineRule="auto"/>
                    <w:ind w:firstLine="0" w:firstLineChars="0"/>
                    <w:jc w:val="center"/>
                    <w:rPr>
                      <w:bCs/>
                      <w:sz w:val="21"/>
                      <w:szCs w:val="21"/>
                    </w:rPr>
                  </w:pPr>
                  <w:r>
                    <w:rPr>
                      <w:rFonts w:hint="eastAsia"/>
                      <w:bCs/>
                      <w:sz w:val="21"/>
                      <w:szCs w:val="21"/>
                    </w:rPr>
                    <w:t>建设单位</w:t>
                  </w:r>
                </w:p>
              </w:tc>
              <w:tc>
                <w:tcPr>
                  <w:tcW w:w="4226" w:type="pct"/>
                  <w:vAlign w:val="center"/>
                </w:tcPr>
                <w:p>
                  <w:pPr>
                    <w:spacing w:line="240" w:lineRule="auto"/>
                    <w:ind w:firstLine="0" w:firstLineChars="0"/>
                    <w:jc w:val="center"/>
                    <w:rPr>
                      <w:bCs/>
                      <w:sz w:val="21"/>
                      <w:szCs w:val="21"/>
                    </w:rPr>
                  </w:pPr>
                  <w:r>
                    <w:rPr>
                      <w:rFonts w:hint="eastAsia"/>
                      <w:sz w:val="21"/>
                      <w:szCs w:val="21"/>
                    </w:rPr>
                    <w:t>交城县西冶兴威矿石加工厂（原名交城县西冶华钰选矿厂）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4" w:type="pct"/>
                  <w:vAlign w:val="center"/>
                </w:tcPr>
                <w:p>
                  <w:pPr>
                    <w:spacing w:line="240" w:lineRule="auto"/>
                    <w:ind w:firstLine="0" w:firstLineChars="0"/>
                    <w:jc w:val="center"/>
                    <w:rPr>
                      <w:bCs/>
                      <w:sz w:val="21"/>
                      <w:szCs w:val="21"/>
                    </w:rPr>
                  </w:pPr>
                  <w:r>
                    <w:rPr>
                      <w:rFonts w:hint="eastAsia"/>
                      <w:bCs/>
                      <w:sz w:val="21"/>
                      <w:szCs w:val="21"/>
                    </w:rPr>
                    <w:t>建设性质</w:t>
                  </w:r>
                </w:p>
              </w:tc>
              <w:tc>
                <w:tcPr>
                  <w:tcW w:w="4226" w:type="pct"/>
                  <w:vAlign w:val="center"/>
                </w:tcPr>
                <w:p>
                  <w:pPr>
                    <w:spacing w:line="240" w:lineRule="auto"/>
                    <w:ind w:firstLine="0" w:firstLineChars="0"/>
                    <w:jc w:val="center"/>
                    <w:rPr>
                      <w:bCs/>
                      <w:sz w:val="21"/>
                      <w:szCs w:val="21"/>
                    </w:rPr>
                  </w:pPr>
                  <w:r>
                    <w:rPr>
                      <w:rFonts w:hint="eastAsia"/>
                      <w:bCs/>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4" w:type="pct"/>
                  <w:vAlign w:val="center"/>
                </w:tcPr>
                <w:p>
                  <w:pPr>
                    <w:spacing w:line="240" w:lineRule="auto"/>
                    <w:ind w:firstLine="0" w:firstLineChars="0"/>
                    <w:jc w:val="center"/>
                    <w:rPr>
                      <w:bCs/>
                      <w:sz w:val="21"/>
                      <w:szCs w:val="21"/>
                    </w:rPr>
                  </w:pPr>
                  <w:r>
                    <w:rPr>
                      <w:rFonts w:hint="eastAsia"/>
                      <w:bCs/>
                      <w:sz w:val="21"/>
                      <w:szCs w:val="21"/>
                    </w:rPr>
                    <w:t>建设地点</w:t>
                  </w:r>
                </w:p>
              </w:tc>
              <w:tc>
                <w:tcPr>
                  <w:tcW w:w="4226" w:type="pct"/>
                  <w:vAlign w:val="center"/>
                </w:tcPr>
                <w:p>
                  <w:pPr>
                    <w:spacing w:line="240" w:lineRule="auto"/>
                    <w:ind w:firstLine="0" w:firstLineChars="0"/>
                    <w:jc w:val="center"/>
                    <w:rPr>
                      <w:bCs/>
                      <w:sz w:val="21"/>
                      <w:szCs w:val="21"/>
                    </w:rPr>
                  </w:pPr>
                  <w:r>
                    <w:rPr>
                      <w:rFonts w:hint="eastAsia"/>
                      <w:bCs/>
                      <w:sz w:val="21"/>
                      <w:szCs w:val="21"/>
                    </w:rPr>
                    <w:t>交城县水峪贯镇西冶村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4" w:type="pct"/>
                  <w:vAlign w:val="center"/>
                </w:tcPr>
                <w:p>
                  <w:pPr>
                    <w:spacing w:line="240" w:lineRule="auto"/>
                    <w:ind w:firstLine="0" w:firstLineChars="0"/>
                    <w:jc w:val="center"/>
                    <w:rPr>
                      <w:bCs/>
                      <w:sz w:val="21"/>
                      <w:szCs w:val="21"/>
                    </w:rPr>
                  </w:pPr>
                  <w:r>
                    <w:rPr>
                      <w:rFonts w:hint="eastAsia"/>
                      <w:bCs/>
                      <w:sz w:val="21"/>
                      <w:szCs w:val="21"/>
                    </w:rPr>
                    <w:t>总投资</w:t>
                  </w:r>
                </w:p>
              </w:tc>
              <w:tc>
                <w:tcPr>
                  <w:tcW w:w="4226" w:type="pct"/>
                  <w:vAlign w:val="center"/>
                </w:tcPr>
                <w:p>
                  <w:pPr>
                    <w:spacing w:line="240" w:lineRule="auto"/>
                    <w:ind w:firstLine="0" w:firstLineChars="0"/>
                    <w:jc w:val="center"/>
                    <w:rPr>
                      <w:bCs/>
                      <w:sz w:val="21"/>
                      <w:szCs w:val="21"/>
                    </w:rPr>
                  </w:pPr>
                  <w:r>
                    <w:rPr>
                      <w:rFonts w:hint="eastAsia" w:hAnsi="宋体"/>
                      <w:sz w:val="21"/>
                      <w:szCs w:val="21"/>
                    </w:rPr>
                    <w:t>本项目</w:t>
                  </w:r>
                  <w:r>
                    <w:rPr>
                      <w:rFonts w:hAnsi="宋体"/>
                      <w:sz w:val="21"/>
                      <w:szCs w:val="21"/>
                    </w:rPr>
                    <w:t>总投资</w:t>
                  </w:r>
                  <w:r>
                    <w:rPr>
                      <w:sz w:val="21"/>
                      <w:szCs w:val="21"/>
                    </w:rPr>
                    <w:t>295</w:t>
                  </w:r>
                  <w:r>
                    <w:rPr>
                      <w:rFonts w:hAnsi="宋体"/>
                      <w:sz w:val="21"/>
                      <w:szCs w:val="21"/>
                    </w:rPr>
                    <w:t>万元，资金来源为项目单位自筹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4" w:type="pct"/>
                  <w:vAlign w:val="center"/>
                </w:tcPr>
                <w:p>
                  <w:pPr>
                    <w:spacing w:line="240" w:lineRule="auto"/>
                    <w:ind w:firstLine="0" w:firstLineChars="0"/>
                    <w:jc w:val="center"/>
                    <w:rPr>
                      <w:bCs/>
                      <w:sz w:val="21"/>
                      <w:szCs w:val="21"/>
                    </w:rPr>
                  </w:pPr>
                  <w:r>
                    <w:rPr>
                      <w:rFonts w:hint="eastAsia"/>
                      <w:bCs/>
                      <w:sz w:val="21"/>
                      <w:szCs w:val="21"/>
                    </w:rPr>
                    <w:t>建设规模</w:t>
                  </w:r>
                </w:p>
              </w:tc>
              <w:tc>
                <w:tcPr>
                  <w:tcW w:w="4226" w:type="pct"/>
                  <w:vAlign w:val="center"/>
                </w:tcPr>
                <w:p>
                  <w:pPr>
                    <w:spacing w:line="240" w:lineRule="auto"/>
                    <w:ind w:firstLine="0" w:firstLineChars="0"/>
                    <w:jc w:val="center"/>
                    <w:rPr>
                      <w:bCs/>
                      <w:sz w:val="21"/>
                      <w:szCs w:val="21"/>
                    </w:rPr>
                  </w:pPr>
                  <w:r>
                    <w:rPr>
                      <w:rFonts w:hint="eastAsia"/>
                      <w:bCs/>
                      <w:sz w:val="21"/>
                      <w:szCs w:val="21"/>
                    </w:rPr>
                    <w:t>年产铁精矿粉1</w:t>
                  </w:r>
                  <w:r>
                    <w:rPr>
                      <w:bCs/>
                      <w:sz w:val="21"/>
                      <w:szCs w:val="21"/>
                    </w:rPr>
                    <w:t>0</w:t>
                  </w:r>
                  <w:r>
                    <w:rPr>
                      <w:rFonts w:hint="eastAsia"/>
                      <w:bCs/>
                      <w:sz w:val="21"/>
                      <w:szCs w:val="21"/>
                    </w:rPr>
                    <w:t>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4" w:type="pct"/>
                  <w:vAlign w:val="center"/>
                </w:tcPr>
                <w:p>
                  <w:pPr>
                    <w:spacing w:line="240" w:lineRule="auto"/>
                    <w:ind w:firstLine="0" w:firstLineChars="0"/>
                    <w:jc w:val="center"/>
                    <w:rPr>
                      <w:bCs/>
                      <w:sz w:val="21"/>
                      <w:szCs w:val="21"/>
                    </w:rPr>
                  </w:pPr>
                  <w:r>
                    <w:rPr>
                      <w:bCs/>
                      <w:sz w:val="21"/>
                      <w:szCs w:val="21"/>
                    </w:rPr>
                    <w:t>工作制度及劳动定员</w:t>
                  </w:r>
                </w:p>
              </w:tc>
              <w:tc>
                <w:tcPr>
                  <w:tcW w:w="4226" w:type="pct"/>
                  <w:vAlign w:val="center"/>
                </w:tcPr>
                <w:p>
                  <w:pPr>
                    <w:spacing w:line="240" w:lineRule="auto"/>
                    <w:ind w:firstLine="0" w:firstLineChars="0"/>
                    <w:jc w:val="center"/>
                    <w:rPr>
                      <w:bCs/>
                      <w:sz w:val="21"/>
                      <w:szCs w:val="21"/>
                    </w:rPr>
                  </w:pPr>
                  <w:r>
                    <w:rPr>
                      <w:rFonts w:hint="eastAsia"/>
                      <w:sz w:val="21"/>
                      <w:szCs w:val="21"/>
                    </w:rPr>
                    <w:t>本项目劳动定员</w:t>
                  </w:r>
                  <w:r>
                    <w:rPr>
                      <w:sz w:val="21"/>
                      <w:szCs w:val="21"/>
                    </w:rPr>
                    <w:t>27</w:t>
                  </w:r>
                  <w:r>
                    <w:rPr>
                      <w:rFonts w:hint="eastAsia"/>
                      <w:sz w:val="21"/>
                      <w:szCs w:val="21"/>
                    </w:rPr>
                    <w:t>人；年工作300天，3班/天，8h/班</w:t>
                  </w:r>
                </w:p>
              </w:tc>
            </w:tr>
          </w:tbl>
          <w:p>
            <w:pPr>
              <w:pStyle w:val="144"/>
              <w:spacing w:before="0" w:after="0"/>
              <w:ind w:firstLine="0" w:firstLineChars="0"/>
              <w:rPr>
                <w:b/>
                <w:bCs/>
              </w:rPr>
            </w:pPr>
            <w:r>
              <w:rPr>
                <w:b/>
                <w:bCs/>
              </w:rPr>
              <w:t>2</w:t>
            </w:r>
            <w:r>
              <w:rPr>
                <w:rFonts w:hint="eastAsia"/>
                <w:b/>
                <w:bCs/>
              </w:rPr>
              <w:t>、现有工程主要建设内容</w:t>
            </w:r>
          </w:p>
          <w:p>
            <w:pPr>
              <w:pStyle w:val="144"/>
              <w:spacing w:before="0" w:after="0"/>
              <w:ind w:firstLine="480"/>
              <w:rPr>
                <w:b/>
                <w:bCs/>
              </w:rPr>
            </w:pPr>
            <w:r>
              <w:rPr>
                <w:rFonts w:hint="eastAsia"/>
              </w:rPr>
              <w:t>根据现有工程竣工环境保护验收监测报告，现有工程主要建设内容见下表。</w:t>
            </w:r>
          </w:p>
          <w:p>
            <w:pPr>
              <w:pStyle w:val="37"/>
              <w:ind w:firstLine="0" w:firstLineChars="0"/>
              <w:jc w:val="center"/>
              <w:rPr>
                <w:rFonts w:ascii="黑体" w:hAnsi="黑体" w:eastAsia="黑体"/>
                <w:sz w:val="24"/>
              </w:rPr>
            </w:pPr>
            <w:r>
              <w:rPr>
                <w:rFonts w:hint="eastAsia" w:ascii="黑体" w:hAnsi="黑体" w:eastAsia="黑体"/>
                <w:sz w:val="24"/>
              </w:rPr>
              <w:t>表</w:t>
            </w:r>
            <w:r>
              <w:rPr>
                <w:rFonts w:ascii="黑体" w:hAnsi="黑体" w:eastAsia="黑体"/>
                <w:sz w:val="24"/>
              </w:rPr>
              <w:t xml:space="preserve">9  </w:t>
            </w:r>
            <w:r>
              <w:rPr>
                <w:rFonts w:hint="eastAsia" w:ascii="黑体" w:hAnsi="黑体" w:eastAsia="黑体"/>
                <w:sz w:val="24"/>
              </w:rPr>
              <w:t>现有工程主要建设内容一览表</w:t>
            </w:r>
          </w:p>
          <w:tbl>
            <w:tblPr>
              <w:tblStyle w:val="7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
              <w:gridCol w:w="468"/>
              <w:gridCol w:w="1077"/>
              <w:gridCol w:w="3682"/>
              <w:gridCol w:w="2632"/>
              <w:gridCol w:w="6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1" w:type="pct"/>
                  <w:gridSpan w:val="3"/>
                  <w:vAlign w:val="center"/>
                </w:tcPr>
                <w:p>
                  <w:pPr>
                    <w:pStyle w:val="259"/>
                    <w:adjustRightInd w:val="0"/>
                    <w:snapToGrid w:val="0"/>
                    <w:jc w:val="center"/>
                    <w:rPr>
                      <w:color w:val="000000"/>
                      <w:sz w:val="21"/>
                      <w:szCs w:val="21"/>
                    </w:rPr>
                  </w:pPr>
                  <w:r>
                    <w:rPr>
                      <w:color w:val="000000"/>
                      <w:sz w:val="21"/>
                      <w:szCs w:val="21"/>
                    </w:rPr>
                    <w:t>工程类别</w:t>
                  </w:r>
                </w:p>
              </w:tc>
              <w:tc>
                <w:tcPr>
                  <w:tcW w:w="2024" w:type="pct"/>
                  <w:vAlign w:val="center"/>
                </w:tcPr>
                <w:p>
                  <w:pPr>
                    <w:pStyle w:val="259"/>
                    <w:adjustRightInd w:val="0"/>
                    <w:snapToGrid w:val="0"/>
                    <w:jc w:val="center"/>
                    <w:rPr>
                      <w:color w:val="000000"/>
                      <w:sz w:val="21"/>
                      <w:szCs w:val="21"/>
                    </w:rPr>
                  </w:pPr>
                  <w:r>
                    <w:rPr>
                      <w:rFonts w:hint="eastAsia"/>
                      <w:color w:val="000000"/>
                      <w:sz w:val="21"/>
                      <w:szCs w:val="21"/>
                    </w:rPr>
                    <w:t>环评要求</w:t>
                  </w:r>
                </w:p>
              </w:tc>
              <w:tc>
                <w:tcPr>
                  <w:tcW w:w="1447" w:type="pct"/>
                  <w:vAlign w:val="center"/>
                </w:tcPr>
                <w:p>
                  <w:pPr>
                    <w:pStyle w:val="259"/>
                    <w:adjustRightInd w:val="0"/>
                    <w:snapToGrid w:val="0"/>
                    <w:jc w:val="center"/>
                    <w:rPr>
                      <w:color w:val="000000"/>
                      <w:sz w:val="21"/>
                      <w:szCs w:val="21"/>
                    </w:rPr>
                  </w:pPr>
                  <w:r>
                    <w:rPr>
                      <w:rFonts w:hint="eastAsia"/>
                      <w:color w:val="000000"/>
                      <w:sz w:val="21"/>
                      <w:szCs w:val="21"/>
                    </w:rPr>
                    <w:t>实际建设</w:t>
                  </w:r>
                </w:p>
              </w:tc>
              <w:tc>
                <w:tcPr>
                  <w:tcW w:w="378" w:type="pct"/>
                  <w:vAlign w:val="center"/>
                </w:tcPr>
                <w:p>
                  <w:pPr>
                    <w:pStyle w:val="259"/>
                    <w:adjustRightInd w:val="0"/>
                    <w:snapToGrid w:val="0"/>
                    <w:jc w:val="center"/>
                    <w:rPr>
                      <w:color w:val="000000"/>
                      <w:sz w:val="21"/>
                      <w:szCs w:val="21"/>
                    </w:rPr>
                  </w:pPr>
                  <w:r>
                    <w:rPr>
                      <w:color w:val="000000"/>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restart"/>
                  <w:vAlign w:val="center"/>
                </w:tcPr>
                <w:p>
                  <w:pPr>
                    <w:pStyle w:val="259"/>
                    <w:adjustRightInd w:val="0"/>
                    <w:snapToGrid w:val="0"/>
                    <w:jc w:val="center"/>
                    <w:rPr>
                      <w:color w:val="000000"/>
                      <w:sz w:val="21"/>
                      <w:szCs w:val="21"/>
                    </w:rPr>
                  </w:pPr>
                  <w:r>
                    <w:rPr>
                      <w:color w:val="000000"/>
                      <w:sz w:val="21"/>
                      <w:szCs w:val="21"/>
                    </w:rPr>
                    <w:t>主体</w:t>
                  </w:r>
                </w:p>
                <w:p>
                  <w:pPr>
                    <w:pStyle w:val="259"/>
                    <w:adjustRightInd w:val="0"/>
                    <w:snapToGrid w:val="0"/>
                    <w:jc w:val="center"/>
                    <w:rPr>
                      <w:color w:val="000000"/>
                      <w:sz w:val="21"/>
                      <w:szCs w:val="21"/>
                    </w:rPr>
                  </w:pPr>
                  <w:r>
                    <w:rPr>
                      <w:color w:val="000000"/>
                      <w:sz w:val="21"/>
                      <w:szCs w:val="21"/>
                    </w:rPr>
                    <w:t>工程</w:t>
                  </w:r>
                </w:p>
              </w:tc>
              <w:tc>
                <w:tcPr>
                  <w:tcW w:w="848" w:type="pct"/>
                  <w:gridSpan w:val="2"/>
                  <w:vAlign w:val="center"/>
                </w:tcPr>
                <w:p>
                  <w:pPr>
                    <w:pStyle w:val="259"/>
                    <w:adjustRightInd w:val="0"/>
                    <w:snapToGrid w:val="0"/>
                    <w:jc w:val="center"/>
                    <w:rPr>
                      <w:color w:val="000000"/>
                      <w:sz w:val="21"/>
                      <w:szCs w:val="21"/>
                    </w:rPr>
                  </w:pPr>
                  <w:r>
                    <w:rPr>
                      <w:color w:val="000000"/>
                      <w:sz w:val="21"/>
                      <w:szCs w:val="21"/>
                    </w:rPr>
                    <w:t>破碎车间</w:t>
                  </w:r>
                </w:p>
              </w:tc>
              <w:tc>
                <w:tcPr>
                  <w:tcW w:w="2024" w:type="pct"/>
                  <w:vAlign w:val="center"/>
                </w:tcPr>
                <w:p>
                  <w:pPr>
                    <w:pStyle w:val="259"/>
                    <w:adjustRightInd w:val="0"/>
                    <w:snapToGrid w:val="0"/>
                    <w:jc w:val="center"/>
                    <w:rPr>
                      <w:color w:val="000000"/>
                      <w:sz w:val="21"/>
                      <w:szCs w:val="21"/>
                    </w:rPr>
                  </w:pPr>
                  <w:r>
                    <w:rPr>
                      <w:color w:val="000000"/>
                      <w:sz w:val="21"/>
                      <w:szCs w:val="21"/>
                    </w:rPr>
                    <w:t>1座，建筑面积130</w:t>
                  </w:r>
                  <w:r>
                    <w:rPr>
                      <w:rFonts w:hint="eastAsia"/>
                      <w:color w:val="000000"/>
                      <w:sz w:val="21"/>
                      <w:szCs w:val="21"/>
                    </w:rPr>
                    <w:t>m</w:t>
                  </w:r>
                  <w:r>
                    <w:rPr>
                      <w:color w:val="000000"/>
                      <w:sz w:val="21"/>
                      <w:szCs w:val="21"/>
                      <w:vertAlign w:val="superscript"/>
                    </w:rPr>
                    <w:t>2</w:t>
                  </w:r>
                  <w:r>
                    <w:rPr>
                      <w:color w:val="000000"/>
                      <w:sz w:val="21"/>
                      <w:szCs w:val="21"/>
                    </w:rPr>
                    <w:t>，用于原矿破碎，干选；车间内设置颚式破碎机，干选机等</w:t>
                  </w:r>
                </w:p>
              </w:tc>
              <w:tc>
                <w:tcPr>
                  <w:tcW w:w="1447" w:type="pct"/>
                  <w:vAlign w:val="center"/>
                </w:tcPr>
                <w:p>
                  <w:pPr>
                    <w:pStyle w:val="259"/>
                    <w:adjustRightInd w:val="0"/>
                    <w:snapToGrid w:val="0"/>
                    <w:jc w:val="center"/>
                    <w:rPr>
                      <w:color w:val="000000"/>
                      <w:sz w:val="21"/>
                      <w:szCs w:val="21"/>
                    </w:rPr>
                  </w:pPr>
                  <w:r>
                    <w:rPr>
                      <w:rFonts w:hint="eastAsia"/>
                      <w:color w:val="000000"/>
                      <w:sz w:val="21"/>
                      <w:szCs w:val="21"/>
                    </w:rPr>
                    <w:t>建筑面积130 m</w:t>
                  </w:r>
                  <w:r>
                    <w:rPr>
                      <w:color w:val="000000"/>
                      <w:sz w:val="21"/>
                      <w:szCs w:val="21"/>
                      <w:vertAlign w:val="superscript"/>
                    </w:rPr>
                    <w:t>2</w:t>
                  </w:r>
                  <w:r>
                    <w:rPr>
                      <w:rFonts w:hint="eastAsia"/>
                      <w:color w:val="000000"/>
                      <w:sz w:val="21"/>
                      <w:szCs w:val="21"/>
                    </w:rPr>
                    <w:t>，1座，车间内设置</w:t>
                  </w:r>
                  <w:r>
                    <w:rPr>
                      <w:color w:val="000000"/>
                      <w:sz w:val="21"/>
                      <w:szCs w:val="21"/>
                    </w:rPr>
                    <w:t>颚式破碎机，干选机等</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磨选车间</w:t>
                  </w:r>
                </w:p>
              </w:tc>
              <w:tc>
                <w:tcPr>
                  <w:tcW w:w="2024" w:type="pct"/>
                  <w:vAlign w:val="center"/>
                </w:tcPr>
                <w:p>
                  <w:pPr>
                    <w:pStyle w:val="259"/>
                    <w:adjustRightInd w:val="0"/>
                    <w:snapToGrid w:val="0"/>
                    <w:jc w:val="center"/>
                    <w:rPr>
                      <w:color w:val="000000"/>
                      <w:sz w:val="21"/>
                      <w:szCs w:val="21"/>
                    </w:rPr>
                  </w:pPr>
                  <w:r>
                    <w:rPr>
                      <w:color w:val="000000"/>
                      <w:sz w:val="21"/>
                      <w:szCs w:val="21"/>
                    </w:rPr>
                    <w:t>1座，建筑面积252</w:t>
                  </w:r>
                  <w:r>
                    <w:rPr>
                      <w:rFonts w:hint="eastAsia"/>
                      <w:color w:val="000000"/>
                      <w:sz w:val="21"/>
                      <w:szCs w:val="21"/>
                    </w:rPr>
                    <w:t xml:space="preserve"> m</w:t>
                  </w:r>
                  <w:r>
                    <w:rPr>
                      <w:color w:val="000000"/>
                      <w:sz w:val="21"/>
                      <w:szCs w:val="21"/>
                      <w:vertAlign w:val="superscript"/>
                    </w:rPr>
                    <w:t>2</w:t>
                  </w:r>
                  <w:r>
                    <w:rPr>
                      <w:color w:val="000000"/>
                      <w:sz w:val="21"/>
                      <w:szCs w:val="21"/>
                    </w:rPr>
                    <w:t>，用于原矿磨选，磁选；车间内设置球磨机，磁选机、高频筛等</w:t>
                  </w:r>
                </w:p>
              </w:tc>
              <w:tc>
                <w:tcPr>
                  <w:tcW w:w="1447" w:type="pct"/>
                  <w:vAlign w:val="center"/>
                </w:tcPr>
                <w:p>
                  <w:pPr>
                    <w:pStyle w:val="259"/>
                    <w:adjustRightInd w:val="0"/>
                    <w:snapToGrid w:val="0"/>
                    <w:jc w:val="center"/>
                    <w:rPr>
                      <w:color w:val="000000"/>
                      <w:sz w:val="21"/>
                      <w:szCs w:val="21"/>
                    </w:rPr>
                  </w:pPr>
                  <w:r>
                    <w:rPr>
                      <w:color w:val="000000"/>
                      <w:sz w:val="21"/>
                      <w:szCs w:val="21"/>
                    </w:rPr>
                    <w:t>1座，建筑面积2</w:t>
                  </w:r>
                  <w:r>
                    <w:rPr>
                      <w:rFonts w:hint="eastAsia"/>
                      <w:color w:val="000000"/>
                      <w:sz w:val="21"/>
                      <w:szCs w:val="21"/>
                    </w:rPr>
                    <w:t>55 m</w:t>
                  </w:r>
                  <w:r>
                    <w:rPr>
                      <w:color w:val="000000"/>
                      <w:sz w:val="21"/>
                      <w:szCs w:val="21"/>
                      <w:vertAlign w:val="superscript"/>
                    </w:rPr>
                    <w:t>2</w:t>
                  </w:r>
                  <w:r>
                    <w:rPr>
                      <w:rFonts w:hint="eastAsia"/>
                      <w:color w:val="000000"/>
                      <w:sz w:val="21"/>
                      <w:szCs w:val="21"/>
                    </w:rPr>
                    <w:t>；</w:t>
                  </w:r>
                  <w:r>
                    <w:rPr>
                      <w:color w:val="000000"/>
                      <w:sz w:val="21"/>
                      <w:szCs w:val="21"/>
                    </w:rPr>
                    <w:t>车间内设置球磨机，磁选机、高频筛等</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水砂分离</w:t>
                  </w:r>
                </w:p>
              </w:tc>
              <w:tc>
                <w:tcPr>
                  <w:tcW w:w="2024" w:type="pct"/>
                  <w:vAlign w:val="center"/>
                </w:tcPr>
                <w:p>
                  <w:pPr>
                    <w:pStyle w:val="259"/>
                    <w:adjustRightInd w:val="0"/>
                    <w:snapToGrid w:val="0"/>
                    <w:jc w:val="center"/>
                    <w:rPr>
                      <w:color w:val="000000"/>
                      <w:sz w:val="21"/>
                      <w:szCs w:val="21"/>
                    </w:rPr>
                  </w:pPr>
                  <w:r>
                    <w:rPr>
                      <w:color w:val="000000"/>
                      <w:sz w:val="21"/>
                      <w:szCs w:val="21"/>
                    </w:rPr>
                    <w:t>用于尾矿砂水分离；车间内布置1套浓密机、辐流式沉淀池、压滤机等水砂分离设备</w:t>
                  </w:r>
                </w:p>
              </w:tc>
              <w:tc>
                <w:tcPr>
                  <w:tcW w:w="1447" w:type="pct"/>
                  <w:vAlign w:val="center"/>
                </w:tcPr>
                <w:p>
                  <w:pPr>
                    <w:pStyle w:val="259"/>
                    <w:adjustRightInd w:val="0"/>
                    <w:snapToGrid w:val="0"/>
                    <w:jc w:val="center"/>
                    <w:rPr>
                      <w:color w:val="000000"/>
                      <w:sz w:val="21"/>
                      <w:szCs w:val="21"/>
                    </w:rPr>
                  </w:pPr>
                  <w:r>
                    <w:rPr>
                      <w:color w:val="000000"/>
                      <w:sz w:val="21"/>
                      <w:szCs w:val="21"/>
                    </w:rPr>
                    <w:t>布置1套浓密机、辐流式沉淀池、压滤机等设备</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restart"/>
                  <w:vAlign w:val="center"/>
                </w:tcPr>
                <w:p>
                  <w:pPr>
                    <w:pStyle w:val="259"/>
                    <w:adjustRightInd w:val="0"/>
                    <w:snapToGrid w:val="0"/>
                    <w:jc w:val="center"/>
                    <w:rPr>
                      <w:color w:val="000000"/>
                      <w:sz w:val="21"/>
                      <w:szCs w:val="21"/>
                    </w:rPr>
                  </w:pPr>
                  <w:r>
                    <w:rPr>
                      <w:color w:val="000000"/>
                      <w:sz w:val="21"/>
                      <w:szCs w:val="21"/>
                    </w:rPr>
                    <w:t>储运工程</w:t>
                  </w:r>
                </w:p>
              </w:tc>
              <w:tc>
                <w:tcPr>
                  <w:tcW w:w="848" w:type="pct"/>
                  <w:gridSpan w:val="2"/>
                  <w:vAlign w:val="center"/>
                </w:tcPr>
                <w:p>
                  <w:pPr>
                    <w:pStyle w:val="259"/>
                    <w:adjustRightInd w:val="0"/>
                    <w:snapToGrid w:val="0"/>
                    <w:jc w:val="center"/>
                    <w:rPr>
                      <w:color w:val="000000"/>
                      <w:sz w:val="21"/>
                      <w:szCs w:val="21"/>
                    </w:rPr>
                  </w:pPr>
                  <w:r>
                    <w:rPr>
                      <w:color w:val="000000"/>
                      <w:sz w:val="21"/>
                      <w:szCs w:val="21"/>
                    </w:rPr>
                    <w:t>缓冲料仓</w:t>
                  </w:r>
                </w:p>
              </w:tc>
              <w:tc>
                <w:tcPr>
                  <w:tcW w:w="2024" w:type="pct"/>
                  <w:vAlign w:val="center"/>
                </w:tcPr>
                <w:p>
                  <w:pPr>
                    <w:pStyle w:val="259"/>
                    <w:adjustRightInd w:val="0"/>
                    <w:snapToGrid w:val="0"/>
                    <w:jc w:val="center"/>
                    <w:rPr>
                      <w:color w:val="000000"/>
                      <w:sz w:val="21"/>
                      <w:szCs w:val="21"/>
                    </w:rPr>
                  </w:pPr>
                  <w:r>
                    <w:rPr>
                      <w:color w:val="000000"/>
                      <w:sz w:val="21"/>
                      <w:szCs w:val="21"/>
                    </w:rPr>
                    <w:t>1座，容积为100t，用于原矿暂存，仓底连接破碎机</w:t>
                  </w:r>
                </w:p>
              </w:tc>
              <w:tc>
                <w:tcPr>
                  <w:tcW w:w="1447" w:type="pct"/>
                  <w:vAlign w:val="center"/>
                </w:tcPr>
                <w:p>
                  <w:pPr>
                    <w:pStyle w:val="259"/>
                    <w:adjustRightInd w:val="0"/>
                    <w:snapToGrid w:val="0"/>
                    <w:jc w:val="center"/>
                    <w:rPr>
                      <w:color w:val="000000"/>
                      <w:sz w:val="21"/>
                      <w:szCs w:val="21"/>
                    </w:rPr>
                  </w:pPr>
                  <w:r>
                    <w:rPr>
                      <w:color w:val="000000"/>
                      <w:sz w:val="21"/>
                      <w:szCs w:val="21"/>
                    </w:rPr>
                    <w:t>1座，容积为100t</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料斗仓</w:t>
                  </w:r>
                </w:p>
              </w:tc>
              <w:tc>
                <w:tcPr>
                  <w:tcW w:w="2024" w:type="pct"/>
                  <w:vAlign w:val="center"/>
                </w:tcPr>
                <w:p>
                  <w:pPr>
                    <w:pStyle w:val="259"/>
                    <w:adjustRightInd w:val="0"/>
                    <w:snapToGrid w:val="0"/>
                    <w:jc w:val="center"/>
                    <w:rPr>
                      <w:color w:val="000000"/>
                      <w:sz w:val="21"/>
                      <w:szCs w:val="21"/>
                    </w:rPr>
                  </w:pPr>
                  <w:r>
                    <w:rPr>
                      <w:color w:val="000000"/>
                      <w:sz w:val="21"/>
                      <w:szCs w:val="21"/>
                    </w:rPr>
                    <w:t>2座，单座容积为500t，用于暂存破碎后的原矿</w:t>
                  </w:r>
                </w:p>
              </w:tc>
              <w:tc>
                <w:tcPr>
                  <w:tcW w:w="1447" w:type="pct"/>
                  <w:vAlign w:val="center"/>
                </w:tcPr>
                <w:p>
                  <w:pPr>
                    <w:pStyle w:val="259"/>
                    <w:adjustRightInd w:val="0"/>
                    <w:snapToGrid w:val="0"/>
                    <w:jc w:val="center"/>
                    <w:rPr>
                      <w:color w:val="000000"/>
                      <w:sz w:val="21"/>
                      <w:szCs w:val="21"/>
                    </w:rPr>
                  </w:pPr>
                  <w:r>
                    <w:rPr>
                      <w:color w:val="000000"/>
                      <w:sz w:val="21"/>
                      <w:szCs w:val="21"/>
                    </w:rPr>
                    <w:t>2座，单座容积为500t，</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原矿库</w:t>
                  </w:r>
                </w:p>
              </w:tc>
              <w:tc>
                <w:tcPr>
                  <w:tcW w:w="2024" w:type="pct"/>
                  <w:vAlign w:val="center"/>
                </w:tcPr>
                <w:p>
                  <w:pPr>
                    <w:pStyle w:val="259"/>
                    <w:adjustRightInd w:val="0"/>
                    <w:snapToGrid w:val="0"/>
                    <w:jc w:val="center"/>
                    <w:rPr>
                      <w:color w:val="000000"/>
                      <w:sz w:val="21"/>
                      <w:szCs w:val="21"/>
                    </w:rPr>
                  </w:pPr>
                  <w:r>
                    <w:rPr>
                      <w:color w:val="000000"/>
                      <w:sz w:val="21"/>
                      <w:szCs w:val="21"/>
                    </w:rPr>
                    <w:t>占地面积1000</w:t>
                  </w:r>
                  <w:r>
                    <w:rPr>
                      <w:rFonts w:hint="eastAsia"/>
                      <w:color w:val="000000"/>
                      <w:sz w:val="21"/>
                      <w:szCs w:val="21"/>
                    </w:rPr>
                    <w:t xml:space="preserve"> m</w:t>
                  </w:r>
                  <w:r>
                    <w:rPr>
                      <w:color w:val="000000"/>
                      <w:sz w:val="21"/>
                      <w:szCs w:val="21"/>
                      <w:vertAlign w:val="superscript"/>
                    </w:rPr>
                    <w:t>2</w:t>
                  </w:r>
                  <w:r>
                    <w:rPr>
                      <w:color w:val="000000"/>
                      <w:sz w:val="21"/>
                      <w:szCs w:val="21"/>
                    </w:rPr>
                    <w:t>，位于磨选车间东侧，地势较高，较厂区地势高20m</w:t>
                  </w:r>
                </w:p>
              </w:tc>
              <w:tc>
                <w:tcPr>
                  <w:tcW w:w="1447" w:type="pct"/>
                  <w:vAlign w:val="center"/>
                </w:tcPr>
                <w:p>
                  <w:pPr>
                    <w:pStyle w:val="259"/>
                    <w:adjustRightInd w:val="0"/>
                    <w:snapToGrid w:val="0"/>
                    <w:jc w:val="center"/>
                    <w:rPr>
                      <w:color w:val="000000"/>
                      <w:sz w:val="21"/>
                      <w:szCs w:val="21"/>
                    </w:rPr>
                  </w:pPr>
                  <w:r>
                    <w:rPr>
                      <w:color w:val="000000"/>
                      <w:sz w:val="21"/>
                      <w:szCs w:val="21"/>
                    </w:rPr>
                    <w:t>占地面积1000</w:t>
                  </w:r>
                  <w:r>
                    <w:rPr>
                      <w:rFonts w:hint="eastAsia"/>
                      <w:color w:val="000000"/>
                      <w:sz w:val="21"/>
                      <w:szCs w:val="21"/>
                    </w:rPr>
                    <w:t xml:space="preserve"> m</w:t>
                  </w:r>
                  <w:r>
                    <w:rPr>
                      <w:color w:val="000000"/>
                      <w:sz w:val="21"/>
                      <w:szCs w:val="21"/>
                      <w:vertAlign w:val="superscript"/>
                    </w:rPr>
                    <w:t>2</w:t>
                  </w:r>
                  <w:r>
                    <w:rPr>
                      <w:color w:val="000000"/>
                      <w:sz w:val="21"/>
                      <w:szCs w:val="21"/>
                    </w:rPr>
                    <w:t>，位于磨选车间东侧</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精矿库</w:t>
                  </w:r>
                </w:p>
              </w:tc>
              <w:tc>
                <w:tcPr>
                  <w:tcW w:w="2024" w:type="pct"/>
                  <w:vAlign w:val="center"/>
                </w:tcPr>
                <w:p>
                  <w:pPr>
                    <w:pStyle w:val="259"/>
                    <w:adjustRightInd w:val="0"/>
                    <w:snapToGrid w:val="0"/>
                    <w:jc w:val="center"/>
                    <w:rPr>
                      <w:color w:val="000000"/>
                      <w:sz w:val="21"/>
                      <w:szCs w:val="21"/>
                    </w:rPr>
                  </w:pPr>
                  <w:r>
                    <w:rPr>
                      <w:color w:val="000000"/>
                      <w:sz w:val="21"/>
                      <w:szCs w:val="21"/>
                    </w:rPr>
                    <w:t>占地面积300</w:t>
                  </w:r>
                  <w:r>
                    <w:rPr>
                      <w:rFonts w:hint="eastAsia"/>
                      <w:color w:val="000000"/>
                      <w:sz w:val="21"/>
                      <w:szCs w:val="21"/>
                    </w:rPr>
                    <w:t xml:space="preserve"> m</w:t>
                  </w:r>
                  <w:r>
                    <w:rPr>
                      <w:color w:val="000000"/>
                      <w:sz w:val="21"/>
                      <w:szCs w:val="21"/>
                      <w:vertAlign w:val="superscript"/>
                    </w:rPr>
                    <w:t>2</w:t>
                  </w:r>
                  <w:r>
                    <w:rPr>
                      <w:color w:val="000000"/>
                      <w:sz w:val="21"/>
                      <w:szCs w:val="21"/>
                    </w:rPr>
                    <w:t>，位于磨选车间西侧</w:t>
                  </w:r>
                </w:p>
              </w:tc>
              <w:tc>
                <w:tcPr>
                  <w:tcW w:w="1447" w:type="pct"/>
                  <w:vAlign w:val="center"/>
                </w:tcPr>
                <w:p>
                  <w:pPr>
                    <w:pStyle w:val="259"/>
                    <w:adjustRightInd w:val="0"/>
                    <w:snapToGrid w:val="0"/>
                    <w:jc w:val="center"/>
                    <w:rPr>
                      <w:color w:val="000000"/>
                      <w:sz w:val="21"/>
                      <w:szCs w:val="21"/>
                    </w:rPr>
                  </w:pPr>
                  <w:r>
                    <w:rPr>
                      <w:color w:val="000000"/>
                      <w:sz w:val="21"/>
                      <w:szCs w:val="21"/>
                    </w:rPr>
                    <w:t>占地面积3</w:t>
                  </w:r>
                  <w:r>
                    <w:rPr>
                      <w:rFonts w:hint="eastAsia"/>
                      <w:color w:val="000000"/>
                      <w:sz w:val="21"/>
                      <w:szCs w:val="21"/>
                    </w:rPr>
                    <w:t>10 m</w:t>
                  </w:r>
                  <w:r>
                    <w:rPr>
                      <w:color w:val="000000"/>
                      <w:sz w:val="21"/>
                      <w:szCs w:val="21"/>
                      <w:vertAlign w:val="superscript"/>
                    </w:rPr>
                    <w:t>2</w:t>
                  </w:r>
                  <w:r>
                    <w:rPr>
                      <w:color w:val="000000"/>
                      <w:sz w:val="21"/>
                      <w:szCs w:val="21"/>
                    </w:rPr>
                    <w:t>，位于磨选车间西侧</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尾矿暂存仓</w:t>
                  </w:r>
                </w:p>
              </w:tc>
              <w:tc>
                <w:tcPr>
                  <w:tcW w:w="2024" w:type="pct"/>
                  <w:vAlign w:val="center"/>
                </w:tcPr>
                <w:p>
                  <w:pPr>
                    <w:pStyle w:val="259"/>
                    <w:adjustRightInd w:val="0"/>
                    <w:snapToGrid w:val="0"/>
                    <w:jc w:val="center"/>
                    <w:rPr>
                      <w:color w:val="000000"/>
                      <w:sz w:val="21"/>
                      <w:szCs w:val="21"/>
                    </w:rPr>
                  </w:pPr>
                  <w:r>
                    <w:rPr>
                      <w:color w:val="000000"/>
                      <w:sz w:val="21"/>
                      <w:szCs w:val="21"/>
                    </w:rPr>
                    <w:t>1座，容积为768m³（12m×8m×8m），混凝土结构</w:t>
                  </w:r>
                </w:p>
              </w:tc>
              <w:tc>
                <w:tcPr>
                  <w:tcW w:w="1447" w:type="pct"/>
                  <w:vAlign w:val="center"/>
                </w:tcPr>
                <w:p>
                  <w:pPr>
                    <w:pStyle w:val="259"/>
                    <w:adjustRightInd w:val="0"/>
                    <w:snapToGrid w:val="0"/>
                    <w:jc w:val="center"/>
                    <w:rPr>
                      <w:color w:val="000000"/>
                      <w:sz w:val="21"/>
                      <w:szCs w:val="21"/>
                    </w:rPr>
                  </w:pPr>
                  <w:r>
                    <w:rPr>
                      <w:color w:val="000000"/>
                      <w:sz w:val="21"/>
                      <w:szCs w:val="21"/>
                    </w:rPr>
                    <w:t>1座，容积为768m³（12m×8m×8m），混凝土结构</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高位水池</w:t>
                  </w:r>
                </w:p>
              </w:tc>
              <w:tc>
                <w:tcPr>
                  <w:tcW w:w="2024" w:type="pct"/>
                  <w:vAlign w:val="center"/>
                </w:tcPr>
                <w:p>
                  <w:pPr>
                    <w:pStyle w:val="259"/>
                    <w:adjustRightInd w:val="0"/>
                    <w:snapToGrid w:val="0"/>
                    <w:jc w:val="center"/>
                    <w:rPr>
                      <w:color w:val="000000"/>
                      <w:sz w:val="21"/>
                      <w:szCs w:val="21"/>
                    </w:rPr>
                  </w:pPr>
                  <w:r>
                    <w:rPr>
                      <w:color w:val="000000"/>
                      <w:sz w:val="21"/>
                      <w:szCs w:val="21"/>
                    </w:rPr>
                    <w:t>1座，钢筋混凝土结构，容积600m³，位于原矿堆场东北侧</w:t>
                  </w:r>
                </w:p>
              </w:tc>
              <w:tc>
                <w:tcPr>
                  <w:tcW w:w="1447" w:type="pct"/>
                  <w:vAlign w:val="center"/>
                </w:tcPr>
                <w:p>
                  <w:pPr>
                    <w:pStyle w:val="259"/>
                    <w:adjustRightInd w:val="0"/>
                    <w:snapToGrid w:val="0"/>
                    <w:jc w:val="center"/>
                    <w:rPr>
                      <w:color w:val="000000"/>
                      <w:sz w:val="21"/>
                      <w:szCs w:val="21"/>
                    </w:rPr>
                  </w:pPr>
                  <w:r>
                    <w:rPr>
                      <w:color w:val="000000"/>
                      <w:sz w:val="21"/>
                      <w:szCs w:val="21"/>
                    </w:rPr>
                    <w:t>1座，钢筋混凝土结构，容积600m³，位于原矿堆场东北侧</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精矿池</w:t>
                  </w:r>
                </w:p>
              </w:tc>
              <w:tc>
                <w:tcPr>
                  <w:tcW w:w="2024" w:type="pct"/>
                  <w:vAlign w:val="center"/>
                </w:tcPr>
                <w:p>
                  <w:pPr>
                    <w:pStyle w:val="259"/>
                    <w:adjustRightInd w:val="0"/>
                    <w:snapToGrid w:val="0"/>
                    <w:jc w:val="center"/>
                    <w:rPr>
                      <w:color w:val="000000"/>
                      <w:sz w:val="21"/>
                      <w:szCs w:val="21"/>
                    </w:rPr>
                  </w:pPr>
                  <w:r>
                    <w:rPr>
                      <w:color w:val="000000"/>
                      <w:sz w:val="21"/>
                      <w:szCs w:val="21"/>
                    </w:rPr>
                    <w:t>3座，单座容积为54m³（9m×4m×1.5m）；用于精矿沉淀</w:t>
                  </w:r>
                </w:p>
              </w:tc>
              <w:tc>
                <w:tcPr>
                  <w:tcW w:w="1447" w:type="pct"/>
                  <w:vAlign w:val="center"/>
                </w:tcPr>
                <w:p>
                  <w:pPr>
                    <w:pStyle w:val="259"/>
                    <w:adjustRightInd w:val="0"/>
                    <w:snapToGrid w:val="0"/>
                    <w:jc w:val="center"/>
                    <w:rPr>
                      <w:color w:val="000000"/>
                      <w:sz w:val="21"/>
                      <w:szCs w:val="21"/>
                    </w:rPr>
                  </w:pPr>
                  <w:r>
                    <w:rPr>
                      <w:color w:val="000000"/>
                      <w:sz w:val="21"/>
                      <w:szCs w:val="21"/>
                    </w:rPr>
                    <w:t>3座，单座容积为54m³（9m×4m×1.5m）；</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精矿水沉淀池</w:t>
                  </w:r>
                </w:p>
              </w:tc>
              <w:tc>
                <w:tcPr>
                  <w:tcW w:w="2024" w:type="pct"/>
                  <w:vAlign w:val="center"/>
                </w:tcPr>
                <w:p>
                  <w:pPr>
                    <w:pStyle w:val="259"/>
                    <w:adjustRightInd w:val="0"/>
                    <w:snapToGrid w:val="0"/>
                    <w:jc w:val="center"/>
                    <w:rPr>
                      <w:color w:val="000000"/>
                      <w:sz w:val="21"/>
                      <w:szCs w:val="21"/>
                    </w:rPr>
                  </w:pPr>
                  <w:r>
                    <w:rPr>
                      <w:color w:val="000000"/>
                      <w:sz w:val="21"/>
                      <w:szCs w:val="21"/>
                    </w:rPr>
                    <w:t>3座，单座容积为13.5m³（3m×3m×1.5m）；用于精矿水沉淀</w:t>
                  </w:r>
                </w:p>
              </w:tc>
              <w:tc>
                <w:tcPr>
                  <w:tcW w:w="1447" w:type="pct"/>
                  <w:vAlign w:val="center"/>
                </w:tcPr>
                <w:p>
                  <w:pPr>
                    <w:pStyle w:val="259"/>
                    <w:adjustRightInd w:val="0"/>
                    <w:snapToGrid w:val="0"/>
                    <w:jc w:val="center"/>
                    <w:rPr>
                      <w:color w:val="000000"/>
                      <w:sz w:val="21"/>
                      <w:szCs w:val="21"/>
                    </w:rPr>
                  </w:pPr>
                  <w:r>
                    <w:rPr>
                      <w:color w:val="000000"/>
                      <w:sz w:val="21"/>
                      <w:szCs w:val="21"/>
                    </w:rPr>
                    <w:t>3座，单座容积为13.5m³（3m×3m×1.5m）</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回水池</w:t>
                  </w:r>
                </w:p>
              </w:tc>
              <w:tc>
                <w:tcPr>
                  <w:tcW w:w="2024" w:type="pct"/>
                  <w:vAlign w:val="center"/>
                </w:tcPr>
                <w:p>
                  <w:pPr>
                    <w:pStyle w:val="259"/>
                    <w:adjustRightInd w:val="0"/>
                    <w:snapToGrid w:val="0"/>
                    <w:jc w:val="center"/>
                    <w:rPr>
                      <w:color w:val="000000"/>
                      <w:sz w:val="21"/>
                      <w:szCs w:val="21"/>
                    </w:rPr>
                  </w:pPr>
                  <w:r>
                    <w:rPr>
                      <w:color w:val="000000"/>
                      <w:sz w:val="21"/>
                      <w:szCs w:val="21"/>
                    </w:rPr>
                    <w:t>3座，单座容积为54m³（6m×6m×1.5m）；用于暂存循环水</w:t>
                  </w:r>
                </w:p>
              </w:tc>
              <w:tc>
                <w:tcPr>
                  <w:tcW w:w="1447" w:type="pct"/>
                  <w:vAlign w:val="center"/>
                </w:tcPr>
                <w:p>
                  <w:pPr>
                    <w:pStyle w:val="259"/>
                    <w:adjustRightInd w:val="0"/>
                    <w:snapToGrid w:val="0"/>
                    <w:jc w:val="center"/>
                    <w:rPr>
                      <w:color w:val="000000"/>
                      <w:sz w:val="21"/>
                      <w:szCs w:val="21"/>
                    </w:rPr>
                  </w:pPr>
                  <w:r>
                    <w:rPr>
                      <w:color w:val="000000"/>
                      <w:sz w:val="21"/>
                      <w:szCs w:val="21"/>
                    </w:rPr>
                    <w:t>3座，单座容积为54m³（6m×6m×1.5m）</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运输道路</w:t>
                  </w:r>
                </w:p>
              </w:tc>
              <w:tc>
                <w:tcPr>
                  <w:tcW w:w="2024" w:type="pct"/>
                  <w:vAlign w:val="center"/>
                </w:tcPr>
                <w:p>
                  <w:pPr>
                    <w:pStyle w:val="259"/>
                    <w:adjustRightInd w:val="0"/>
                    <w:snapToGrid w:val="0"/>
                    <w:jc w:val="center"/>
                    <w:rPr>
                      <w:color w:val="000000"/>
                      <w:sz w:val="21"/>
                      <w:szCs w:val="21"/>
                    </w:rPr>
                  </w:pPr>
                  <w:r>
                    <w:rPr>
                      <w:color w:val="000000"/>
                      <w:sz w:val="21"/>
                      <w:szCs w:val="21"/>
                    </w:rPr>
                    <w:t>厂外道路利用现有乡村公路；厂区内道路采用混凝土路面，长200m</w:t>
                  </w:r>
                </w:p>
              </w:tc>
              <w:tc>
                <w:tcPr>
                  <w:tcW w:w="1447" w:type="pct"/>
                  <w:vAlign w:val="center"/>
                </w:tcPr>
                <w:p>
                  <w:pPr>
                    <w:pStyle w:val="259"/>
                    <w:adjustRightInd w:val="0"/>
                    <w:snapToGrid w:val="0"/>
                    <w:jc w:val="center"/>
                    <w:rPr>
                      <w:color w:val="000000"/>
                      <w:sz w:val="21"/>
                      <w:szCs w:val="21"/>
                    </w:rPr>
                  </w:pPr>
                  <w:r>
                    <w:rPr>
                      <w:color w:val="000000"/>
                      <w:sz w:val="21"/>
                      <w:szCs w:val="21"/>
                    </w:rPr>
                    <w:t>厂外道路利用现有乡村公路；厂区内道路采用混凝土路面，长2</w:t>
                  </w:r>
                  <w:r>
                    <w:rPr>
                      <w:rFonts w:hint="eastAsia"/>
                      <w:color w:val="000000"/>
                      <w:sz w:val="21"/>
                      <w:szCs w:val="21"/>
                    </w:rPr>
                    <w:t>5</w:t>
                  </w:r>
                  <w:r>
                    <w:rPr>
                      <w:color w:val="000000"/>
                      <w:sz w:val="21"/>
                      <w:szCs w:val="21"/>
                    </w:rPr>
                    <w:t>0m</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restart"/>
                  <w:vAlign w:val="center"/>
                </w:tcPr>
                <w:p>
                  <w:pPr>
                    <w:pStyle w:val="259"/>
                    <w:adjustRightInd w:val="0"/>
                    <w:snapToGrid w:val="0"/>
                    <w:jc w:val="center"/>
                    <w:rPr>
                      <w:color w:val="000000"/>
                      <w:sz w:val="21"/>
                      <w:szCs w:val="21"/>
                    </w:rPr>
                  </w:pPr>
                  <w:r>
                    <w:rPr>
                      <w:color w:val="000000"/>
                      <w:sz w:val="21"/>
                      <w:szCs w:val="21"/>
                    </w:rPr>
                    <w:t>公用</w:t>
                  </w:r>
                </w:p>
                <w:p>
                  <w:pPr>
                    <w:pStyle w:val="259"/>
                    <w:adjustRightInd w:val="0"/>
                    <w:snapToGrid w:val="0"/>
                    <w:jc w:val="center"/>
                    <w:rPr>
                      <w:color w:val="000000"/>
                      <w:sz w:val="21"/>
                      <w:szCs w:val="21"/>
                    </w:rPr>
                  </w:pPr>
                  <w:r>
                    <w:rPr>
                      <w:color w:val="000000"/>
                      <w:sz w:val="21"/>
                      <w:szCs w:val="21"/>
                    </w:rPr>
                    <w:t>工程</w:t>
                  </w:r>
                </w:p>
              </w:tc>
              <w:tc>
                <w:tcPr>
                  <w:tcW w:w="848" w:type="pct"/>
                  <w:gridSpan w:val="2"/>
                  <w:vAlign w:val="center"/>
                </w:tcPr>
                <w:p>
                  <w:pPr>
                    <w:pStyle w:val="259"/>
                    <w:adjustRightInd w:val="0"/>
                    <w:snapToGrid w:val="0"/>
                    <w:jc w:val="center"/>
                    <w:rPr>
                      <w:color w:val="000000"/>
                      <w:sz w:val="21"/>
                      <w:szCs w:val="21"/>
                    </w:rPr>
                  </w:pPr>
                  <w:r>
                    <w:rPr>
                      <w:color w:val="000000"/>
                      <w:sz w:val="21"/>
                      <w:szCs w:val="21"/>
                    </w:rPr>
                    <w:t>供电</w:t>
                  </w:r>
                </w:p>
              </w:tc>
              <w:tc>
                <w:tcPr>
                  <w:tcW w:w="2024" w:type="pct"/>
                  <w:vAlign w:val="center"/>
                </w:tcPr>
                <w:p>
                  <w:pPr>
                    <w:pStyle w:val="259"/>
                    <w:adjustRightInd w:val="0"/>
                    <w:snapToGrid w:val="0"/>
                    <w:jc w:val="center"/>
                    <w:rPr>
                      <w:color w:val="000000"/>
                      <w:sz w:val="21"/>
                      <w:szCs w:val="21"/>
                    </w:rPr>
                  </w:pPr>
                  <w:r>
                    <w:rPr>
                      <w:color w:val="000000"/>
                      <w:sz w:val="21"/>
                      <w:szCs w:val="21"/>
                    </w:rPr>
                    <w:t>引自</w:t>
                  </w:r>
                  <w:r>
                    <w:rPr>
                      <w:rFonts w:hint="eastAsia"/>
                      <w:color w:val="000000"/>
                      <w:sz w:val="21"/>
                      <w:szCs w:val="21"/>
                    </w:rPr>
                    <w:t>交城</w:t>
                  </w:r>
                  <w:r>
                    <w:rPr>
                      <w:color w:val="000000"/>
                      <w:sz w:val="21"/>
                      <w:szCs w:val="21"/>
                    </w:rPr>
                    <w:t>开闭所，厂内设35/10KV配电室</w:t>
                  </w:r>
                </w:p>
              </w:tc>
              <w:tc>
                <w:tcPr>
                  <w:tcW w:w="1447" w:type="pct"/>
                  <w:vAlign w:val="center"/>
                </w:tcPr>
                <w:p>
                  <w:pPr>
                    <w:pStyle w:val="259"/>
                    <w:adjustRightInd w:val="0"/>
                    <w:snapToGrid w:val="0"/>
                    <w:jc w:val="center"/>
                    <w:rPr>
                      <w:color w:val="000000"/>
                      <w:sz w:val="21"/>
                      <w:szCs w:val="21"/>
                    </w:rPr>
                  </w:pPr>
                  <w:r>
                    <w:rPr>
                      <w:color w:val="000000"/>
                      <w:sz w:val="21"/>
                      <w:szCs w:val="21"/>
                    </w:rPr>
                    <w:t>引自</w:t>
                  </w:r>
                  <w:r>
                    <w:rPr>
                      <w:rFonts w:hint="eastAsia"/>
                      <w:color w:val="000000"/>
                      <w:sz w:val="21"/>
                      <w:szCs w:val="21"/>
                    </w:rPr>
                    <w:t>交城</w:t>
                  </w:r>
                  <w:r>
                    <w:rPr>
                      <w:color w:val="000000"/>
                      <w:sz w:val="21"/>
                      <w:szCs w:val="21"/>
                    </w:rPr>
                    <w:t>开闭所，厂内设35/10KV配电室</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供热</w:t>
                  </w:r>
                </w:p>
              </w:tc>
              <w:tc>
                <w:tcPr>
                  <w:tcW w:w="2024" w:type="pct"/>
                  <w:vAlign w:val="center"/>
                </w:tcPr>
                <w:p>
                  <w:pPr>
                    <w:pStyle w:val="259"/>
                    <w:adjustRightInd w:val="0"/>
                    <w:snapToGrid w:val="0"/>
                    <w:jc w:val="center"/>
                    <w:rPr>
                      <w:color w:val="000000"/>
                      <w:sz w:val="21"/>
                      <w:szCs w:val="21"/>
                    </w:rPr>
                  </w:pPr>
                  <w:r>
                    <w:rPr>
                      <w:color w:val="000000"/>
                      <w:sz w:val="21"/>
                      <w:szCs w:val="21"/>
                    </w:rPr>
                    <w:t>选矿厂内不需要供暖，办公区采用电暖气采暖</w:t>
                  </w:r>
                </w:p>
              </w:tc>
              <w:tc>
                <w:tcPr>
                  <w:tcW w:w="1447" w:type="pct"/>
                  <w:vAlign w:val="center"/>
                </w:tcPr>
                <w:p>
                  <w:pPr>
                    <w:pStyle w:val="259"/>
                    <w:adjustRightInd w:val="0"/>
                    <w:snapToGrid w:val="0"/>
                    <w:jc w:val="center"/>
                    <w:rPr>
                      <w:color w:val="000000"/>
                      <w:sz w:val="21"/>
                      <w:szCs w:val="21"/>
                    </w:rPr>
                  </w:pPr>
                  <w:r>
                    <w:rPr>
                      <w:color w:val="000000"/>
                      <w:sz w:val="21"/>
                      <w:szCs w:val="21"/>
                    </w:rPr>
                    <w:t>选矿厂内不需要供暖，办公区采用电暖气采暖</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给水</w:t>
                  </w:r>
                </w:p>
              </w:tc>
              <w:tc>
                <w:tcPr>
                  <w:tcW w:w="2024" w:type="pct"/>
                  <w:vAlign w:val="center"/>
                </w:tcPr>
                <w:p>
                  <w:pPr>
                    <w:pStyle w:val="259"/>
                    <w:adjustRightInd w:val="0"/>
                    <w:snapToGrid w:val="0"/>
                    <w:jc w:val="center"/>
                    <w:rPr>
                      <w:color w:val="000000"/>
                      <w:sz w:val="21"/>
                      <w:szCs w:val="21"/>
                    </w:rPr>
                  </w:pPr>
                  <w:r>
                    <w:rPr>
                      <w:color w:val="000000"/>
                      <w:sz w:val="21"/>
                      <w:szCs w:val="21"/>
                    </w:rPr>
                    <w:t>办公区用水引自</w:t>
                  </w:r>
                  <w:r>
                    <w:rPr>
                      <w:rFonts w:hint="eastAsia"/>
                      <w:color w:val="000000"/>
                      <w:sz w:val="21"/>
                      <w:szCs w:val="21"/>
                    </w:rPr>
                    <w:t>自备</w:t>
                  </w:r>
                  <w:r>
                    <w:rPr>
                      <w:color w:val="000000"/>
                      <w:sz w:val="21"/>
                      <w:szCs w:val="21"/>
                    </w:rPr>
                    <w:t>水井；选矿厂用水引自</w:t>
                  </w:r>
                  <w:r>
                    <w:rPr>
                      <w:rFonts w:hint="eastAsia"/>
                      <w:color w:val="000000"/>
                      <w:sz w:val="21"/>
                      <w:szCs w:val="21"/>
                    </w:rPr>
                    <w:t>自备</w:t>
                  </w:r>
                  <w:r>
                    <w:rPr>
                      <w:color w:val="000000"/>
                      <w:sz w:val="21"/>
                      <w:szCs w:val="21"/>
                    </w:rPr>
                    <w:t>水井</w:t>
                  </w:r>
                </w:p>
              </w:tc>
              <w:tc>
                <w:tcPr>
                  <w:tcW w:w="1447" w:type="pct"/>
                  <w:vAlign w:val="center"/>
                </w:tcPr>
                <w:p>
                  <w:pPr>
                    <w:pStyle w:val="259"/>
                    <w:adjustRightInd w:val="0"/>
                    <w:snapToGrid w:val="0"/>
                    <w:jc w:val="center"/>
                    <w:rPr>
                      <w:color w:val="000000"/>
                      <w:sz w:val="21"/>
                      <w:szCs w:val="21"/>
                    </w:rPr>
                  </w:pPr>
                  <w:r>
                    <w:rPr>
                      <w:color w:val="000000"/>
                      <w:sz w:val="21"/>
                      <w:szCs w:val="21"/>
                    </w:rPr>
                    <w:t>办公区用水引自</w:t>
                  </w:r>
                  <w:r>
                    <w:rPr>
                      <w:rFonts w:hint="eastAsia"/>
                      <w:color w:val="000000"/>
                      <w:sz w:val="21"/>
                      <w:szCs w:val="21"/>
                    </w:rPr>
                    <w:t>自备</w:t>
                  </w:r>
                  <w:r>
                    <w:rPr>
                      <w:color w:val="000000"/>
                      <w:sz w:val="21"/>
                      <w:szCs w:val="21"/>
                    </w:rPr>
                    <w:t>水井；选矿厂用水引自</w:t>
                  </w:r>
                  <w:r>
                    <w:rPr>
                      <w:rFonts w:hint="eastAsia"/>
                      <w:color w:val="000000"/>
                      <w:sz w:val="21"/>
                      <w:szCs w:val="21"/>
                    </w:rPr>
                    <w:t>自备</w:t>
                  </w:r>
                  <w:r>
                    <w:rPr>
                      <w:color w:val="000000"/>
                      <w:sz w:val="21"/>
                      <w:szCs w:val="21"/>
                    </w:rPr>
                    <w:t>水井</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排水</w:t>
                  </w:r>
                </w:p>
              </w:tc>
              <w:tc>
                <w:tcPr>
                  <w:tcW w:w="2024" w:type="pct"/>
                  <w:vAlign w:val="center"/>
                </w:tcPr>
                <w:p>
                  <w:pPr>
                    <w:pStyle w:val="259"/>
                    <w:adjustRightInd w:val="0"/>
                    <w:snapToGrid w:val="0"/>
                    <w:jc w:val="center"/>
                    <w:rPr>
                      <w:color w:val="000000"/>
                      <w:sz w:val="21"/>
                      <w:szCs w:val="21"/>
                    </w:rPr>
                  </w:pPr>
                  <w:r>
                    <w:rPr>
                      <w:color w:val="000000"/>
                      <w:sz w:val="21"/>
                      <w:szCs w:val="21"/>
                    </w:rPr>
                    <w:t>项目产生的废水全部循环利用不外排</w:t>
                  </w:r>
                </w:p>
              </w:tc>
              <w:tc>
                <w:tcPr>
                  <w:tcW w:w="1447" w:type="pct"/>
                  <w:vAlign w:val="center"/>
                </w:tcPr>
                <w:p>
                  <w:pPr>
                    <w:pStyle w:val="259"/>
                    <w:adjustRightInd w:val="0"/>
                    <w:snapToGrid w:val="0"/>
                    <w:jc w:val="center"/>
                    <w:rPr>
                      <w:color w:val="000000"/>
                      <w:sz w:val="21"/>
                      <w:szCs w:val="21"/>
                    </w:rPr>
                  </w:pPr>
                  <w:r>
                    <w:rPr>
                      <w:color w:val="000000"/>
                      <w:sz w:val="21"/>
                      <w:szCs w:val="21"/>
                    </w:rPr>
                    <w:t>项目产生的废水全部循环利用不外排</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restart"/>
                  <w:vAlign w:val="center"/>
                </w:tcPr>
                <w:p>
                  <w:pPr>
                    <w:pStyle w:val="259"/>
                    <w:adjustRightInd w:val="0"/>
                    <w:snapToGrid w:val="0"/>
                    <w:jc w:val="center"/>
                    <w:rPr>
                      <w:color w:val="000000"/>
                      <w:sz w:val="21"/>
                      <w:szCs w:val="21"/>
                    </w:rPr>
                  </w:pPr>
                  <w:r>
                    <w:rPr>
                      <w:color w:val="000000"/>
                      <w:sz w:val="21"/>
                      <w:szCs w:val="21"/>
                    </w:rPr>
                    <w:t>辅助</w:t>
                  </w:r>
                </w:p>
                <w:p>
                  <w:pPr>
                    <w:pStyle w:val="259"/>
                    <w:adjustRightInd w:val="0"/>
                    <w:snapToGrid w:val="0"/>
                    <w:jc w:val="center"/>
                    <w:rPr>
                      <w:color w:val="000000"/>
                      <w:sz w:val="21"/>
                      <w:szCs w:val="21"/>
                    </w:rPr>
                  </w:pPr>
                  <w:r>
                    <w:rPr>
                      <w:color w:val="000000"/>
                      <w:sz w:val="21"/>
                      <w:szCs w:val="21"/>
                    </w:rPr>
                    <w:t>工程</w:t>
                  </w:r>
                </w:p>
              </w:tc>
              <w:tc>
                <w:tcPr>
                  <w:tcW w:w="848" w:type="pct"/>
                  <w:gridSpan w:val="2"/>
                  <w:vAlign w:val="center"/>
                </w:tcPr>
                <w:p>
                  <w:pPr>
                    <w:pStyle w:val="259"/>
                    <w:adjustRightInd w:val="0"/>
                    <w:snapToGrid w:val="0"/>
                    <w:jc w:val="center"/>
                    <w:rPr>
                      <w:color w:val="000000"/>
                      <w:sz w:val="21"/>
                      <w:szCs w:val="21"/>
                    </w:rPr>
                  </w:pPr>
                  <w:r>
                    <w:rPr>
                      <w:color w:val="000000"/>
                      <w:sz w:val="21"/>
                      <w:szCs w:val="21"/>
                    </w:rPr>
                    <w:t>办公区</w:t>
                  </w:r>
                </w:p>
              </w:tc>
              <w:tc>
                <w:tcPr>
                  <w:tcW w:w="2024" w:type="pct"/>
                  <w:vAlign w:val="center"/>
                </w:tcPr>
                <w:p>
                  <w:pPr>
                    <w:pStyle w:val="259"/>
                    <w:adjustRightInd w:val="0"/>
                    <w:snapToGrid w:val="0"/>
                    <w:jc w:val="center"/>
                    <w:rPr>
                      <w:color w:val="000000"/>
                      <w:sz w:val="21"/>
                      <w:szCs w:val="21"/>
                    </w:rPr>
                  </w:pPr>
                  <w:r>
                    <w:rPr>
                      <w:color w:val="000000"/>
                      <w:sz w:val="21"/>
                      <w:szCs w:val="21"/>
                    </w:rPr>
                    <w:t>单层，建筑面积700</w:t>
                  </w:r>
                  <w:r>
                    <w:rPr>
                      <w:rFonts w:hint="eastAsia"/>
                      <w:color w:val="000000"/>
                      <w:sz w:val="21"/>
                      <w:szCs w:val="21"/>
                    </w:rPr>
                    <w:t xml:space="preserve"> m</w:t>
                  </w:r>
                  <w:r>
                    <w:rPr>
                      <w:color w:val="000000"/>
                      <w:sz w:val="21"/>
                      <w:szCs w:val="21"/>
                      <w:vertAlign w:val="superscript"/>
                    </w:rPr>
                    <w:t>2</w:t>
                  </w:r>
                </w:p>
              </w:tc>
              <w:tc>
                <w:tcPr>
                  <w:tcW w:w="1447" w:type="pct"/>
                  <w:vAlign w:val="center"/>
                </w:tcPr>
                <w:p>
                  <w:pPr>
                    <w:pStyle w:val="259"/>
                    <w:adjustRightInd w:val="0"/>
                    <w:snapToGrid w:val="0"/>
                    <w:jc w:val="center"/>
                    <w:rPr>
                      <w:color w:val="000000"/>
                      <w:sz w:val="21"/>
                      <w:szCs w:val="21"/>
                    </w:rPr>
                  </w:pPr>
                  <w:r>
                    <w:rPr>
                      <w:color w:val="000000"/>
                      <w:sz w:val="21"/>
                      <w:szCs w:val="21"/>
                    </w:rPr>
                    <w:t>单层，建筑面积700</w:t>
                  </w:r>
                  <w:r>
                    <w:rPr>
                      <w:rFonts w:hint="eastAsia"/>
                      <w:color w:val="000000"/>
                      <w:sz w:val="21"/>
                      <w:szCs w:val="21"/>
                    </w:rPr>
                    <w:t xml:space="preserve"> m</w:t>
                  </w:r>
                  <w:r>
                    <w:rPr>
                      <w:color w:val="000000"/>
                      <w:sz w:val="21"/>
                      <w:szCs w:val="21"/>
                      <w:vertAlign w:val="superscript"/>
                    </w:rPr>
                    <w:t>2</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宿舍</w:t>
                  </w:r>
                </w:p>
              </w:tc>
              <w:tc>
                <w:tcPr>
                  <w:tcW w:w="2024" w:type="pct"/>
                  <w:vAlign w:val="center"/>
                </w:tcPr>
                <w:p>
                  <w:pPr>
                    <w:pStyle w:val="259"/>
                    <w:adjustRightInd w:val="0"/>
                    <w:snapToGrid w:val="0"/>
                    <w:jc w:val="center"/>
                    <w:rPr>
                      <w:color w:val="000000"/>
                      <w:sz w:val="21"/>
                      <w:szCs w:val="21"/>
                    </w:rPr>
                  </w:pPr>
                  <w:r>
                    <w:rPr>
                      <w:color w:val="000000"/>
                      <w:sz w:val="21"/>
                      <w:szCs w:val="21"/>
                    </w:rPr>
                    <w:t>单层，建筑面积224</w:t>
                  </w:r>
                  <w:r>
                    <w:rPr>
                      <w:rFonts w:hint="eastAsia"/>
                      <w:color w:val="000000"/>
                      <w:sz w:val="21"/>
                      <w:szCs w:val="21"/>
                    </w:rPr>
                    <w:t xml:space="preserve"> m</w:t>
                  </w:r>
                  <w:r>
                    <w:rPr>
                      <w:color w:val="000000"/>
                      <w:sz w:val="21"/>
                      <w:szCs w:val="21"/>
                      <w:vertAlign w:val="superscript"/>
                    </w:rPr>
                    <w:t>2</w:t>
                  </w:r>
                </w:p>
              </w:tc>
              <w:tc>
                <w:tcPr>
                  <w:tcW w:w="1447" w:type="pct"/>
                  <w:vAlign w:val="center"/>
                </w:tcPr>
                <w:p>
                  <w:pPr>
                    <w:pStyle w:val="259"/>
                    <w:adjustRightInd w:val="0"/>
                    <w:snapToGrid w:val="0"/>
                    <w:jc w:val="center"/>
                    <w:rPr>
                      <w:color w:val="000000"/>
                      <w:sz w:val="21"/>
                      <w:szCs w:val="21"/>
                    </w:rPr>
                  </w:pPr>
                  <w:r>
                    <w:rPr>
                      <w:color w:val="000000"/>
                      <w:sz w:val="21"/>
                      <w:szCs w:val="21"/>
                    </w:rPr>
                    <w:t>单层，建筑面积224</w:t>
                  </w:r>
                  <w:r>
                    <w:rPr>
                      <w:rFonts w:hint="eastAsia"/>
                      <w:color w:val="000000"/>
                      <w:sz w:val="21"/>
                      <w:szCs w:val="21"/>
                    </w:rPr>
                    <w:t xml:space="preserve"> m</w:t>
                  </w:r>
                  <w:r>
                    <w:rPr>
                      <w:color w:val="000000"/>
                      <w:sz w:val="21"/>
                      <w:szCs w:val="21"/>
                      <w:vertAlign w:val="superscript"/>
                    </w:rPr>
                    <w:t>2</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食堂</w:t>
                  </w:r>
                </w:p>
              </w:tc>
              <w:tc>
                <w:tcPr>
                  <w:tcW w:w="2024" w:type="pct"/>
                  <w:vAlign w:val="center"/>
                </w:tcPr>
                <w:p>
                  <w:pPr>
                    <w:pStyle w:val="259"/>
                    <w:adjustRightInd w:val="0"/>
                    <w:snapToGrid w:val="0"/>
                    <w:jc w:val="center"/>
                    <w:rPr>
                      <w:color w:val="000000"/>
                      <w:sz w:val="21"/>
                      <w:szCs w:val="21"/>
                    </w:rPr>
                  </w:pPr>
                  <w:r>
                    <w:rPr>
                      <w:color w:val="000000"/>
                      <w:sz w:val="21"/>
                      <w:szCs w:val="21"/>
                    </w:rPr>
                    <w:t>单层，建筑面积200</w:t>
                  </w:r>
                  <w:r>
                    <w:rPr>
                      <w:rFonts w:hint="eastAsia"/>
                      <w:color w:val="000000"/>
                      <w:sz w:val="21"/>
                      <w:szCs w:val="21"/>
                    </w:rPr>
                    <w:t xml:space="preserve"> m</w:t>
                  </w:r>
                  <w:r>
                    <w:rPr>
                      <w:color w:val="000000"/>
                      <w:sz w:val="21"/>
                      <w:szCs w:val="21"/>
                      <w:vertAlign w:val="superscript"/>
                    </w:rPr>
                    <w:t>2</w:t>
                  </w:r>
                </w:p>
              </w:tc>
              <w:tc>
                <w:tcPr>
                  <w:tcW w:w="1447" w:type="pct"/>
                  <w:vAlign w:val="center"/>
                </w:tcPr>
                <w:p>
                  <w:pPr>
                    <w:pStyle w:val="259"/>
                    <w:adjustRightInd w:val="0"/>
                    <w:snapToGrid w:val="0"/>
                    <w:jc w:val="center"/>
                    <w:rPr>
                      <w:color w:val="000000"/>
                      <w:sz w:val="21"/>
                      <w:szCs w:val="21"/>
                    </w:rPr>
                  </w:pPr>
                  <w:r>
                    <w:rPr>
                      <w:color w:val="000000"/>
                      <w:sz w:val="21"/>
                      <w:szCs w:val="21"/>
                    </w:rPr>
                    <w:t>单层，建筑面积200</w:t>
                  </w:r>
                  <w:r>
                    <w:rPr>
                      <w:rFonts w:hint="eastAsia"/>
                      <w:color w:val="000000"/>
                      <w:sz w:val="21"/>
                      <w:szCs w:val="21"/>
                    </w:rPr>
                    <w:t xml:space="preserve"> m</w:t>
                  </w:r>
                  <w:r>
                    <w:rPr>
                      <w:color w:val="000000"/>
                      <w:sz w:val="21"/>
                      <w:szCs w:val="21"/>
                      <w:vertAlign w:val="superscript"/>
                    </w:rPr>
                    <w:t>2</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配电室</w:t>
                  </w:r>
                </w:p>
              </w:tc>
              <w:tc>
                <w:tcPr>
                  <w:tcW w:w="2024" w:type="pct"/>
                  <w:vAlign w:val="center"/>
                </w:tcPr>
                <w:p>
                  <w:pPr>
                    <w:pStyle w:val="259"/>
                    <w:adjustRightInd w:val="0"/>
                    <w:snapToGrid w:val="0"/>
                    <w:jc w:val="center"/>
                    <w:rPr>
                      <w:color w:val="000000"/>
                      <w:sz w:val="21"/>
                      <w:szCs w:val="21"/>
                    </w:rPr>
                  </w:pPr>
                  <w:r>
                    <w:rPr>
                      <w:color w:val="000000"/>
                      <w:sz w:val="21"/>
                      <w:szCs w:val="21"/>
                    </w:rPr>
                    <w:t>单层，建筑面积60</w:t>
                  </w:r>
                  <w:r>
                    <w:rPr>
                      <w:rFonts w:hint="eastAsia"/>
                      <w:color w:val="000000"/>
                      <w:sz w:val="21"/>
                      <w:szCs w:val="21"/>
                    </w:rPr>
                    <w:t xml:space="preserve"> m</w:t>
                  </w:r>
                  <w:r>
                    <w:rPr>
                      <w:color w:val="000000"/>
                      <w:sz w:val="21"/>
                      <w:szCs w:val="21"/>
                      <w:vertAlign w:val="superscript"/>
                    </w:rPr>
                    <w:t>2</w:t>
                  </w:r>
                </w:p>
              </w:tc>
              <w:tc>
                <w:tcPr>
                  <w:tcW w:w="1447" w:type="pct"/>
                  <w:vAlign w:val="center"/>
                </w:tcPr>
                <w:p>
                  <w:pPr>
                    <w:pStyle w:val="259"/>
                    <w:adjustRightInd w:val="0"/>
                    <w:snapToGrid w:val="0"/>
                    <w:jc w:val="center"/>
                    <w:rPr>
                      <w:color w:val="000000"/>
                      <w:sz w:val="21"/>
                      <w:szCs w:val="21"/>
                    </w:rPr>
                  </w:pPr>
                  <w:r>
                    <w:rPr>
                      <w:color w:val="000000"/>
                      <w:sz w:val="21"/>
                      <w:szCs w:val="21"/>
                    </w:rPr>
                    <w:t>单层，建筑面积60</w:t>
                  </w:r>
                  <w:r>
                    <w:rPr>
                      <w:rFonts w:hint="eastAsia"/>
                      <w:color w:val="000000"/>
                      <w:sz w:val="21"/>
                      <w:szCs w:val="21"/>
                    </w:rPr>
                    <w:t xml:space="preserve"> m</w:t>
                  </w:r>
                  <w:r>
                    <w:rPr>
                      <w:color w:val="000000"/>
                      <w:sz w:val="21"/>
                      <w:szCs w:val="21"/>
                      <w:vertAlign w:val="superscript"/>
                    </w:rPr>
                    <w:t>2</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磅房</w:t>
                  </w:r>
                </w:p>
              </w:tc>
              <w:tc>
                <w:tcPr>
                  <w:tcW w:w="2024" w:type="pct"/>
                  <w:vAlign w:val="center"/>
                </w:tcPr>
                <w:p>
                  <w:pPr>
                    <w:pStyle w:val="259"/>
                    <w:adjustRightInd w:val="0"/>
                    <w:snapToGrid w:val="0"/>
                    <w:jc w:val="center"/>
                    <w:rPr>
                      <w:color w:val="000000"/>
                      <w:sz w:val="21"/>
                      <w:szCs w:val="21"/>
                    </w:rPr>
                  </w:pPr>
                  <w:r>
                    <w:rPr>
                      <w:color w:val="000000"/>
                      <w:sz w:val="21"/>
                      <w:szCs w:val="21"/>
                    </w:rPr>
                    <w:t>单层，建筑面积50</w:t>
                  </w:r>
                  <w:r>
                    <w:rPr>
                      <w:rFonts w:hint="eastAsia"/>
                      <w:color w:val="000000"/>
                      <w:sz w:val="21"/>
                      <w:szCs w:val="21"/>
                    </w:rPr>
                    <w:t xml:space="preserve"> m</w:t>
                  </w:r>
                  <w:r>
                    <w:rPr>
                      <w:color w:val="000000"/>
                      <w:sz w:val="21"/>
                      <w:szCs w:val="21"/>
                      <w:vertAlign w:val="superscript"/>
                    </w:rPr>
                    <w:t>2</w:t>
                  </w:r>
                </w:p>
              </w:tc>
              <w:tc>
                <w:tcPr>
                  <w:tcW w:w="1447" w:type="pct"/>
                  <w:vAlign w:val="center"/>
                </w:tcPr>
                <w:p>
                  <w:pPr>
                    <w:pStyle w:val="259"/>
                    <w:adjustRightInd w:val="0"/>
                    <w:snapToGrid w:val="0"/>
                    <w:jc w:val="center"/>
                    <w:rPr>
                      <w:color w:val="000000"/>
                      <w:sz w:val="21"/>
                      <w:szCs w:val="21"/>
                    </w:rPr>
                  </w:pPr>
                  <w:r>
                    <w:rPr>
                      <w:color w:val="000000"/>
                      <w:sz w:val="21"/>
                      <w:szCs w:val="21"/>
                    </w:rPr>
                    <w:t>单层，建筑面积50</w:t>
                  </w:r>
                  <w:r>
                    <w:rPr>
                      <w:rFonts w:hint="eastAsia"/>
                      <w:color w:val="000000"/>
                      <w:sz w:val="21"/>
                      <w:szCs w:val="21"/>
                    </w:rPr>
                    <w:t xml:space="preserve"> m</w:t>
                  </w:r>
                  <w:r>
                    <w:rPr>
                      <w:color w:val="000000"/>
                      <w:sz w:val="21"/>
                      <w:szCs w:val="21"/>
                      <w:vertAlign w:val="superscript"/>
                    </w:rPr>
                    <w:t>2</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restart"/>
                  <w:vAlign w:val="center"/>
                </w:tcPr>
                <w:p>
                  <w:pPr>
                    <w:pStyle w:val="259"/>
                    <w:adjustRightInd w:val="0"/>
                    <w:snapToGrid w:val="0"/>
                    <w:jc w:val="center"/>
                    <w:rPr>
                      <w:color w:val="000000"/>
                      <w:sz w:val="21"/>
                      <w:szCs w:val="21"/>
                    </w:rPr>
                  </w:pPr>
                  <w:r>
                    <w:rPr>
                      <w:color w:val="000000"/>
                      <w:sz w:val="21"/>
                      <w:szCs w:val="21"/>
                    </w:rPr>
                    <w:t>环保</w:t>
                  </w:r>
                </w:p>
                <w:p>
                  <w:pPr>
                    <w:pStyle w:val="259"/>
                    <w:adjustRightInd w:val="0"/>
                    <w:snapToGrid w:val="0"/>
                    <w:jc w:val="center"/>
                    <w:rPr>
                      <w:color w:val="000000"/>
                      <w:sz w:val="21"/>
                      <w:szCs w:val="21"/>
                    </w:rPr>
                  </w:pPr>
                  <w:r>
                    <w:rPr>
                      <w:color w:val="000000"/>
                      <w:sz w:val="21"/>
                      <w:szCs w:val="21"/>
                    </w:rPr>
                    <w:t>工程</w:t>
                  </w:r>
                </w:p>
              </w:tc>
              <w:tc>
                <w:tcPr>
                  <w:tcW w:w="257" w:type="pct"/>
                  <w:vMerge w:val="restart"/>
                  <w:vAlign w:val="center"/>
                </w:tcPr>
                <w:p>
                  <w:pPr>
                    <w:pStyle w:val="259"/>
                    <w:adjustRightInd w:val="0"/>
                    <w:snapToGrid w:val="0"/>
                    <w:jc w:val="center"/>
                    <w:rPr>
                      <w:color w:val="000000"/>
                      <w:sz w:val="21"/>
                      <w:szCs w:val="21"/>
                    </w:rPr>
                  </w:pPr>
                  <w:r>
                    <w:rPr>
                      <w:color w:val="000000"/>
                      <w:sz w:val="21"/>
                      <w:szCs w:val="21"/>
                    </w:rPr>
                    <w:t>废气治理</w:t>
                  </w:r>
                </w:p>
              </w:tc>
              <w:tc>
                <w:tcPr>
                  <w:tcW w:w="592" w:type="pct"/>
                  <w:vAlign w:val="center"/>
                </w:tcPr>
                <w:p>
                  <w:pPr>
                    <w:pStyle w:val="259"/>
                    <w:adjustRightInd w:val="0"/>
                    <w:snapToGrid w:val="0"/>
                    <w:jc w:val="center"/>
                    <w:rPr>
                      <w:color w:val="000000"/>
                      <w:sz w:val="21"/>
                      <w:szCs w:val="21"/>
                    </w:rPr>
                  </w:pPr>
                  <w:r>
                    <w:rPr>
                      <w:color w:val="000000"/>
                      <w:sz w:val="21"/>
                      <w:szCs w:val="21"/>
                    </w:rPr>
                    <w:t>破碎车间</w:t>
                  </w:r>
                </w:p>
              </w:tc>
              <w:tc>
                <w:tcPr>
                  <w:tcW w:w="2024" w:type="pct"/>
                  <w:vAlign w:val="center"/>
                </w:tcPr>
                <w:p>
                  <w:pPr>
                    <w:pStyle w:val="259"/>
                    <w:adjustRightInd w:val="0"/>
                    <w:snapToGrid w:val="0"/>
                    <w:jc w:val="center"/>
                    <w:rPr>
                      <w:color w:val="000000"/>
                      <w:sz w:val="21"/>
                      <w:szCs w:val="21"/>
                    </w:rPr>
                  </w:pPr>
                  <w:r>
                    <w:rPr>
                      <w:color w:val="000000"/>
                      <w:sz w:val="21"/>
                      <w:szCs w:val="21"/>
                    </w:rPr>
                    <w:t>设置1套集气罩+低压脉冲袋式除尘器</w:t>
                  </w:r>
                </w:p>
              </w:tc>
              <w:tc>
                <w:tcPr>
                  <w:tcW w:w="1447" w:type="pct"/>
                  <w:vAlign w:val="center"/>
                </w:tcPr>
                <w:p>
                  <w:pPr>
                    <w:pStyle w:val="259"/>
                    <w:adjustRightInd w:val="0"/>
                    <w:snapToGrid w:val="0"/>
                    <w:jc w:val="center"/>
                    <w:rPr>
                      <w:color w:val="000000"/>
                      <w:sz w:val="21"/>
                      <w:szCs w:val="21"/>
                    </w:rPr>
                  </w:pPr>
                  <w:r>
                    <w:rPr>
                      <w:color w:val="000000"/>
                      <w:sz w:val="21"/>
                      <w:szCs w:val="21"/>
                    </w:rPr>
                    <w:t>1套集气罩+低压脉冲袋式除尘器</w:t>
                  </w:r>
                  <w:r>
                    <w:rPr>
                      <w:rFonts w:hint="eastAsia"/>
                      <w:color w:val="000000"/>
                      <w:sz w:val="21"/>
                      <w:szCs w:val="21"/>
                    </w:rPr>
                    <w:t>+15m高排气筒</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257" w:type="pct"/>
                  <w:vMerge w:val="continue"/>
                  <w:vAlign w:val="center"/>
                </w:tcPr>
                <w:p>
                  <w:pPr>
                    <w:pStyle w:val="259"/>
                    <w:adjustRightInd w:val="0"/>
                    <w:snapToGrid w:val="0"/>
                    <w:jc w:val="center"/>
                    <w:rPr>
                      <w:color w:val="000000"/>
                      <w:sz w:val="21"/>
                      <w:szCs w:val="21"/>
                    </w:rPr>
                  </w:pPr>
                </w:p>
              </w:tc>
              <w:tc>
                <w:tcPr>
                  <w:tcW w:w="592" w:type="pct"/>
                  <w:vAlign w:val="center"/>
                </w:tcPr>
                <w:p>
                  <w:pPr>
                    <w:pStyle w:val="259"/>
                    <w:adjustRightInd w:val="0"/>
                    <w:snapToGrid w:val="0"/>
                    <w:jc w:val="center"/>
                    <w:rPr>
                      <w:color w:val="000000"/>
                      <w:sz w:val="21"/>
                      <w:szCs w:val="21"/>
                    </w:rPr>
                  </w:pPr>
                  <w:r>
                    <w:rPr>
                      <w:color w:val="000000"/>
                      <w:sz w:val="21"/>
                      <w:szCs w:val="21"/>
                    </w:rPr>
                    <w:t>原矿库</w:t>
                  </w:r>
                </w:p>
              </w:tc>
              <w:tc>
                <w:tcPr>
                  <w:tcW w:w="2024" w:type="pct"/>
                  <w:vAlign w:val="center"/>
                </w:tcPr>
                <w:p>
                  <w:pPr>
                    <w:pStyle w:val="259"/>
                    <w:adjustRightInd w:val="0"/>
                    <w:snapToGrid w:val="0"/>
                    <w:jc w:val="center"/>
                    <w:rPr>
                      <w:color w:val="000000"/>
                      <w:sz w:val="21"/>
                      <w:szCs w:val="21"/>
                    </w:rPr>
                  </w:pPr>
                  <w:r>
                    <w:rPr>
                      <w:color w:val="000000"/>
                      <w:sz w:val="21"/>
                      <w:szCs w:val="21"/>
                    </w:rPr>
                    <w:t>场地硬化，防渗，设置全封闭结构（25m×40m×5m）</w:t>
                  </w:r>
                </w:p>
              </w:tc>
              <w:tc>
                <w:tcPr>
                  <w:tcW w:w="1447" w:type="pct"/>
                  <w:vAlign w:val="center"/>
                </w:tcPr>
                <w:p>
                  <w:pPr>
                    <w:pStyle w:val="259"/>
                    <w:adjustRightInd w:val="0"/>
                    <w:snapToGrid w:val="0"/>
                    <w:jc w:val="center"/>
                    <w:rPr>
                      <w:color w:val="000000"/>
                      <w:sz w:val="21"/>
                      <w:szCs w:val="21"/>
                    </w:rPr>
                  </w:pPr>
                  <w:r>
                    <w:rPr>
                      <w:color w:val="000000"/>
                      <w:sz w:val="21"/>
                      <w:szCs w:val="21"/>
                    </w:rPr>
                    <w:t>全封闭结构（25m×40m×5m）</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257" w:type="pct"/>
                  <w:vMerge w:val="continue"/>
                  <w:vAlign w:val="center"/>
                </w:tcPr>
                <w:p>
                  <w:pPr>
                    <w:pStyle w:val="259"/>
                    <w:adjustRightInd w:val="0"/>
                    <w:snapToGrid w:val="0"/>
                    <w:jc w:val="center"/>
                    <w:rPr>
                      <w:color w:val="000000"/>
                      <w:sz w:val="21"/>
                      <w:szCs w:val="21"/>
                    </w:rPr>
                  </w:pPr>
                </w:p>
              </w:tc>
              <w:tc>
                <w:tcPr>
                  <w:tcW w:w="592" w:type="pct"/>
                  <w:vAlign w:val="center"/>
                </w:tcPr>
                <w:p>
                  <w:pPr>
                    <w:pStyle w:val="259"/>
                    <w:adjustRightInd w:val="0"/>
                    <w:snapToGrid w:val="0"/>
                    <w:jc w:val="center"/>
                    <w:rPr>
                      <w:color w:val="000000"/>
                      <w:sz w:val="21"/>
                      <w:szCs w:val="21"/>
                    </w:rPr>
                  </w:pPr>
                  <w:r>
                    <w:rPr>
                      <w:color w:val="000000"/>
                      <w:sz w:val="21"/>
                      <w:szCs w:val="21"/>
                    </w:rPr>
                    <w:t>精矿库</w:t>
                  </w:r>
                </w:p>
              </w:tc>
              <w:tc>
                <w:tcPr>
                  <w:tcW w:w="2024" w:type="pct"/>
                  <w:vAlign w:val="center"/>
                </w:tcPr>
                <w:p>
                  <w:pPr>
                    <w:pStyle w:val="259"/>
                    <w:adjustRightInd w:val="0"/>
                    <w:snapToGrid w:val="0"/>
                    <w:jc w:val="center"/>
                    <w:rPr>
                      <w:color w:val="000000"/>
                      <w:sz w:val="21"/>
                      <w:szCs w:val="21"/>
                    </w:rPr>
                  </w:pPr>
                  <w:r>
                    <w:rPr>
                      <w:color w:val="000000"/>
                      <w:sz w:val="21"/>
                      <w:szCs w:val="21"/>
                    </w:rPr>
                    <w:t>场地硬化，防渗，设置全封闭结构（20m×15m×5m）</w:t>
                  </w:r>
                </w:p>
              </w:tc>
              <w:tc>
                <w:tcPr>
                  <w:tcW w:w="1447" w:type="pct"/>
                  <w:vAlign w:val="center"/>
                </w:tcPr>
                <w:p>
                  <w:pPr>
                    <w:pStyle w:val="259"/>
                    <w:adjustRightInd w:val="0"/>
                    <w:snapToGrid w:val="0"/>
                    <w:jc w:val="center"/>
                    <w:rPr>
                      <w:color w:val="000000"/>
                      <w:sz w:val="21"/>
                      <w:szCs w:val="21"/>
                    </w:rPr>
                  </w:pPr>
                  <w:r>
                    <w:rPr>
                      <w:color w:val="000000"/>
                      <w:sz w:val="21"/>
                      <w:szCs w:val="21"/>
                    </w:rPr>
                    <w:t>全封闭结构（20m×15m×5m）</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257" w:type="pct"/>
                  <w:vMerge w:val="continue"/>
                  <w:vAlign w:val="center"/>
                </w:tcPr>
                <w:p>
                  <w:pPr>
                    <w:pStyle w:val="259"/>
                    <w:adjustRightInd w:val="0"/>
                    <w:snapToGrid w:val="0"/>
                    <w:jc w:val="center"/>
                    <w:rPr>
                      <w:color w:val="000000"/>
                      <w:sz w:val="21"/>
                      <w:szCs w:val="21"/>
                    </w:rPr>
                  </w:pPr>
                </w:p>
              </w:tc>
              <w:tc>
                <w:tcPr>
                  <w:tcW w:w="592" w:type="pct"/>
                  <w:vAlign w:val="center"/>
                </w:tcPr>
                <w:p>
                  <w:pPr>
                    <w:pStyle w:val="259"/>
                    <w:adjustRightInd w:val="0"/>
                    <w:snapToGrid w:val="0"/>
                    <w:jc w:val="center"/>
                    <w:rPr>
                      <w:color w:val="000000"/>
                      <w:sz w:val="21"/>
                      <w:szCs w:val="21"/>
                    </w:rPr>
                  </w:pPr>
                  <w:r>
                    <w:rPr>
                      <w:color w:val="000000"/>
                      <w:sz w:val="21"/>
                      <w:szCs w:val="21"/>
                    </w:rPr>
                    <w:t>尾矿暂存库</w:t>
                  </w:r>
                </w:p>
              </w:tc>
              <w:tc>
                <w:tcPr>
                  <w:tcW w:w="2024" w:type="pct"/>
                  <w:vAlign w:val="center"/>
                </w:tcPr>
                <w:p>
                  <w:pPr>
                    <w:pStyle w:val="259"/>
                    <w:adjustRightInd w:val="0"/>
                    <w:snapToGrid w:val="0"/>
                    <w:jc w:val="center"/>
                    <w:rPr>
                      <w:color w:val="000000"/>
                      <w:sz w:val="21"/>
                      <w:szCs w:val="21"/>
                    </w:rPr>
                  </w:pPr>
                  <w:r>
                    <w:rPr>
                      <w:color w:val="000000"/>
                      <w:sz w:val="21"/>
                      <w:szCs w:val="21"/>
                    </w:rPr>
                    <w:t>场地硬化，防渗，设置全封闭结构（12m×8m×8m）</w:t>
                  </w:r>
                </w:p>
              </w:tc>
              <w:tc>
                <w:tcPr>
                  <w:tcW w:w="1447" w:type="pct"/>
                  <w:vAlign w:val="center"/>
                </w:tcPr>
                <w:p>
                  <w:pPr>
                    <w:pStyle w:val="259"/>
                    <w:adjustRightInd w:val="0"/>
                    <w:snapToGrid w:val="0"/>
                    <w:jc w:val="center"/>
                    <w:rPr>
                      <w:color w:val="000000"/>
                      <w:sz w:val="21"/>
                      <w:szCs w:val="21"/>
                    </w:rPr>
                  </w:pPr>
                  <w:r>
                    <w:rPr>
                      <w:color w:val="000000"/>
                      <w:sz w:val="21"/>
                      <w:szCs w:val="21"/>
                    </w:rPr>
                    <w:t>全封闭结构（12m×8m×8m）</w:t>
                  </w:r>
                </w:p>
              </w:tc>
              <w:tc>
                <w:tcPr>
                  <w:tcW w:w="378" w:type="pct"/>
                  <w:vAlign w:val="center"/>
                </w:tcPr>
                <w:p>
                  <w:pPr>
                    <w:pStyle w:val="259"/>
                    <w:adjustRightInd w:val="0"/>
                    <w:snapToGrid w:val="0"/>
                    <w:jc w:val="center"/>
                    <w:rPr>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257" w:type="pct"/>
                  <w:vMerge w:val="continue"/>
                  <w:vAlign w:val="center"/>
                </w:tcPr>
                <w:p>
                  <w:pPr>
                    <w:pStyle w:val="259"/>
                    <w:adjustRightInd w:val="0"/>
                    <w:snapToGrid w:val="0"/>
                    <w:jc w:val="center"/>
                    <w:rPr>
                      <w:color w:val="000000"/>
                      <w:sz w:val="21"/>
                      <w:szCs w:val="21"/>
                    </w:rPr>
                  </w:pPr>
                </w:p>
              </w:tc>
              <w:tc>
                <w:tcPr>
                  <w:tcW w:w="592" w:type="pct"/>
                  <w:vAlign w:val="center"/>
                </w:tcPr>
                <w:p>
                  <w:pPr>
                    <w:pStyle w:val="259"/>
                    <w:adjustRightInd w:val="0"/>
                    <w:snapToGrid w:val="0"/>
                    <w:jc w:val="center"/>
                    <w:rPr>
                      <w:color w:val="000000"/>
                      <w:sz w:val="21"/>
                      <w:szCs w:val="21"/>
                    </w:rPr>
                  </w:pPr>
                  <w:r>
                    <w:rPr>
                      <w:color w:val="000000"/>
                      <w:sz w:val="21"/>
                      <w:szCs w:val="21"/>
                    </w:rPr>
                    <w:t>物料转载</w:t>
                  </w:r>
                </w:p>
              </w:tc>
              <w:tc>
                <w:tcPr>
                  <w:tcW w:w="2024" w:type="pct"/>
                  <w:vAlign w:val="center"/>
                </w:tcPr>
                <w:p>
                  <w:pPr>
                    <w:pStyle w:val="259"/>
                    <w:adjustRightInd w:val="0"/>
                    <w:snapToGrid w:val="0"/>
                    <w:jc w:val="center"/>
                    <w:rPr>
                      <w:color w:val="000000"/>
                      <w:sz w:val="21"/>
                      <w:szCs w:val="21"/>
                    </w:rPr>
                  </w:pPr>
                  <w:r>
                    <w:rPr>
                      <w:color w:val="000000"/>
                      <w:sz w:val="21"/>
                      <w:szCs w:val="21"/>
                    </w:rPr>
                    <w:t>全封闭皮带机</w:t>
                  </w:r>
                </w:p>
              </w:tc>
              <w:tc>
                <w:tcPr>
                  <w:tcW w:w="1447" w:type="pct"/>
                  <w:vAlign w:val="center"/>
                </w:tcPr>
                <w:p>
                  <w:pPr>
                    <w:pStyle w:val="259"/>
                    <w:adjustRightInd w:val="0"/>
                    <w:snapToGrid w:val="0"/>
                    <w:jc w:val="center"/>
                    <w:rPr>
                      <w:color w:val="000000"/>
                      <w:sz w:val="21"/>
                      <w:szCs w:val="21"/>
                    </w:rPr>
                  </w:pPr>
                  <w:r>
                    <w:rPr>
                      <w:color w:val="000000"/>
                      <w:sz w:val="21"/>
                      <w:szCs w:val="21"/>
                    </w:rPr>
                    <w:t>全封闭皮带机</w:t>
                  </w:r>
                </w:p>
              </w:tc>
              <w:tc>
                <w:tcPr>
                  <w:tcW w:w="378" w:type="pct"/>
                  <w:vAlign w:val="center"/>
                </w:tcPr>
                <w:p>
                  <w:pPr>
                    <w:pStyle w:val="259"/>
                    <w:adjustRightInd w:val="0"/>
                    <w:snapToGrid w:val="0"/>
                    <w:jc w:val="center"/>
                    <w:rPr>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257" w:type="pct"/>
                  <w:vMerge w:val="continue"/>
                  <w:vAlign w:val="center"/>
                </w:tcPr>
                <w:p>
                  <w:pPr>
                    <w:pStyle w:val="259"/>
                    <w:adjustRightInd w:val="0"/>
                    <w:snapToGrid w:val="0"/>
                    <w:jc w:val="center"/>
                    <w:rPr>
                      <w:color w:val="000000"/>
                      <w:sz w:val="21"/>
                      <w:szCs w:val="21"/>
                    </w:rPr>
                  </w:pPr>
                </w:p>
              </w:tc>
              <w:tc>
                <w:tcPr>
                  <w:tcW w:w="592" w:type="pct"/>
                  <w:vAlign w:val="center"/>
                </w:tcPr>
                <w:p>
                  <w:pPr>
                    <w:pStyle w:val="259"/>
                    <w:adjustRightInd w:val="0"/>
                    <w:snapToGrid w:val="0"/>
                    <w:jc w:val="center"/>
                    <w:rPr>
                      <w:color w:val="000000"/>
                      <w:sz w:val="21"/>
                      <w:szCs w:val="21"/>
                    </w:rPr>
                  </w:pPr>
                  <w:r>
                    <w:rPr>
                      <w:color w:val="000000"/>
                      <w:sz w:val="21"/>
                      <w:szCs w:val="21"/>
                    </w:rPr>
                    <w:t>运输</w:t>
                  </w:r>
                </w:p>
              </w:tc>
              <w:tc>
                <w:tcPr>
                  <w:tcW w:w="2024" w:type="pct"/>
                  <w:vAlign w:val="center"/>
                </w:tcPr>
                <w:p>
                  <w:pPr>
                    <w:pStyle w:val="259"/>
                    <w:adjustRightInd w:val="0"/>
                    <w:snapToGrid w:val="0"/>
                    <w:jc w:val="center"/>
                    <w:rPr>
                      <w:color w:val="000000"/>
                      <w:sz w:val="21"/>
                      <w:szCs w:val="21"/>
                    </w:rPr>
                  </w:pPr>
                  <w:r>
                    <w:rPr>
                      <w:color w:val="000000"/>
                      <w:sz w:val="21"/>
                      <w:szCs w:val="21"/>
                    </w:rPr>
                    <w:t>道路硬化，及时清扫，洒水抑尘，加盖篷布等</w:t>
                  </w:r>
                </w:p>
              </w:tc>
              <w:tc>
                <w:tcPr>
                  <w:tcW w:w="1447" w:type="pct"/>
                  <w:vAlign w:val="center"/>
                </w:tcPr>
                <w:p>
                  <w:pPr>
                    <w:pStyle w:val="259"/>
                    <w:adjustRightInd w:val="0"/>
                    <w:snapToGrid w:val="0"/>
                    <w:jc w:val="center"/>
                    <w:rPr>
                      <w:color w:val="000000"/>
                      <w:sz w:val="21"/>
                      <w:szCs w:val="21"/>
                    </w:rPr>
                  </w:pPr>
                  <w:r>
                    <w:rPr>
                      <w:color w:val="000000"/>
                      <w:sz w:val="21"/>
                      <w:szCs w:val="21"/>
                    </w:rPr>
                    <w:t>道路硬化，及时清扫，洒水抑尘，</w:t>
                  </w:r>
                  <w:r>
                    <w:rPr>
                      <w:rFonts w:hint="eastAsia"/>
                      <w:color w:val="000000"/>
                      <w:sz w:val="21"/>
                      <w:szCs w:val="21"/>
                    </w:rPr>
                    <w:t>运输车</w:t>
                  </w:r>
                  <w:r>
                    <w:rPr>
                      <w:color w:val="000000"/>
                      <w:sz w:val="21"/>
                      <w:szCs w:val="21"/>
                    </w:rPr>
                    <w:t>加盖篷布等</w:t>
                  </w:r>
                </w:p>
              </w:tc>
              <w:tc>
                <w:tcPr>
                  <w:tcW w:w="378" w:type="pct"/>
                  <w:vAlign w:val="center"/>
                </w:tcPr>
                <w:p>
                  <w:pPr>
                    <w:pStyle w:val="259"/>
                    <w:adjustRightInd w:val="0"/>
                    <w:snapToGrid w:val="0"/>
                    <w:jc w:val="center"/>
                    <w:rPr>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257" w:type="pct"/>
                  <w:vMerge w:val="continue"/>
                  <w:vAlign w:val="center"/>
                </w:tcPr>
                <w:p>
                  <w:pPr>
                    <w:pStyle w:val="259"/>
                    <w:adjustRightInd w:val="0"/>
                    <w:snapToGrid w:val="0"/>
                    <w:jc w:val="center"/>
                    <w:rPr>
                      <w:color w:val="000000"/>
                      <w:sz w:val="21"/>
                      <w:szCs w:val="21"/>
                    </w:rPr>
                  </w:pPr>
                </w:p>
              </w:tc>
              <w:tc>
                <w:tcPr>
                  <w:tcW w:w="592" w:type="pct"/>
                  <w:vAlign w:val="center"/>
                </w:tcPr>
                <w:p>
                  <w:pPr>
                    <w:pStyle w:val="259"/>
                    <w:adjustRightInd w:val="0"/>
                    <w:snapToGrid w:val="0"/>
                    <w:jc w:val="center"/>
                    <w:rPr>
                      <w:color w:val="000000"/>
                      <w:sz w:val="21"/>
                      <w:szCs w:val="21"/>
                    </w:rPr>
                  </w:pPr>
                  <w:r>
                    <w:rPr>
                      <w:color w:val="000000"/>
                      <w:sz w:val="21"/>
                      <w:szCs w:val="21"/>
                    </w:rPr>
                    <w:t>食堂油烟</w:t>
                  </w:r>
                </w:p>
              </w:tc>
              <w:tc>
                <w:tcPr>
                  <w:tcW w:w="2024" w:type="pct"/>
                  <w:vAlign w:val="center"/>
                </w:tcPr>
                <w:p>
                  <w:pPr>
                    <w:pStyle w:val="259"/>
                    <w:adjustRightInd w:val="0"/>
                    <w:snapToGrid w:val="0"/>
                    <w:jc w:val="center"/>
                    <w:rPr>
                      <w:color w:val="000000"/>
                      <w:sz w:val="21"/>
                      <w:szCs w:val="21"/>
                    </w:rPr>
                  </w:pPr>
                  <w:r>
                    <w:rPr>
                      <w:color w:val="000000"/>
                      <w:sz w:val="21"/>
                      <w:szCs w:val="21"/>
                    </w:rPr>
                    <w:t>油烟净化设施，净化效率</w:t>
                  </w:r>
                  <w:r>
                    <w:rPr>
                      <w:rFonts w:hint="eastAsia"/>
                      <w:color w:val="000000"/>
                      <w:sz w:val="21"/>
                      <w:szCs w:val="21"/>
                    </w:rPr>
                    <w:t>≥</w:t>
                  </w:r>
                  <w:r>
                    <w:rPr>
                      <w:color w:val="000000"/>
                      <w:sz w:val="21"/>
                      <w:szCs w:val="21"/>
                    </w:rPr>
                    <w:t>60%</w:t>
                  </w:r>
                </w:p>
              </w:tc>
              <w:tc>
                <w:tcPr>
                  <w:tcW w:w="1447" w:type="pct"/>
                  <w:vAlign w:val="center"/>
                </w:tcPr>
                <w:p>
                  <w:pPr>
                    <w:pStyle w:val="259"/>
                    <w:adjustRightInd w:val="0"/>
                    <w:snapToGrid w:val="0"/>
                    <w:jc w:val="center"/>
                    <w:rPr>
                      <w:color w:val="000000"/>
                      <w:sz w:val="21"/>
                      <w:szCs w:val="21"/>
                    </w:rPr>
                  </w:pPr>
                  <w:r>
                    <w:rPr>
                      <w:color w:val="000000"/>
                      <w:sz w:val="21"/>
                      <w:szCs w:val="21"/>
                    </w:rPr>
                    <w:t>油烟净化设施，净化效率</w:t>
                  </w:r>
                  <w:r>
                    <w:rPr>
                      <w:rFonts w:hint="eastAsia"/>
                      <w:color w:val="000000"/>
                      <w:sz w:val="21"/>
                      <w:szCs w:val="21"/>
                    </w:rPr>
                    <w:t>65</w:t>
                  </w:r>
                  <w:r>
                    <w:rPr>
                      <w:color w:val="000000"/>
                      <w:sz w:val="21"/>
                      <w:szCs w:val="21"/>
                    </w:rPr>
                    <w:t>%</w:t>
                  </w:r>
                </w:p>
              </w:tc>
              <w:tc>
                <w:tcPr>
                  <w:tcW w:w="378" w:type="pct"/>
                  <w:vAlign w:val="center"/>
                </w:tcPr>
                <w:p>
                  <w:pPr>
                    <w:pStyle w:val="259"/>
                    <w:adjustRightInd w:val="0"/>
                    <w:snapToGrid w:val="0"/>
                    <w:jc w:val="center"/>
                    <w:rPr>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257" w:type="pct"/>
                  <w:vMerge w:val="restart"/>
                  <w:vAlign w:val="center"/>
                </w:tcPr>
                <w:p>
                  <w:pPr>
                    <w:pStyle w:val="259"/>
                    <w:adjustRightInd w:val="0"/>
                    <w:snapToGrid w:val="0"/>
                    <w:jc w:val="center"/>
                    <w:rPr>
                      <w:color w:val="000000"/>
                      <w:sz w:val="21"/>
                      <w:szCs w:val="21"/>
                    </w:rPr>
                  </w:pPr>
                  <w:r>
                    <w:rPr>
                      <w:color w:val="000000"/>
                      <w:sz w:val="21"/>
                      <w:szCs w:val="21"/>
                    </w:rPr>
                    <w:t>废水</w:t>
                  </w:r>
                </w:p>
              </w:tc>
              <w:tc>
                <w:tcPr>
                  <w:tcW w:w="592" w:type="pct"/>
                  <w:vMerge w:val="restart"/>
                  <w:vAlign w:val="center"/>
                </w:tcPr>
                <w:p>
                  <w:pPr>
                    <w:pStyle w:val="259"/>
                    <w:adjustRightInd w:val="0"/>
                    <w:snapToGrid w:val="0"/>
                    <w:jc w:val="center"/>
                    <w:rPr>
                      <w:color w:val="000000"/>
                      <w:sz w:val="21"/>
                      <w:szCs w:val="21"/>
                    </w:rPr>
                  </w:pPr>
                  <w:r>
                    <w:rPr>
                      <w:color w:val="000000"/>
                      <w:sz w:val="21"/>
                      <w:szCs w:val="21"/>
                    </w:rPr>
                    <w:t>生产废水</w:t>
                  </w:r>
                </w:p>
              </w:tc>
              <w:tc>
                <w:tcPr>
                  <w:tcW w:w="2024" w:type="pct"/>
                  <w:vAlign w:val="center"/>
                </w:tcPr>
                <w:p>
                  <w:pPr>
                    <w:pStyle w:val="259"/>
                    <w:adjustRightInd w:val="0"/>
                    <w:snapToGrid w:val="0"/>
                    <w:jc w:val="center"/>
                    <w:rPr>
                      <w:color w:val="000000"/>
                      <w:sz w:val="21"/>
                      <w:szCs w:val="21"/>
                    </w:rPr>
                  </w:pPr>
                  <w:r>
                    <w:rPr>
                      <w:color w:val="000000"/>
                      <w:sz w:val="21"/>
                      <w:szCs w:val="21"/>
                    </w:rPr>
                    <w:t>厂区内设置回水池，高位水池，尾矿废水和精矿废水沉淀后经回水泵，回水管道进入高位水池循环使用</w:t>
                  </w:r>
                </w:p>
              </w:tc>
              <w:tc>
                <w:tcPr>
                  <w:tcW w:w="1447" w:type="pct"/>
                  <w:vAlign w:val="center"/>
                </w:tcPr>
                <w:p>
                  <w:pPr>
                    <w:pStyle w:val="259"/>
                    <w:adjustRightInd w:val="0"/>
                    <w:snapToGrid w:val="0"/>
                    <w:jc w:val="center"/>
                    <w:rPr>
                      <w:color w:val="000000"/>
                      <w:sz w:val="21"/>
                      <w:szCs w:val="21"/>
                    </w:rPr>
                  </w:pPr>
                  <w:r>
                    <w:rPr>
                      <w:rFonts w:hint="eastAsia"/>
                      <w:color w:val="000000"/>
                      <w:sz w:val="21"/>
                      <w:szCs w:val="21"/>
                    </w:rPr>
                    <w:t>已建</w:t>
                  </w:r>
                </w:p>
              </w:tc>
              <w:tc>
                <w:tcPr>
                  <w:tcW w:w="378" w:type="pct"/>
                  <w:vAlign w:val="center"/>
                </w:tcPr>
                <w:p>
                  <w:pPr>
                    <w:pStyle w:val="259"/>
                    <w:adjustRightInd w:val="0"/>
                    <w:snapToGrid w:val="0"/>
                    <w:jc w:val="center"/>
                    <w:rPr>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257" w:type="pct"/>
                  <w:vMerge w:val="continue"/>
                  <w:vAlign w:val="center"/>
                </w:tcPr>
                <w:p>
                  <w:pPr>
                    <w:pStyle w:val="259"/>
                    <w:adjustRightInd w:val="0"/>
                    <w:snapToGrid w:val="0"/>
                    <w:jc w:val="center"/>
                    <w:rPr>
                      <w:color w:val="000000"/>
                      <w:sz w:val="21"/>
                      <w:szCs w:val="21"/>
                    </w:rPr>
                  </w:pPr>
                </w:p>
              </w:tc>
              <w:tc>
                <w:tcPr>
                  <w:tcW w:w="592" w:type="pct"/>
                  <w:vMerge w:val="continue"/>
                  <w:vAlign w:val="center"/>
                </w:tcPr>
                <w:p>
                  <w:pPr>
                    <w:pStyle w:val="259"/>
                    <w:adjustRightInd w:val="0"/>
                    <w:snapToGrid w:val="0"/>
                    <w:jc w:val="center"/>
                    <w:rPr>
                      <w:color w:val="000000"/>
                      <w:sz w:val="21"/>
                      <w:szCs w:val="21"/>
                    </w:rPr>
                  </w:pPr>
                </w:p>
              </w:tc>
              <w:tc>
                <w:tcPr>
                  <w:tcW w:w="2024" w:type="pct"/>
                  <w:vAlign w:val="center"/>
                </w:tcPr>
                <w:p>
                  <w:pPr>
                    <w:pStyle w:val="259"/>
                    <w:adjustRightInd w:val="0"/>
                    <w:snapToGrid w:val="0"/>
                    <w:jc w:val="center"/>
                    <w:rPr>
                      <w:color w:val="000000"/>
                      <w:sz w:val="21"/>
                      <w:szCs w:val="21"/>
                    </w:rPr>
                  </w:pPr>
                  <w:r>
                    <w:rPr>
                      <w:color w:val="000000"/>
                      <w:sz w:val="21"/>
                      <w:szCs w:val="21"/>
                    </w:rPr>
                    <w:t>磨选车间、水砂分离车间内设置废水收集槽，精矿库，尾矿暂存仓设淋控水收集槽，废水收集后回用</w:t>
                  </w:r>
                </w:p>
              </w:tc>
              <w:tc>
                <w:tcPr>
                  <w:tcW w:w="1447" w:type="pct"/>
                  <w:vAlign w:val="center"/>
                </w:tcPr>
                <w:p>
                  <w:pPr>
                    <w:pStyle w:val="259"/>
                    <w:adjustRightInd w:val="0"/>
                    <w:snapToGrid w:val="0"/>
                    <w:jc w:val="center"/>
                    <w:rPr>
                      <w:color w:val="000000"/>
                      <w:sz w:val="21"/>
                      <w:szCs w:val="21"/>
                    </w:rPr>
                  </w:pPr>
                  <w:r>
                    <w:rPr>
                      <w:rFonts w:hint="eastAsia"/>
                      <w:color w:val="000000"/>
                      <w:sz w:val="21"/>
                      <w:szCs w:val="21"/>
                    </w:rPr>
                    <w:t>已建</w:t>
                  </w:r>
                </w:p>
              </w:tc>
              <w:tc>
                <w:tcPr>
                  <w:tcW w:w="378" w:type="pct"/>
                  <w:vAlign w:val="center"/>
                </w:tcPr>
                <w:p>
                  <w:pPr>
                    <w:pStyle w:val="259"/>
                    <w:adjustRightInd w:val="0"/>
                    <w:snapToGrid w:val="0"/>
                    <w:jc w:val="center"/>
                    <w:rPr>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257" w:type="pct"/>
                  <w:vMerge w:val="continue"/>
                  <w:vAlign w:val="center"/>
                </w:tcPr>
                <w:p>
                  <w:pPr>
                    <w:pStyle w:val="259"/>
                    <w:adjustRightInd w:val="0"/>
                    <w:snapToGrid w:val="0"/>
                    <w:jc w:val="center"/>
                    <w:rPr>
                      <w:color w:val="000000"/>
                      <w:sz w:val="21"/>
                      <w:szCs w:val="21"/>
                    </w:rPr>
                  </w:pPr>
                </w:p>
              </w:tc>
              <w:tc>
                <w:tcPr>
                  <w:tcW w:w="592" w:type="pct"/>
                  <w:vMerge w:val="continue"/>
                  <w:vAlign w:val="center"/>
                </w:tcPr>
                <w:p>
                  <w:pPr>
                    <w:pStyle w:val="259"/>
                    <w:adjustRightInd w:val="0"/>
                    <w:snapToGrid w:val="0"/>
                    <w:jc w:val="center"/>
                    <w:rPr>
                      <w:color w:val="000000"/>
                      <w:sz w:val="21"/>
                      <w:szCs w:val="21"/>
                    </w:rPr>
                  </w:pPr>
                </w:p>
              </w:tc>
              <w:tc>
                <w:tcPr>
                  <w:tcW w:w="2024" w:type="pct"/>
                  <w:vAlign w:val="center"/>
                </w:tcPr>
                <w:p>
                  <w:pPr>
                    <w:pStyle w:val="259"/>
                    <w:adjustRightInd w:val="0"/>
                    <w:snapToGrid w:val="0"/>
                    <w:jc w:val="center"/>
                    <w:rPr>
                      <w:color w:val="000000"/>
                      <w:sz w:val="21"/>
                      <w:szCs w:val="21"/>
                    </w:rPr>
                  </w:pPr>
                  <w:r>
                    <w:rPr>
                      <w:color w:val="000000"/>
                      <w:sz w:val="21"/>
                      <w:szCs w:val="21"/>
                    </w:rPr>
                    <w:t>初期雨水收集池，位于厂区东侧，容积300m³</w:t>
                  </w:r>
                </w:p>
              </w:tc>
              <w:tc>
                <w:tcPr>
                  <w:tcW w:w="1447" w:type="pct"/>
                  <w:vAlign w:val="center"/>
                </w:tcPr>
                <w:p>
                  <w:pPr>
                    <w:pStyle w:val="259"/>
                    <w:adjustRightInd w:val="0"/>
                    <w:snapToGrid w:val="0"/>
                    <w:jc w:val="center"/>
                    <w:rPr>
                      <w:color w:val="000000"/>
                      <w:sz w:val="21"/>
                      <w:szCs w:val="21"/>
                    </w:rPr>
                  </w:pPr>
                  <w:r>
                    <w:rPr>
                      <w:color w:val="000000"/>
                      <w:sz w:val="21"/>
                      <w:szCs w:val="21"/>
                    </w:rPr>
                    <w:t>初期雨水收集池，容积300m³</w:t>
                  </w:r>
                </w:p>
              </w:tc>
              <w:tc>
                <w:tcPr>
                  <w:tcW w:w="378" w:type="pct"/>
                  <w:vAlign w:val="center"/>
                </w:tcPr>
                <w:p>
                  <w:pPr>
                    <w:pStyle w:val="259"/>
                    <w:adjustRightInd w:val="0"/>
                    <w:snapToGrid w:val="0"/>
                    <w:jc w:val="center"/>
                    <w:rPr>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257" w:type="pct"/>
                  <w:vMerge w:val="continue"/>
                  <w:vAlign w:val="center"/>
                </w:tcPr>
                <w:p>
                  <w:pPr>
                    <w:pStyle w:val="259"/>
                    <w:adjustRightInd w:val="0"/>
                    <w:snapToGrid w:val="0"/>
                    <w:jc w:val="center"/>
                    <w:rPr>
                      <w:color w:val="000000"/>
                      <w:sz w:val="21"/>
                      <w:szCs w:val="21"/>
                    </w:rPr>
                  </w:pPr>
                </w:p>
              </w:tc>
              <w:tc>
                <w:tcPr>
                  <w:tcW w:w="592" w:type="pct"/>
                  <w:vMerge w:val="restart"/>
                  <w:vAlign w:val="center"/>
                </w:tcPr>
                <w:p>
                  <w:pPr>
                    <w:pStyle w:val="259"/>
                    <w:adjustRightInd w:val="0"/>
                    <w:snapToGrid w:val="0"/>
                    <w:jc w:val="center"/>
                    <w:rPr>
                      <w:color w:val="000000"/>
                      <w:sz w:val="21"/>
                      <w:szCs w:val="21"/>
                    </w:rPr>
                  </w:pPr>
                  <w:r>
                    <w:rPr>
                      <w:color w:val="000000"/>
                      <w:sz w:val="21"/>
                      <w:szCs w:val="21"/>
                    </w:rPr>
                    <w:t>生活污水</w:t>
                  </w:r>
                </w:p>
              </w:tc>
              <w:tc>
                <w:tcPr>
                  <w:tcW w:w="2024" w:type="pct"/>
                  <w:vAlign w:val="center"/>
                </w:tcPr>
                <w:p>
                  <w:pPr>
                    <w:pStyle w:val="259"/>
                    <w:adjustRightInd w:val="0"/>
                    <w:snapToGrid w:val="0"/>
                    <w:jc w:val="center"/>
                    <w:rPr>
                      <w:color w:val="000000"/>
                      <w:sz w:val="21"/>
                      <w:szCs w:val="21"/>
                    </w:rPr>
                  </w:pPr>
                  <w:r>
                    <w:rPr>
                      <w:color w:val="000000"/>
                      <w:sz w:val="21"/>
                      <w:szCs w:val="21"/>
                    </w:rPr>
                    <w:t>食堂内设置隔油池</w:t>
                  </w:r>
                </w:p>
              </w:tc>
              <w:tc>
                <w:tcPr>
                  <w:tcW w:w="1447" w:type="pct"/>
                  <w:vAlign w:val="center"/>
                </w:tcPr>
                <w:p>
                  <w:pPr>
                    <w:pStyle w:val="259"/>
                    <w:adjustRightInd w:val="0"/>
                    <w:snapToGrid w:val="0"/>
                    <w:jc w:val="center"/>
                    <w:rPr>
                      <w:color w:val="000000"/>
                      <w:sz w:val="21"/>
                      <w:szCs w:val="21"/>
                    </w:rPr>
                  </w:pPr>
                  <w:r>
                    <w:rPr>
                      <w:color w:val="000000"/>
                      <w:sz w:val="21"/>
                      <w:szCs w:val="21"/>
                    </w:rPr>
                    <w:t>食堂内设置</w:t>
                  </w:r>
                  <w:r>
                    <w:rPr>
                      <w:rFonts w:hint="eastAsia"/>
                      <w:color w:val="000000"/>
                      <w:sz w:val="21"/>
                      <w:szCs w:val="21"/>
                    </w:rPr>
                    <w:t>了</w:t>
                  </w:r>
                  <w:r>
                    <w:rPr>
                      <w:color w:val="000000"/>
                      <w:sz w:val="21"/>
                      <w:szCs w:val="21"/>
                    </w:rPr>
                    <w:t>隔油池</w:t>
                  </w:r>
                </w:p>
              </w:tc>
              <w:tc>
                <w:tcPr>
                  <w:tcW w:w="378" w:type="pct"/>
                  <w:vAlign w:val="center"/>
                </w:tcPr>
                <w:p>
                  <w:pPr>
                    <w:pStyle w:val="259"/>
                    <w:adjustRightInd w:val="0"/>
                    <w:snapToGrid w:val="0"/>
                    <w:jc w:val="center"/>
                    <w:rPr>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257" w:type="pct"/>
                  <w:vMerge w:val="continue"/>
                  <w:vAlign w:val="center"/>
                </w:tcPr>
                <w:p>
                  <w:pPr>
                    <w:pStyle w:val="259"/>
                    <w:adjustRightInd w:val="0"/>
                    <w:snapToGrid w:val="0"/>
                    <w:jc w:val="center"/>
                    <w:rPr>
                      <w:color w:val="000000"/>
                      <w:sz w:val="21"/>
                      <w:szCs w:val="21"/>
                    </w:rPr>
                  </w:pPr>
                </w:p>
              </w:tc>
              <w:tc>
                <w:tcPr>
                  <w:tcW w:w="592" w:type="pct"/>
                  <w:vMerge w:val="continue"/>
                  <w:vAlign w:val="center"/>
                </w:tcPr>
                <w:p>
                  <w:pPr>
                    <w:pStyle w:val="259"/>
                    <w:adjustRightInd w:val="0"/>
                    <w:snapToGrid w:val="0"/>
                    <w:jc w:val="center"/>
                    <w:rPr>
                      <w:color w:val="000000"/>
                      <w:sz w:val="21"/>
                      <w:szCs w:val="21"/>
                    </w:rPr>
                  </w:pPr>
                </w:p>
              </w:tc>
              <w:tc>
                <w:tcPr>
                  <w:tcW w:w="2024" w:type="pct"/>
                  <w:vAlign w:val="center"/>
                </w:tcPr>
                <w:p>
                  <w:pPr>
                    <w:pStyle w:val="259"/>
                    <w:adjustRightInd w:val="0"/>
                    <w:snapToGrid w:val="0"/>
                    <w:jc w:val="center"/>
                    <w:rPr>
                      <w:color w:val="000000"/>
                      <w:sz w:val="21"/>
                      <w:szCs w:val="21"/>
                    </w:rPr>
                  </w:pPr>
                  <w:r>
                    <w:rPr>
                      <w:color w:val="000000"/>
                      <w:sz w:val="21"/>
                      <w:szCs w:val="21"/>
                    </w:rPr>
                    <w:t>生活区设置防渗型旱厕</w:t>
                  </w:r>
                </w:p>
              </w:tc>
              <w:tc>
                <w:tcPr>
                  <w:tcW w:w="1447" w:type="pct"/>
                  <w:vAlign w:val="center"/>
                </w:tcPr>
                <w:p>
                  <w:pPr>
                    <w:pStyle w:val="259"/>
                    <w:adjustRightInd w:val="0"/>
                    <w:snapToGrid w:val="0"/>
                    <w:jc w:val="center"/>
                    <w:rPr>
                      <w:color w:val="000000"/>
                      <w:sz w:val="21"/>
                      <w:szCs w:val="21"/>
                    </w:rPr>
                  </w:pPr>
                  <w:r>
                    <w:rPr>
                      <w:rFonts w:hint="eastAsia"/>
                      <w:color w:val="000000"/>
                      <w:sz w:val="21"/>
                      <w:szCs w:val="21"/>
                    </w:rPr>
                    <w:t>已建</w:t>
                  </w:r>
                </w:p>
              </w:tc>
              <w:tc>
                <w:tcPr>
                  <w:tcW w:w="378" w:type="pct"/>
                  <w:vAlign w:val="center"/>
                </w:tcPr>
                <w:p>
                  <w:pPr>
                    <w:pStyle w:val="259"/>
                    <w:adjustRightInd w:val="0"/>
                    <w:snapToGrid w:val="0"/>
                    <w:jc w:val="center"/>
                    <w:rPr>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固废</w:t>
                  </w:r>
                </w:p>
              </w:tc>
              <w:tc>
                <w:tcPr>
                  <w:tcW w:w="2024" w:type="pct"/>
                  <w:vAlign w:val="center"/>
                </w:tcPr>
                <w:p>
                  <w:pPr>
                    <w:pStyle w:val="259"/>
                    <w:adjustRightInd w:val="0"/>
                    <w:snapToGrid w:val="0"/>
                    <w:jc w:val="center"/>
                    <w:rPr>
                      <w:color w:val="000000"/>
                      <w:sz w:val="21"/>
                      <w:szCs w:val="21"/>
                    </w:rPr>
                  </w:pPr>
                  <w:r>
                    <w:rPr>
                      <w:color w:val="000000"/>
                      <w:sz w:val="21"/>
                      <w:szCs w:val="21"/>
                    </w:rPr>
                    <w:t>干选废石、尾矿</w:t>
                  </w:r>
                  <w:r>
                    <w:rPr>
                      <w:rFonts w:hint="eastAsia"/>
                      <w:color w:val="000000"/>
                      <w:sz w:val="21"/>
                      <w:szCs w:val="21"/>
                    </w:rPr>
                    <w:t>优先用于道路建设和建筑石料外售，剩余部分及尾矿送尾矿库堆存</w:t>
                  </w:r>
                </w:p>
              </w:tc>
              <w:tc>
                <w:tcPr>
                  <w:tcW w:w="1447" w:type="pct"/>
                  <w:vAlign w:val="center"/>
                </w:tcPr>
                <w:p>
                  <w:pPr>
                    <w:pStyle w:val="259"/>
                    <w:adjustRightInd w:val="0"/>
                    <w:snapToGrid w:val="0"/>
                    <w:jc w:val="center"/>
                    <w:rPr>
                      <w:color w:val="000000"/>
                      <w:sz w:val="21"/>
                      <w:szCs w:val="21"/>
                    </w:rPr>
                  </w:pPr>
                  <w:r>
                    <w:rPr>
                      <w:color w:val="000000"/>
                      <w:sz w:val="21"/>
                      <w:szCs w:val="21"/>
                    </w:rPr>
                    <w:t>干选废石、尾矿</w:t>
                  </w:r>
                  <w:r>
                    <w:rPr>
                      <w:rFonts w:hint="eastAsia"/>
                      <w:color w:val="000000"/>
                      <w:sz w:val="21"/>
                      <w:szCs w:val="21"/>
                    </w:rPr>
                    <w:t>由左权县华联冶金矿山有限责任公司处置</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噪声治理</w:t>
                  </w:r>
                </w:p>
              </w:tc>
              <w:tc>
                <w:tcPr>
                  <w:tcW w:w="2024" w:type="pct"/>
                  <w:vAlign w:val="center"/>
                </w:tcPr>
                <w:p>
                  <w:pPr>
                    <w:pStyle w:val="259"/>
                    <w:adjustRightInd w:val="0"/>
                    <w:snapToGrid w:val="0"/>
                    <w:jc w:val="center"/>
                    <w:rPr>
                      <w:color w:val="000000"/>
                      <w:sz w:val="21"/>
                      <w:szCs w:val="21"/>
                    </w:rPr>
                  </w:pPr>
                  <w:r>
                    <w:rPr>
                      <w:color w:val="000000"/>
                      <w:sz w:val="21"/>
                      <w:szCs w:val="21"/>
                    </w:rPr>
                    <w:t>包括基础减震、软连接、室内操作等。</w:t>
                  </w:r>
                </w:p>
              </w:tc>
              <w:tc>
                <w:tcPr>
                  <w:tcW w:w="1447" w:type="pct"/>
                  <w:vAlign w:val="center"/>
                </w:tcPr>
                <w:p>
                  <w:pPr>
                    <w:pStyle w:val="259"/>
                    <w:adjustRightInd w:val="0"/>
                    <w:snapToGrid w:val="0"/>
                    <w:jc w:val="center"/>
                    <w:rPr>
                      <w:color w:val="000000"/>
                      <w:sz w:val="21"/>
                      <w:szCs w:val="21"/>
                    </w:rPr>
                  </w:pPr>
                  <w:r>
                    <w:rPr>
                      <w:rFonts w:hint="eastAsia"/>
                      <w:color w:val="000000"/>
                      <w:sz w:val="21"/>
                      <w:szCs w:val="21"/>
                    </w:rPr>
                    <w:t>已建</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 w:type="pct"/>
                  <w:vMerge w:val="continue"/>
                  <w:vAlign w:val="center"/>
                </w:tcPr>
                <w:p>
                  <w:pPr>
                    <w:pStyle w:val="259"/>
                    <w:adjustRightInd w:val="0"/>
                    <w:snapToGrid w:val="0"/>
                    <w:jc w:val="center"/>
                    <w:rPr>
                      <w:color w:val="000000"/>
                      <w:sz w:val="21"/>
                      <w:szCs w:val="21"/>
                    </w:rPr>
                  </w:pPr>
                </w:p>
              </w:tc>
              <w:tc>
                <w:tcPr>
                  <w:tcW w:w="848" w:type="pct"/>
                  <w:gridSpan w:val="2"/>
                  <w:vAlign w:val="center"/>
                </w:tcPr>
                <w:p>
                  <w:pPr>
                    <w:pStyle w:val="259"/>
                    <w:adjustRightInd w:val="0"/>
                    <w:snapToGrid w:val="0"/>
                    <w:jc w:val="center"/>
                    <w:rPr>
                      <w:color w:val="000000"/>
                      <w:sz w:val="21"/>
                      <w:szCs w:val="21"/>
                    </w:rPr>
                  </w:pPr>
                  <w:r>
                    <w:rPr>
                      <w:color w:val="000000"/>
                      <w:sz w:val="21"/>
                      <w:szCs w:val="21"/>
                    </w:rPr>
                    <w:t>生态</w:t>
                  </w:r>
                </w:p>
              </w:tc>
              <w:tc>
                <w:tcPr>
                  <w:tcW w:w="2024" w:type="pct"/>
                  <w:vAlign w:val="center"/>
                </w:tcPr>
                <w:p>
                  <w:pPr>
                    <w:pStyle w:val="259"/>
                    <w:adjustRightInd w:val="0"/>
                    <w:snapToGrid w:val="0"/>
                    <w:jc w:val="center"/>
                    <w:rPr>
                      <w:color w:val="000000"/>
                      <w:sz w:val="21"/>
                      <w:szCs w:val="21"/>
                    </w:rPr>
                  </w:pPr>
                  <w:r>
                    <w:rPr>
                      <w:color w:val="000000"/>
                      <w:sz w:val="21"/>
                      <w:szCs w:val="21"/>
                    </w:rPr>
                    <w:t>选矿厂、办公区绿化</w:t>
                  </w:r>
                </w:p>
              </w:tc>
              <w:tc>
                <w:tcPr>
                  <w:tcW w:w="1447" w:type="pct"/>
                  <w:vAlign w:val="center"/>
                </w:tcPr>
                <w:p>
                  <w:pPr>
                    <w:pStyle w:val="259"/>
                    <w:adjustRightInd w:val="0"/>
                    <w:snapToGrid w:val="0"/>
                    <w:jc w:val="center"/>
                    <w:rPr>
                      <w:color w:val="000000"/>
                      <w:sz w:val="21"/>
                      <w:szCs w:val="21"/>
                    </w:rPr>
                  </w:pPr>
                  <w:r>
                    <w:rPr>
                      <w:color w:val="000000"/>
                      <w:sz w:val="21"/>
                      <w:szCs w:val="21"/>
                    </w:rPr>
                    <w:t>选矿厂、办公区绿化</w:t>
                  </w:r>
                </w:p>
              </w:tc>
              <w:tc>
                <w:tcPr>
                  <w:tcW w:w="378" w:type="pct"/>
                  <w:vAlign w:val="center"/>
                </w:tcPr>
                <w:p>
                  <w:pPr>
                    <w:pStyle w:val="259"/>
                    <w:adjustRightInd w:val="0"/>
                    <w:snapToGrid w:val="0"/>
                    <w:jc w:val="center"/>
                    <w:rPr>
                      <w:color w:val="000000"/>
                      <w:sz w:val="21"/>
                      <w:szCs w:val="21"/>
                    </w:rPr>
                  </w:pPr>
                  <w:r>
                    <w:rPr>
                      <w:color w:val="000000"/>
                      <w:sz w:val="21"/>
                      <w:szCs w:val="21"/>
                    </w:rPr>
                    <w:t>--</w:t>
                  </w:r>
                </w:p>
              </w:tc>
            </w:tr>
          </w:tbl>
          <w:p>
            <w:pPr>
              <w:pStyle w:val="144"/>
              <w:spacing w:before="0" w:after="0"/>
              <w:ind w:firstLine="0" w:firstLineChars="0"/>
              <w:rPr>
                <w:b/>
                <w:bCs/>
              </w:rPr>
            </w:pPr>
            <w:r>
              <w:rPr>
                <w:b/>
                <w:bCs/>
              </w:rPr>
              <w:t>3</w:t>
            </w:r>
            <w:r>
              <w:rPr>
                <w:rFonts w:hint="eastAsia"/>
                <w:b/>
                <w:bCs/>
              </w:rPr>
              <w:t>、现有工程主要设备</w:t>
            </w:r>
          </w:p>
          <w:p>
            <w:pPr>
              <w:pStyle w:val="144"/>
              <w:spacing w:before="0" w:after="0"/>
              <w:ind w:firstLine="480"/>
              <w:rPr>
                <w:color w:val="FF0000"/>
              </w:rPr>
            </w:pPr>
            <w:r>
              <w:rPr>
                <w:rFonts w:hint="eastAsia"/>
              </w:rPr>
              <w:t>根据现有工程竣工环境保护验收监测报告，现有工程主要设备见下表。</w:t>
            </w:r>
          </w:p>
          <w:p>
            <w:pPr>
              <w:pStyle w:val="37"/>
              <w:ind w:firstLine="0" w:firstLineChars="0"/>
              <w:jc w:val="center"/>
              <w:rPr>
                <w:rFonts w:ascii="黑体" w:hAnsi="黑体" w:eastAsia="黑体"/>
                <w:sz w:val="24"/>
              </w:rPr>
            </w:pPr>
            <w:r>
              <w:rPr>
                <w:rFonts w:hint="eastAsia" w:ascii="黑体" w:hAnsi="黑体" w:eastAsia="黑体"/>
                <w:sz w:val="24"/>
              </w:rPr>
              <w:t>表</w:t>
            </w:r>
            <w:r>
              <w:rPr>
                <w:rFonts w:ascii="黑体" w:hAnsi="黑体" w:eastAsia="黑体"/>
                <w:sz w:val="24"/>
              </w:rPr>
              <w:t xml:space="preserve">10  </w:t>
            </w:r>
            <w:r>
              <w:rPr>
                <w:rFonts w:hint="eastAsia" w:ascii="黑体" w:hAnsi="黑体" w:eastAsia="黑体"/>
                <w:sz w:val="24"/>
              </w:rPr>
              <w:t>现有工程主要设备一览表</w:t>
            </w:r>
          </w:p>
          <w:tbl>
            <w:tblPr>
              <w:tblStyle w:val="70"/>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75"/>
              <w:gridCol w:w="901"/>
              <w:gridCol w:w="1875"/>
              <w:gridCol w:w="620"/>
              <w:gridCol w:w="613"/>
              <w:gridCol w:w="581"/>
              <w:gridCol w:w="1036"/>
              <w:gridCol w:w="1875"/>
              <w:gridCol w:w="601"/>
              <w:gridCol w:w="51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12" w:type="dxa"/>
                  <w:gridSpan w:val="5"/>
                  <w:tcBorders>
                    <w:tl2br w:val="nil"/>
                    <w:tr2bl w:val="nil"/>
                  </w:tcBorders>
                  <w:vAlign w:val="center"/>
                </w:tcPr>
                <w:p>
                  <w:pPr>
                    <w:spacing w:line="240" w:lineRule="auto"/>
                    <w:ind w:firstLine="0" w:firstLineChars="0"/>
                    <w:jc w:val="center"/>
                    <w:rPr>
                      <w:b/>
                      <w:bCs/>
                      <w:color w:val="000000"/>
                      <w:sz w:val="21"/>
                      <w:szCs w:val="21"/>
                    </w:rPr>
                  </w:pPr>
                  <w:r>
                    <w:rPr>
                      <w:b/>
                      <w:bCs/>
                      <w:color w:val="000000"/>
                      <w:sz w:val="21"/>
                      <w:szCs w:val="21"/>
                    </w:rPr>
                    <w:t>环评阶段</w:t>
                  </w:r>
                </w:p>
              </w:tc>
              <w:tc>
                <w:tcPr>
                  <w:tcW w:w="4268" w:type="dxa"/>
                  <w:gridSpan w:val="5"/>
                  <w:tcBorders>
                    <w:tl2br w:val="nil"/>
                    <w:tr2bl w:val="nil"/>
                  </w:tcBorders>
                  <w:vAlign w:val="center"/>
                </w:tcPr>
                <w:p>
                  <w:pPr>
                    <w:spacing w:line="240" w:lineRule="auto"/>
                    <w:ind w:firstLine="0" w:firstLineChars="0"/>
                    <w:jc w:val="center"/>
                    <w:rPr>
                      <w:b/>
                      <w:bCs/>
                      <w:color w:val="000000"/>
                      <w:sz w:val="21"/>
                      <w:szCs w:val="21"/>
                    </w:rPr>
                  </w:pPr>
                  <w:r>
                    <w:rPr>
                      <w:b/>
                      <w:bCs/>
                      <w:color w:val="000000"/>
                      <w:sz w:val="21"/>
                      <w:szCs w:val="21"/>
                    </w:rPr>
                    <w:t>实际建设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序号</w:t>
                  </w:r>
                </w:p>
              </w:tc>
              <w:tc>
                <w:tcPr>
                  <w:tcW w:w="106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设备名称</w:t>
                  </w:r>
                </w:p>
              </w:tc>
              <w:tc>
                <w:tcPr>
                  <w:tcW w:w="119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主要技术规格</w:t>
                  </w:r>
                </w:p>
              </w:tc>
              <w:tc>
                <w:tcPr>
                  <w:tcW w:w="685"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单位</w:t>
                  </w:r>
                </w:p>
              </w:tc>
              <w:tc>
                <w:tcPr>
                  <w:tcW w:w="676"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数量</w:t>
                  </w:r>
                </w:p>
              </w:tc>
              <w:tc>
                <w:tcPr>
                  <w:tcW w:w="633"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序号</w:t>
                  </w:r>
                </w:p>
              </w:tc>
              <w:tc>
                <w:tcPr>
                  <w:tcW w:w="1242"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设备名称</w:t>
                  </w:r>
                </w:p>
              </w:tc>
              <w:tc>
                <w:tcPr>
                  <w:tcW w:w="118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主要技术规格</w:t>
                  </w:r>
                </w:p>
              </w:tc>
              <w:tc>
                <w:tcPr>
                  <w:tcW w:w="660"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单位</w:t>
                  </w:r>
                </w:p>
              </w:tc>
              <w:tc>
                <w:tcPr>
                  <w:tcW w:w="544"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数量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1</w:t>
                  </w:r>
                </w:p>
              </w:tc>
              <w:tc>
                <w:tcPr>
                  <w:tcW w:w="106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铲车</w:t>
                  </w:r>
                </w:p>
              </w:tc>
              <w:tc>
                <w:tcPr>
                  <w:tcW w:w="119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10T</w:t>
                  </w:r>
                </w:p>
              </w:tc>
              <w:tc>
                <w:tcPr>
                  <w:tcW w:w="685"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676"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2</w:t>
                  </w:r>
                </w:p>
              </w:tc>
              <w:tc>
                <w:tcPr>
                  <w:tcW w:w="633"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1</w:t>
                  </w:r>
                </w:p>
              </w:tc>
              <w:tc>
                <w:tcPr>
                  <w:tcW w:w="1242"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铲车</w:t>
                  </w:r>
                </w:p>
              </w:tc>
              <w:tc>
                <w:tcPr>
                  <w:tcW w:w="118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10T</w:t>
                  </w:r>
                </w:p>
              </w:tc>
              <w:tc>
                <w:tcPr>
                  <w:tcW w:w="660"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544"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2</w:t>
                  </w:r>
                </w:p>
              </w:tc>
              <w:tc>
                <w:tcPr>
                  <w:tcW w:w="106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振动给料机</w:t>
                  </w:r>
                </w:p>
              </w:tc>
              <w:tc>
                <w:tcPr>
                  <w:tcW w:w="119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GZ6</w:t>
                  </w:r>
                </w:p>
              </w:tc>
              <w:tc>
                <w:tcPr>
                  <w:tcW w:w="685"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676"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1</w:t>
                  </w:r>
                </w:p>
              </w:tc>
              <w:tc>
                <w:tcPr>
                  <w:tcW w:w="633"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2</w:t>
                  </w:r>
                </w:p>
              </w:tc>
              <w:tc>
                <w:tcPr>
                  <w:tcW w:w="1242"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振动给料机</w:t>
                  </w:r>
                </w:p>
              </w:tc>
              <w:tc>
                <w:tcPr>
                  <w:tcW w:w="118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GZ6</w:t>
                  </w:r>
                </w:p>
              </w:tc>
              <w:tc>
                <w:tcPr>
                  <w:tcW w:w="660"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544"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3</w:t>
                  </w:r>
                </w:p>
              </w:tc>
              <w:tc>
                <w:tcPr>
                  <w:tcW w:w="106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皮带机</w:t>
                  </w:r>
                </w:p>
              </w:tc>
              <w:tc>
                <w:tcPr>
                  <w:tcW w:w="119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B800×30m</w:t>
                  </w:r>
                </w:p>
              </w:tc>
              <w:tc>
                <w:tcPr>
                  <w:tcW w:w="685"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676"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4</w:t>
                  </w:r>
                </w:p>
              </w:tc>
              <w:tc>
                <w:tcPr>
                  <w:tcW w:w="633"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3</w:t>
                  </w:r>
                </w:p>
              </w:tc>
              <w:tc>
                <w:tcPr>
                  <w:tcW w:w="1242"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皮带机</w:t>
                  </w:r>
                </w:p>
              </w:tc>
              <w:tc>
                <w:tcPr>
                  <w:tcW w:w="118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B800×30m</w:t>
                  </w:r>
                </w:p>
              </w:tc>
              <w:tc>
                <w:tcPr>
                  <w:tcW w:w="660"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544"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4</w:t>
                  </w:r>
                </w:p>
              </w:tc>
              <w:tc>
                <w:tcPr>
                  <w:tcW w:w="106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颚式破碎机</w:t>
                  </w:r>
                </w:p>
              </w:tc>
              <w:tc>
                <w:tcPr>
                  <w:tcW w:w="119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PE900×600，60t/h</w:t>
                  </w:r>
                </w:p>
              </w:tc>
              <w:tc>
                <w:tcPr>
                  <w:tcW w:w="685"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676"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1</w:t>
                  </w:r>
                </w:p>
              </w:tc>
              <w:tc>
                <w:tcPr>
                  <w:tcW w:w="633"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4</w:t>
                  </w:r>
                </w:p>
              </w:tc>
              <w:tc>
                <w:tcPr>
                  <w:tcW w:w="1242"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颚式破碎机</w:t>
                  </w:r>
                </w:p>
              </w:tc>
              <w:tc>
                <w:tcPr>
                  <w:tcW w:w="118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PE900×600，60t/h</w:t>
                  </w:r>
                </w:p>
              </w:tc>
              <w:tc>
                <w:tcPr>
                  <w:tcW w:w="660"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544"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5</w:t>
                  </w:r>
                </w:p>
              </w:tc>
              <w:tc>
                <w:tcPr>
                  <w:tcW w:w="106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颚式破碎机</w:t>
                  </w:r>
                </w:p>
              </w:tc>
              <w:tc>
                <w:tcPr>
                  <w:tcW w:w="119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PE400×600，30t/h</w:t>
                  </w:r>
                </w:p>
              </w:tc>
              <w:tc>
                <w:tcPr>
                  <w:tcW w:w="685"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676"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2</w:t>
                  </w:r>
                </w:p>
              </w:tc>
              <w:tc>
                <w:tcPr>
                  <w:tcW w:w="633"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5</w:t>
                  </w:r>
                </w:p>
              </w:tc>
              <w:tc>
                <w:tcPr>
                  <w:tcW w:w="1242"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颚式破碎机</w:t>
                  </w:r>
                </w:p>
              </w:tc>
              <w:tc>
                <w:tcPr>
                  <w:tcW w:w="118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PE400×600，30t/h</w:t>
                  </w:r>
                </w:p>
              </w:tc>
              <w:tc>
                <w:tcPr>
                  <w:tcW w:w="660"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544"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6</w:t>
                  </w:r>
                </w:p>
              </w:tc>
              <w:tc>
                <w:tcPr>
                  <w:tcW w:w="106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干选机</w:t>
                  </w:r>
                </w:p>
              </w:tc>
              <w:tc>
                <w:tcPr>
                  <w:tcW w:w="119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60t/h</w:t>
                  </w:r>
                </w:p>
              </w:tc>
              <w:tc>
                <w:tcPr>
                  <w:tcW w:w="685"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辆</w:t>
                  </w:r>
                </w:p>
              </w:tc>
              <w:tc>
                <w:tcPr>
                  <w:tcW w:w="676"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1</w:t>
                  </w:r>
                </w:p>
              </w:tc>
              <w:tc>
                <w:tcPr>
                  <w:tcW w:w="633"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6</w:t>
                  </w:r>
                </w:p>
              </w:tc>
              <w:tc>
                <w:tcPr>
                  <w:tcW w:w="1242"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干选机</w:t>
                  </w:r>
                </w:p>
              </w:tc>
              <w:tc>
                <w:tcPr>
                  <w:tcW w:w="118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60t/h</w:t>
                  </w:r>
                </w:p>
              </w:tc>
              <w:tc>
                <w:tcPr>
                  <w:tcW w:w="660"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辆</w:t>
                  </w:r>
                </w:p>
              </w:tc>
              <w:tc>
                <w:tcPr>
                  <w:tcW w:w="544"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7</w:t>
                  </w:r>
                </w:p>
              </w:tc>
              <w:tc>
                <w:tcPr>
                  <w:tcW w:w="106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球磨机</w:t>
                  </w:r>
                </w:p>
              </w:tc>
              <w:tc>
                <w:tcPr>
                  <w:tcW w:w="119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MQG1830×7000，60t/h</w:t>
                  </w:r>
                </w:p>
              </w:tc>
              <w:tc>
                <w:tcPr>
                  <w:tcW w:w="685"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676"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1</w:t>
                  </w:r>
                </w:p>
              </w:tc>
              <w:tc>
                <w:tcPr>
                  <w:tcW w:w="633"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7</w:t>
                  </w:r>
                </w:p>
              </w:tc>
              <w:tc>
                <w:tcPr>
                  <w:tcW w:w="1242"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球磨机</w:t>
                  </w:r>
                </w:p>
              </w:tc>
              <w:tc>
                <w:tcPr>
                  <w:tcW w:w="118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MQG1830×7000，60t/h</w:t>
                  </w:r>
                </w:p>
              </w:tc>
              <w:tc>
                <w:tcPr>
                  <w:tcW w:w="660"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544"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8</w:t>
                  </w:r>
                </w:p>
              </w:tc>
              <w:tc>
                <w:tcPr>
                  <w:tcW w:w="106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磁选机</w:t>
                  </w:r>
                </w:p>
              </w:tc>
              <w:tc>
                <w:tcPr>
                  <w:tcW w:w="119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900×1800，60t/h</w:t>
                  </w:r>
                </w:p>
              </w:tc>
              <w:tc>
                <w:tcPr>
                  <w:tcW w:w="685"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套</w:t>
                  </w:r>
                </w:p>
              </w:tc>
              <w:tc>
                <w:tcPr>
                  <w:tcW w:w="676"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1</w:t>
                  </w:r>
                </w:p>
              </w:tc>
              <w:tc>
                <w:tcPr>
                  <w:tcW w:w="633"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8</w:t>
                  </w:r>
                </w:p>
              </w:tc>
              <w:tc>
                <w:tcPr>
                  <w:tcW w:w="1242"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磁选机</w:t>
                  </w:r>
                </w:p>
              </w:tc>
              <w:tc>
                <w:tcPr>
                  <w:tcW w:w="118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900×1800，60t/h</w:t>
                  </w:r>
                </w:p>
              </w:tc>
              <w:tc>
                <w:tcPr>
                  <w:tcW w:w="660"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套</w:t>
                  </w:r>
                </w:p>
              </w:tc>
              <w:tc>
                <w:tcPr>
                  <w:tcW w:w="544"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9</w:t>
                  </w:r>
                </w:p>
              </w:tc>
              <w:tc>
                <w:tcPr>
                  <w:tcW w:w="106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磁选机</w:t>
                  </w:r>
                </w:p>
              </w:tc>
              <w:tc>
                <w:tcPr>
                  <w:tcW w:w="119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750×1800，60t/h</w:t>
                  </w:r>
                </w:p>
              </w:tc>
              <w:tc>
                <w:tcPr>
                  <w:tcW w:w="685"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676"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2</w:t>
                  </w:r>
                </w:p>
              </w:tc>
              <w:tc>
                <w:tcPr>
                  <w:tcW w:w="633"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9</w:t>
                  </w:r>
                </w:p>
              </w:tc>
              <w:tc>
                <w:tcPr>
                  <w:tcW w:w="1242"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磁选机</w:t>
                  </w:r>
                </w:p>
              </w:tc>
              <w:tc>
                <w:tcPr>
                  <w:tcW w:w="118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750×1800，60t/h</w:t>
                  </w:r>
                </w:p>
              </w:tc>
              <w:tc>
                <w:tcPr>
                  <w:tcW w:w="660"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544"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10</w:t>
                  </w:r>
                </w:p>
              </w:tc>
              <w:tc>
                <w:tcPr>
                  <w:tcW w:w="106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高频筛</w:t>
                  </w:r>
                </w:p>
              </w:tc>
              <w:tc>
                <w:tcPr>
                  <w:tcW w:w="119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4.5㎡</w:t>
                  </w:r>
                </w:p>
              </w:tc>
              <w:tc>
                <w:tcPr>
                  <w:tcW w:w="685"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676"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1</w:t>
                  </w:r>
                </w:p>
              </w:tc>
              <w:tc>
                <w:tcPr>
                  <w:tcW w:w="633"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10</w:t>
                  </w:r>
                </w:p>
              </w:tc>
              <w:tc>
                <w:tcPr>
                  <w:tcW w:w="1242"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高频筛</w:t>
                  </w:r>
                </w:p>
              </w:tc>
              <w:tc>
                <w:tcPr>
                  <w:tcW w:w="118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4.5㎡</w:t>
                  </w:r>
                </w:p>
              </w:tc>
              <w:tc>
                <w:tcPr>
                  <w:tcW w:w="660"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544"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11</w:t>
                  </w:r>
                </w:p>
              </w:tc>
              <w:tc>
                <w:tcPr>
                  <w:tcW w:w="106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尾选机</w:t>
                  </w:r>
                </w:p>
              </w:tc>
              <w:tc>
                <w:tcPr>
                  <w:tcW w:w="119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GX-8，30t/h</w:t>
                  </w:r>
                </w:p>
              </w:tc>
              <w:tc>
                <w:tcPr>
                  <w:tcW w:w="685"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676"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1</w:t>
                  </w:r>
                </w:p>
              </w:tc>
              <w:tc>
                <w:tcPr>
                  <w:tcW w:w="633"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11</w:t>
                  </w:r>
                </w:p>
              </w:tc>
              <w:tc>
                <w:tcPr>
                  <w:tcW w:w="1242"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尾选机</w:t>
                  </w:r>
                </w:p>
              </w:tc>
              <w:tc>
                <w:tcPr>
                  <w:tcW w:w="118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GX-8，30t/h</w:t>
                  </w:r>
                </w:p>
              </w:tc>
              <w:tc>
                <w:tcPr>
                  <w:tcW w:w="660"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544"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12</w:t>
                  </w:r>
                </w:p>
              </w:tc>
              <w:tc>
                <w:tcPr>
                  <w:tcW w:w="1061"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粗细粒分级浓密机</w:t>
                  </w:r>
                </w:p>
              </w:tc>
              <w:tc>
                <w:tcPr>
                  <w:tcW w:w="119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6.5m</w:t>
                  </w:r>
                </w:p>
              </w:tc>
              <w:tc>
                <w:tcPr>
                  <w:tcW w:w="685"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676"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1</w:t>
                  </w:r>
                </w:p>
              </w:tc>
              <w:tc>
                <w:tcPr>
                  <w:tcW w:w="633"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12</w:t>
                  </w:r>
                </w:p>
              </w:tc>
              <w:tc>
                <w:tcPr>
                  <w:tcW w:w="1242"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粗细粒分级浓密机</w:t>
                  </w:r>
                </w:p>
              </w:tc>
              <w:tc>
                <w:tcPr>
                  <w:tcW w:w="1189" w:type="dxa"/>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6.5m</w:t>
                  </w:r>
                </w:p>
              </w:tc>
              <w:tc>
                <w:tcPr>
                  <w:tcW w:w="660" w:type="dxa"/>
                  <w:tcBorders>
                    <w:tl2br w:val="nil"/>
                    <w:tr2bl w:val="nil"/>
                  </w:tcBorders>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544" w:type="dxa"/>
                  <w:tcBorders>
                    <w:tl2br w:val="nil"/>
                    <w:tr2bl w:val="nil"/>
                  </w:tcBorders>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1" w:type="dxa"/>
                  <w:vAlign w:val="center"/>
                </w:tcPr>
                <w:p>
                  <w:pPr>
                    <w:spacing w:line="240" w:lineRule="auto"/>
                    <w:ind w:firstLine="0" w:firstLineChars="0"/>
                    <w:jc w:val="center"/>
                    <w:rPr>
                      <w:color w:val="000000"/>
                      <w:sz w:val="21"/>
                      <w:szCs w:val="21"/>
                    </w:rPr>
                  </w:pPr>
                  <w:r>
                    <w:rPr>
                      <w:rFonts w:hint="eastAsia"/>
                      <w:color w:val="000000"/>
                      <w:sz w:val="21"/>
                      <w:szCs w:val="21"/>
                    </w:rPr>
                    <w:t>13</w:t>
                  </w:r>
                </w:p>
              </w:tc>
              <w:tc>
                <w:tcPr>
                  <w:tcW w:w="1061" w:type="dxa"/>
                  <w:vAlign w:val="center"/>
                </w:tcPr>
                <w:p>
                  <w:pPr>
                    <w:spacing w:line="240" w:lineRule="auto"/>
                    <w:ind w:firstLine="0" w:firstLineChars="0"/>
                    <w:jc w:val="center"/>
                    <w:rPr>
                      <w:color w:val="000000"/>
                      <w:sz w:val="21"/>
                      <w:szCs w:val="21"/>
                    </w:rPr>
                  </w:pPr>
                  <w:r>
                    <w:rPr>
                      <w:color w:val="000000"/>
                      <w:sz w:val="21"/>
                      <w:szCs w:val="21"/>
                    </w:rPr>
                    <w:t>高效浓密机</w:t>
                  </w:r>
                </w:p>
              </w:tc>
              <w:tc>
                <w:tcPr>
                  <w:tcW w:w="1199" w:type="dxa"/>
                  <w:vAlign w:val="center"/>
                </w:tcPr>
                <w:p>
                  <w:pPr>
                    <w:spacing w:line="240" w:lineRule="auto"/>
                    <w:ind w:firstLine="0" w:firstLineChars="0"/>
                    <w:jc w:val="center"/>
                    <w:rPr>
                      <w:color w:val="000000"/>
                      <w:sz w:val="21"/>
                      <w:szCs w:val="21"/>
                    </w:rPr>
                  </w:pPr>
                  <w:r>
                    <w:rPr>
                      <w:color w:val="000000"/>
                      <w:sz w:val="21"/>
                      <w:szCs w:val="21"/>
                    </w:rPr>
                    <w:t>10m</w:t>
                  </w:r>
                </w:p>
              </w:tc>
              <w:tc>
                <w:tcPr>
                  <w:tcW w:w="685" w:type="dxa"/>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676" w:type="dxa"/>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2</w:t>
                  </w:r>
                </w:p>
              </w:tc>
              <w:tc>
                <w:tcPr>
                  <w:tcW w:w="633" w:type="dxa"/>
                  <w:vAlign w:val="center"/>
                </w:tcPr>
                <w:p>
                  <w:pPr>
                    <w:spacing w:line="240" w:lineRule="auto"/>
                    <w:ind w:firstLine="0" w:firstLineChars="0"/>
                    <w:jc w:val="center"/>
                    <w:rPr>
                      <w:color w:val="000000"/>
                      <w:sz w:val="21"/>
                      <w:szCs w:val="21"/>
                    </w:rPr>
                  </w:pPr>
                  <w:r>
                    <w:rPr>
                      <w:rFonts w:hint="eastAsia"/>
                      <w:color w:val="000000"/>
                      <w:sz w:val="21"/>
                      <w:szCs w:val="21"/>
                    </w:rPr>
                    <w:t>13</w:t>
                  </w:r>
                </w:p>
              </w:tc>
              <w:tc>
                <w:tcPr>
                  <w:tcW w:w="1242" w:type="dxa"/>
                  <w:vAlign w:val="center"/>
                </w:tcPr>
                <w:p>
                  <w:pPr>
                    <w:spacing w:line="240" w:lineRule="auto"/>
                    <w:ind w:firstLine="0" w:firstLineChars="0"/>
                    <w:jc w:val="center"/>
                    <w:rPr>
                      <w:color w:val="000000"/>
                      <w:sz w:val="21"/>
                      <w:szCs w:val="21"/>
                    </w:rPr>
                  </w:pPr>
                  <w:r>
                    <w:rPr>
                      <w:color w:val="000000"/>
                      <w:sz w:val="21"/>
                      <w:szCs w:val="21"/>
                    </w:rPr>
                    <w:t>高效浓密机</w:t>
                  </w:r>
                </w:p>
              </w:tc>
              <w:tc>
                <w:tcPr>
                  <w:tcW w:w="1189" w:type="dxa"/>
                  <w:vAlign w:val="center"/>
                </w:tcPr>
                <w:p>
                  <w:pPr>
                    <w:spacing w:line="240" w:lineRule="auto"/>
                    <w:ind w:firstLine="0" w:firstLineChars="0"/>
                    <w:jc w:val="center"/>
                    <w:rPr>
                      <w:color w:val="000000"/>
                      <w:sz w:val="21"/>
                      <w:szCs w:val="21"/>
                    </w:rPr>
                  </w:pPr>
                  <w:r>
                    <w:rPr>
                      <w:color w:val="000000"/>
                      <w:sz w:val="21"/>
                      <w:szCs w:val="21"/>
                    </w:rPr>
                    <w:t>10m</w:t>
                  </w:r>
                </w:p>
              </w:tc>
              <w:tc>
                <w:tcPr>
                  <w:tcW w:w="660" w:type="dxa"/>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544" w:type="dxa"/>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1" w:type="dxa"/>
                  <w:vAlign w:val="center"/>
                </w:tcPr>
                <w:p>
                  <w:pPr>
                    <w:spacing w:line="240" w:lineRule="auto"/>
                    <w:ind w:firstLine="0" w:firstLineChars="0"/>
                    <w:jc w:val="center"/>
                    <w:rPr>
                      <w:color w:val="000000"/>
                      <w:sz w:val="21"/>
                      <w:szCs w:val="21"/>
                    </w:rPr>
                  </w:pPr>
                  <w:r>
                    <w:rPr>
                      <w:rFonts w:hint="eastAsia"/>
                      <w:color w:val="000000"/>
                      <w:sz w:val="21"/>
                      <w:szCs w:val="21"/>
                    </w:rPr>
                    <w:t>14</w:t>
                  </w:r>
                </w:p>
              </w:tc>
              <w:tc>
                <w:tcPr>
                  <w:tcW w:w="1061" w:type="dxa"/>
                  <w:vAlign w:val="center"/>
                </w:tcPr>
                <w:p>
                  <w:pPr>
                    <w:spacing w:line="240" w:lineRule="auto"/>
                    <w:ind w:firstLine="0" w:firstLineChars="0"/>
                    <w:jc w:val="center"/>
                    <w:rPr>
                      <w:color w:val="000000"/>
                      <w:sz w:val="21"/>
                      <w:szCs w:val="21"/>
                    </w:rPr>
                  </w:pPr>
                  <w:r>
                    <w:rPr>
                      <w:color w:val="000000"/>
                      <w:sz w:val="21"/>
                      <w:szCs w:val="21"/>
                    </w:rPr>
                    <w:t>重型带式压滤机</w:t>
                  </w:r>
                </w:p>
              </w:tc>
              <w:tc>
                <w:tcPr>
                  <w:tcW w:w="1199" w:type="dxa"/>
                  <w:vAlign w:val="center"/>
                </w:tcPr>
                <w:p>
                  <w:pPr>
                    <w:spacing w:line="240" w:lineRule="auto"/>
                    <w:ind w:firstLine="0" w:firstLineChars="0"/>
                    <w:jc w:val="center"/>
                    <w:rPr>
                      <w:color w:val="000000"/>
                      <w:sz w:val="21"/>
                      <w:szCs w:val="21"/>
                    </w:rPr>
                  </w:pPr>
                  <w:r>
                    <w:rPr>
                      <w:color w:val="000000"/>
                      <w:sz w:val="21"/>
                      <w:szCs w:val="21"/>
                    </w:rPr>
                    <w:t>YDY-2500，10t/h</w:t>
                  </w:r>
                </w:p>
              </w:tc>
              <w:tc>
                <w:tcPr>
                  <w:tcW w:w="685" w:type="dxa"/>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676" w:type="dxa"/>
                  <w:vAlign w:val="center"/>
                </w:tcPr>
                <w:p>
                  <w:pPr>
                    <w:pStyle w:val="195"/>
                    <w:widowControl w:val="0"/>
                    <w:snapToGrid/>
                    <w:spacing w:line="240" w:lineRule="auto"/>
                    <w:rPr>
                      <w:rFonts w:eastAsia="仿宋" w:cs="Times New Roman"/>
                      <w:snapToGrid w:val="0"/>
                      <w:kern w:val="32"/>
                      <w:sz w:val="21"/>
                      <w:szCs w:val="21"/>
                    </w:rPr>
                  </w:pPr>
                  <w:r>
                    <w:rPr>
                      <w:rFonts w:hint="eastAsia" w:eastAsia="仿宋" w:cs="Times New Roman"/>
                      <w:sz w:val="21"/>
                      <w:szCs w:val="21"/>
                    </w:rPr>
                    <w:t>1</w:t>
                  </w:r>
                </w:p>
              </w:tc>
              <w:tc>
                <w:tcPr>
                  <w:tcW w:w="633" w:type="dxa"/>
                  <w:vAlign w:val="center"/>
                </w:tcPr>
                <w:p>
                  <w:pPr>
                    <w:spacing w:line="240" w:lineRule="auto"/>
                    <w:ind w:firstLine="0" w:firstLineChars="0"/>
                    <w:jc w:val="center"/>
                    <w:rPr>
                      <w:color w:val="000000"/>
                      <w:sz w:val="21"/>
                      <w:szCs w:val="21"/>
                    </w:rPr>
                  </w:pPr>
                  <w:r>
                    <w:rPr>
                      <w:rFonts w:hint="eastAsia"/>
                      <w:color w:val="000000"/>
                      <w:sz w:val="21"/>
                      <w:szCs w:val="21"/>
                    </w:rPr>
                    <w:t>14</w:t>
                  </w:r>
                </w:p>
              </w:tc>
              <w:tc>
                <w:tcPr>
                  <w:tcW w:w="1242" w:type="dxa"/>
                  <w:vAlign w:val="center"/>
                </w:tcPr>
                <w:p>
                  <w:pPr>
                    <w:spacing w:line="240" w:lineRule="auto"/>
                    <w:ind w:firstLine="0" w:firstLineChars="0"/>
                    <w:jc w:val="center"/>
                    <w:rPr>
                      <w:color w:val="000000"/>
                      <w:sz w:val="21"/>
                      <w:szCs w:val="21"/>
                    </w:rPr>
                  </w:pPr>
                  <w:r>
                    <w:rPr>
                      <w:color w:val="000000"/>
                      <w:sz w:val="21"/>
                      <w:szCs w:val="21"/>
                    </w:rPr>
                    <w:t>重型带式压滤机</w:t>
                  </w:r>
                </w:p>
              </w:tc>
              <w:tc>
                <w:tcPr>
                  <w:tcW w:w="1189" w:type="dxa"/>
                  <w:vAlign w:val="center"/>
                </w:tcPr>
                <w:p>
                  <w:pPr>
                    <w:spacing w:line="240" w:lineRule="auto"/>
                    <w:ind w:firstLine="0" w:firstLineChars="0"/>
                    <w:jc w:val="center"/>
                    <w:rPr>
                      <w:color w:val="000000"/>
                      <w:sz w:val="21"/>
                      <w:szCs w:val="21"/>
                    </w:rPr>
                  </w:pPr>
                  <w:r>
                    <w:rPr>
                      <w:color w:val="000000"/>
                      <w:sz w:val="21"/>
                      <w:szCs w:val="21"/>
                    </w:rPr>
                    <w:t>YDY-2500，10t/h</w:t>
                  </w:r>
                </w:p>
              </w:tc>
              <w:tc>
                <w:tcPr>
                  <w:tcW w:w="660" w:type="dxa"/>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544" w:type="dxa"/>
                  <w:vAlign w:val="center"/>
                </w:tcPr>
                <w:p>
                  <w:pPr>
                    <w:pStyle w:val="195"/>
                    <w:widowControl w:val="0"/>
                    <w:snapToGrid/>
                    <w:spacing w:line="240" w:lineRule="auto"/>
                    <w:rPr>
                      <w:rFonts w:eastAsia="仿宋" w:cs="Times New Roman"/>
                      <w:snapToGrid w:val="0"/>
                      <w:kern w:val="32"/>
                      <w:sz w:val="21"/>
                      <w:szCs w:val="21"/>
                    </w:rPr>
                  </w:pPr>
                  <w:r>
                    <w:rPr>
                      <w:rFonts w:hint="eastAsia" w:eastAsia="仿宋" w:cs="Times New Roman"/>
                      <w:sz w:val="21"/>
                      <w:szCs w:val="21"/>
                    </w:rPr>
                    <w:t>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1" w:type="dxa"/>
                  <w:vAlign w:val="center"/>
                </w:tcPr>
                <w:p>
                  <w:pPr>
                    <w:spacing w:line="240" w:lineRule="auto"/>
                    <w:ind w:firstLine="0" w:firstLineChars="0"/>
                    <w:jc w:val="center"/>
                    <w:rPr>
                      <w:color w:val="000000"/>
                      <w:sz w:val="21"/>
                      <w:szCs w:val="21"/>
                    </w:rPr>
                  </w:pPr>
                  <w:r>
                    <w:rPr>
                      <w:rFonts w:hint="eastAsia"/>
                      <w:color w:val="000000"/>
                      <w:sz w:val="21"/>
                      <w:szCs w:val="21"/>
                    </w:rPr>
                    <w:t>15</w:t>
                  </w:r>
                </w:p>
              </w:tc>
              <w:tc>
                <w:tcPr>
                  <w:tcW w:w="1061" w:type="dxa"/>
                  <w:vAlign w:val="center"/>
                </w:tcPr>
                <w:p>
                  <w:pPr>
                    <w:spacing w:line="240" w:lineRule="auto"/>
                    <w:ind w:firstLine="0" w:firstLineChars="0"/>
                    <w:jc w:val="center"/>
                    <w:rPr>
                      <w:color w:val="000000"/>
                      <w:sz w:val="21"/>
                      <w:szCs w:val="21"/>
                    </w:rPr>
                  </w:pPr>
                  <w:r>
                    <w:rPr>
                      <w:color w:val="000000"/>
                      <w:sz w:val="21"/>
                      <w:szCs w:val="21"/>
                    </w:rPr>
                    <w:t>水泵</w:t>
                  </w:r>
                </w:p>
              </w:tc>
              <w:tc>
                <w:tcPr>
                  <w:tcW w:w="1199" w:type="dxa"/>
                  <w:vAlign w:val="center"/>
                </w:tcPr>
                <w:p>
                  <w:pPr>
                    <w:spacing w:line="240" w:lineRule="auto"/>
                    <w:ind w:firstLine="0" w:firstLineChars="0"/>
                    <w:jc w:val="center"/>
                    <w:rPr>
                      <w:color w:val="000000"/>
                      <w:sz w:val="21"/>
                      <w:szCs w:val="21"/>
                    </w:rPr>
                  </w:pPr>
                  <w:r>
                    <w:rPr>
                      <w:color w:val="000000"/>
                      <w:sz w:val="21"/>
                      <w:szCs w:val="21"/>
                    </w:rPr>
                    <w:t>50m³/h</w:t>
                  </w:r>
                </w:p>
              </w:tc>
              <w:tc>
                <w:tcPr>
                  <w:tcW w:w="685" w:type="dxa"/>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676" w:type="dxa"/>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3</w:t>
                  </w:r>
                </w:p>
              </w:tc>
              <w:tc>
                <w:tcPr>
                  <w:tcW w:w="633" w:type="dxa"/>
                  <w:vAlign w:val="center"/>
                </w:tcPr>
                <w:p>
                  <w:pPr>
                    <w:spacing w:line="240" w:lineRule="auto"/>
                    <w:ind w:firstLine="0" w:firstLineChars="0"/>
                    <w:jc w:val="center"/>
                    <w:rPr>
                      <w:color w:val="000000"/>
                      <w:sz w:val="21"/>
                      <w:szCs w:val="21"/>
                    </w:rPr>
                  </w:pPr>
                  <w:r>
                    <w:rPr>
                      <w:rFonts w:hint="eastAsia"/>
                      <w:color w:val="000000"/>
                      <w:sz w:val="21"/>
                      <w:szCs w:val="21"/>
                    </w:rPr>
                    <w:t>15</w:t>
                  </w:r>
                </w:p>
              </w:tc>
              <w:tc>
                <w:tcPr>
                  <w:tcW w:w="1242" w:type="dxa"/>
                  <w:vAlign w:val="center"/>
                </w:tcPr>
                <w:p>
                  <w:pPr>
                    <w:spacing w:line="240" w:lineRule="auto"/>
                    <w:ind w:firstLine="0" w:firstLineChars="0"/>
                    <w:jc w:val="center"/>
                    <w:rPr>
                      <w:color w:val="000000"/>
                      <w:sz w:val="21"/>
                      <w:szCs w:val="21"/>
                    </w:rPr>
                  </w:pPr>
                  <w:r>
                    <w:rPr>
                      <w:color w:val="000000"/>
                      <w:sz w:val="21"/>
                      <w:szCs w:val="21"/>
                    </w:rPr>
                    <w:t>水泵</w:t>
                  </w:r>
                </w:p>
              </w:tc>
              <w:tc>
                <w:tcPr>
                  <w:tcW w:w="1189" w:type="dxa"/>
                  <w:vAlign w:val="center"/>
                </w:tcPr>
                <w:p>
                  <w:pPr>
                    <w:spacing w:line="240" w:lineRule="auto"/>
                    <w:ind w:firstLine="0" w:firstLineChars="0"/>
                    <w:jc w:val="center"/>
                    <w:rPr>
                      <w:color w:val="000000"/>
                      <w:sz w:val="21"/>
                      <w:szCs w:val="21"/>
                    </w:rPr>
                  </w:pPr>
                  <w:r>
                    <w:rPr>
                      <w:color w:val="000000"/>
                      <w:sz w:val="21"/>
                      <w:szCs w:val="21"/>
                    </w:rPr>
                    <w:t>50m³/h</w:t>
                  </w:r>
                </w:p>
              </w:tc>
              <w:tc>
                <w:tcPr>
                  <w:tcW w:w="660" w:type="dxa"/>
                  <w:vAlign w:val="center"/>
                </w:tcPr>
                <w:p>
                  <w:pPr>
                    <w:spacing w:line="240" w:lineRule="auto"/>
                    <w:ind w:firstLine="0" w:firstLineChars="0"/>
                    <w:jc w:val="center"/>
                    <w:rPr>
                      <w:color w:val="000000"/>
                      <w:sz w:val="21"/>
                      <w:szCs w:val="21"/>
                    </w:rPr>
                  </w:pPr>
                  <w:r>
                    <w:rPr>
                      <w:rFonts w:hint="eastAsia"/>
                      <w:color w:val="000000"/>
                      <w:sz w:val="21"/>
                      <w:szCs w:val="21"/>
                    </w:rPr>
                    <w:t>台</w:t>
                  </w:r>
                </w:p>
              </w:tc>
              <w:tc>
                <w:tcPr>
                  <w:tcW w:w="544" w:type="dxa"/>
                  <w:vAlign w:val="center"/>
                </w:tcPr>
                <w:p>
                  <w:pPr>
                    <w:pStyle w:val="195"/>
                    <w:widowControl w:val="0"/>
                    <w:snapToGrid/>
                    <w:spacing w:line="240" w:lineRule="auto"/>
                    <w:rPr>
                      <w:rFonts w:eastAsia="仿宋" w:cs="Times New Roman"/>
                      <w:snapToGrid w:val="0"/>
                      <w:kern w:val="32"/>
                      <w:sz w:val="21"/>
                      <w:szCs w:val="21"/>
                    </w:rPr>
                  </w:pPr>
                  <w:r>
                    <w:rPr>
                      <w:rFonts w:eastAsia="仿宋" w:cs="Times New Roman"/>
                      <w:sz w:val="21"/>
                      <w:szCs w:val="21"/>
                    </w:rPr>
                    <w:t>3</w:t>
                  </w:r>
                </w:p>
              </w:tc>
            </w:tr>
          </w:tbl>
          <w:p>
            <w:pPr>
              <w:pStyle w:val="144"/>
              <w:spacing w:before="0" w:after="0"/>
              <w:ind w:firstLine="0" w:firstLineChars="0"/>
              <w:rPr>
                <w:b/>
                <w:bCs/>
              </w:rPr>
            </w:pPr>
            <w:r>
              <w:rPr>
                <w:b/>
                <w:bCs/>
              </w:rPr>
              <w:t>4</w:t>
            </w:r>
            <w:r>
              <w:rPr>
                <w:rFonts w:hint="eastAsia"/>
                <w:b/>
                <w:bCs/>
              </w:rPr>
              <w:t>、现有工程生产工艺流程</w:t>
            </w:r>
          </w:p>
          <w:p>
            <w:pPr>
              <w:pStyle w:val="144"/>
              <w:spacing w:before="0" w:after="0"/>
              <w:ind w:firstLine="480"/>
            </w:pPr>
            <w:r>
              <w:rPr>
                <w:rFonts w:hint="eastAsia"/>
              </w:rPr>
              <w:t>现有工程采用三段破碎、两段磨矿、三次磁选的生产工艺。工艺流程见图3。</w:t>
            </w:r>
          </w:p>
          <w:p>
            <w:pPr>
              <w:pStyle w:val="144"/>
              <w:spacing w:before="0" w:after="0"/>
              <w:ind w:firstLine="480"/>
            </w:pPr>
            <w:r>
              <w:rPr>
                <w:rFonts w:hint="eastAsia"/>
              </w:rPr>
              <w:t>（1）原料的堆存</w:t>
            </w:r>
          </w:p>
          <w:p>
            <w:pPr>
              <w:pStyle w:val="144"/>
              <w:spacing w:before="0" w:after="0"/>
              <w:ind w:firstLine="480"/>
            </w:pPr>
            <w:r>
              <w:rPr>
                <w:rFonts w:hint="eastAsia"/>
              </w:rPr>
              <w:t>本项目原料为原铁矿石，经汽车运输到本厂原矿库内堆存。原铁矿石在铁矿已经进行了废石拣选。</w:t>
            </w:r>
          </w:p>
          <w:p>
            <w:pPr>
              <w:pStyle w:val="144"/>
              <w:spacing w:before="0" w:after="0"/>
              <w:ind w:firstLine="480"/>
            </w:pPr>
            <w:r>
              <w:rPr>
                <w:rFonts w:hint="eastAsia"/>
              </w:rPr>
              <w:t>（2）矿石破碎</w:t>
            </w:r>
          </w:p>
          <w:p>
            <w:pPr>
              <w:pStyle w:val="144"/>
              <w:spacing w:before="0" w:after="0"/>
              <w:ind w:firstLine="480"/>
            </w:pPr>
            <w:r>
              <w:rPr>
                <w:rFonts w:hint="eastAsia"/>
              </w:rPr>
              <w:t>原矿通过装载机给入破碎机进行粗破，出料通过皮带机给入破碎机进行细破，而后进入料仓。</w:t>
            </w:r>
          </w:p>
          <w:p>
            <w:pPr>
              <w:pStyle w:val="144"/>
              <w:spacing w:before="0" w:after="0"/>
              <w:ind w:firstLine="480"/>
            </w:pPr>
            <w:r>
              <w:rPr>
                <w:rFonts w:hint="eastAsia"/>
              </w:rPr>
              <w:t>（3）磨矿、磁选</w:t>
            </w:r>
          </w:p>
          <w:p>
            <w:pPr>
              <w:pStyle w:val="144"/>
              <w:spacing w:before="0" w:after="0"/>
              <w:ind w:firstLine="480"/>
            </w:pPr>
            <w:r>
              <w:rPr>
                <w:rFonts w:hint="eastAsia"/>
              </w:rPr>
              <w:t>经破碎铁矿粉首先经粗球磨后进入分级及，不合格产品返回上一级球磨机再磨，合格产品进入磁选机，废矿排出（两个串联）进行甩尾，一段磁选后尾矿排出，合格精矿进入下段磨机，细球磨后进入高频筛，筛上部分返回上段球磨再磨，筛下部分进入下级磁选机，尾矿排出，合格精铁矿进入过滤机脱水，精矿排入精矿堆场，过滤水排入循环水池。</w:t>
            </w:r>
          </w:p>
          <w:p>
            <w:pPr>
              <w:pStyle w:val="144"/>
              <w:spacing w:before="0" w:after="0"/>
              <w:ind w:firstLine="480"/>
            </w:pPr>
            <w:r>
              <w:rPr>
                <w:rFonts w:hint="eastAsia"/>
              </w:rPr>
              <w:t>（4）尾矿</w:t>
            </w:r>
          </w:p>
          <w:p>
            <w:pPr>
              <w:pStyle w:val="144"/>
              <w:spacing w:before="0" w:after="0"/>
              <w:ind w:firstLine="480"/>
            </w:pPr>
            <w:r>
              <w:rPr>
                <w:rFonts w:hint="eastAsia"/>
              </w:rPr>
              <w:t>各磁选工段甩出的尾矿经矿浆泵打入尾矿库，尾矿水澄清后回用于生产。</w:t>
            </w:r>
          </w:p>
          <w:p>
            <w:pPr>
              <w:pStyle w:val="144"/>
              <w:spacing w:before="0" w:after="0"/>
              <w:ind w:firstLine="480"/>
            </w:pPr>
          </w:p>
          <w:p>
            <w:pPr>
              <w:pStyle w:val="144"/>
              <w:spacing w:before="0" w:after="0"/>
              <w:ind w:firstLine="480"/>
            </w:pPr>
          </w:p>
          <w:p>
            <w:pPr>
              <w:pStyle w:val="144"/>
              <w:spacing w:before="0" w:after="0"/>
              <w:ind w:firstLine="480"/>
            </w:pPr>
          </w:p>
          <w:p>
            <w:pPr>
              <w:pStyle w:val="144"/>
              <w:spacing w:before="0" w:after="0" w:line="240" w:lineRule="auto"/>
              <w:ind w:firstLine="480"/>
            </w:pPr>
          </w:p>
          <w:p>
            <w:pPr>
              <w:pStyle w:val="144"/>
              <w:spacing w:before="0" w:after="0" w:line="240" w:lineRule="auto"/>
              <w:ind w:firstLine="480"/>
            </w:pPr>
          </w:p>
          <w:p>
            <w:pPr>
              <w:pStyle w:val="144"/>
              <w:spacing w:before="0" w:after="0" w:line="240" w:lineRule="auto"/>
              <w:ind w:firstLine="480"/>
            </w:pPr>
          </w:p>
          <w:p>
            <w:pPr>
              <w:pStyle w:val="144"/>
              <w:spacing w:before="0" w:after="0" w:line="240" w:lineRule="auto"/>
              <w:ind w:firstLine="480"/>
            </w:pPr>
          </w:p>
          <w:p>
            <w:pPr>
              <w:pStyle w:val="144"/>
              <w:spacing w:before="0" w:after="0" w:line="240" w:lineRule="auto"/>
              <w:ind w:firstLine="480"/>
            </w:pPr>
          </w:p>
          <w:p>
            <w:pPr>
              <w:pStyle w:val="144"/>
              <w:spacing w:before="0" w:after="0" w:line="240" w:lineRule="auto"/>
              <w:ind w:firstLine="480"/>
            </w:pPr>
          </w:p>
          <w:p>
            <w:pPr>
              <w:pStyle w:val="144"/>
              <w:spacing w:before="0" w:after="0" w:line="240" w:lineRule="auto"/>
              <w:ind w:firstLine="0" w:firstLineChars="0"/>
              <w:jc w:val="center"/>
              <w:rPr>
                <w:color w:val="FF0000"/>
              </w:rPr>
            </w:pPr>
            <w:r>
              <w:object>
                <v:shape id="_x0000_i1027" o:spt="75" type="#_x0000_t75" style="height:417.75pt;width:446.25pt;" o:ole="t" filled="f" o:preferrelative="t" stroked="f" coordsize="21600,21600">
                  <v:path/>
                  <v:fill on="f" focussize="0,0"/>
                  <v:stroke on="f" joinstyle="miter"/>
                  <v:imagedata r:id="rId20" o:title=""/>
                  <o:lock v:ext="edit" aspectratio="t"/>
                  <w10:wrap type="none"/>
                  <w10:anchorlock/>
                </v:shape>
                <o:OLEObject Type="Embed" ProgID="Visio.Drawing.15" ShapeID="_x0000_i1027" DrawAspect="Content" ObjectID="_1468075727" r:id="rId19">
                  <o:LockedField>false</o:LockedField>
                </o:OLEObject>
              </w:object>
            </w:r>
          </w:p>
          <w:p>
            <w:pPr>
              <w:pStyle w:val="144"/>
              <w:spacing w:before="0" w:after="0"/>
              <w:ind w:firstLine="0" w:firstLineChars="0"/>
              <w:jc w:val="center"/>
              <w:rPr>
                <w:rFonts w:ascii="黑体" w:hAnsi="黑体" w:eastAsia="黑体"/>
              </w:rPr>
            </w:pPr>
            <w:r>
              <w:rPr>
                <w:rFonts w:hint="eastAsia" w:ascii="黑体" w:hAnsi="黑体" w:eastAsia="黑体"/>
              </w:rPr>
              <w:t>图3</w:t>
            </w:r>
            <w:r>
              <w:rPr>
                <w:rFonts w:ascii="黑体" w:hAnsi="黑体" w:eastAsia="黑体"/>
              </w:rPr>
              <w:t xml:space="preserve">  </w:t>
            </w:r>
            <w:r>
              <w:rPr>
                <w:rFonts w:hint="eastAsia" w:ascii="黑体" w:hAnsi="黑体" w:eastAsia="黑体"/>
              </w:rPr>
              <w:t>现有工程工艺流程图</w:t>
            </w:r>
          </w:p>
          <w:p>
            <w:pPr>
              <w:pStyle w:val="144"/>
              <w:spacing w:before="0" w:after="0"/>
              <w:ind w:firstLine="0" w:firstLineChars="0"/>
              <w:rPr>
                <w:b/>
                <w:bCs/>
              </w:rPr>
            </w:pPr>
            <w:r>
              <w:rPr>
                <w:b/>
                <w:bCs/>
              </w:rPr>
              <w:t>5</w:t>
            </w:r>
            <w:r>
              <w:rPr>
                <w:rFonts w:hint="eastAsia"/>
                <w:b/>
                <w:bCs/>
              </w:rPr>
              <w:t>、现有工程污染物排放情况</w:t>
            </w:r>
          </w:p>
          <w:p>
            <w:pPr>
              <w:pStyle w:val="144"/>
              <w:spacing w:before="0" w:after="0"/>
              <w:ind w:firstLine="480"/>
            </w:pPr>
            <w:r>
              <w:rPr>
                <w:rFonts w:hint="eastAsia"/>
              </w:rPr>
              <w:t>（1）大气污染物排放情况</w:t>
            </w:r>
          </w:p>
          <w:p>
            <w:pPr>
              <w:pStyle w:val="144"/>
              <w:spacing w:before="0" w:after="0"/>
              <w:ind w:firstLine="480"/>
            </w:pPr>
            <w:r>
              <w:rPr>
                <w:rFonts w:hint="eastAsia"/>
              </w:rPr>
              <w:t>本项目运营期大气的污染物主要是原料储存、运输、破碎等过程中产生的粉尘。</w:t>
            </w:r>
          </w:p>
          <w:p>
            <w:pPr>
              <w:pStyle w:val="144"/>
              <w:spacing w:before="0" w:after="0"/>
              <w:ind w:firstLine="480"/>
            </w:pPr>
            <w:r>
              <w:rPr>
                <w:rFonts w:hint="eastAsia"/>
              </w:rPr>
              <w:t>1）堆场粉尘影响分析</w:t>
            </w:r>
          </w:p>
          <w:p>
            <w:pPr>
              <w:pStyle w:val="144"/>
              <w:spacing w:before="0" w:after="0"/>
              <w:ind w:firstLine="480"/>
            </w:pPr>
            <w:r>
              <w:rPr>
                <w:rFonts w:hint="eastAsia"/>
              </w:rPr>
              <w:t>原料铁矿石运进厂区后，在卸料及堆存过程中会产生一定量的粉尘，对当地大气环境造成一定的影响。通过类比计算堆场粉尘产生量为1</w:t>
            </w:r>
            <w:r>
              <w:t>0.0</w:t>
            </w:r>
            <w:r>
              <w:rPr>
                <w:rFonts w:hint="eastAsia"/>
              </w:rPr>
              <w:t>t/a。针对堆场粉尘对大气环境的影响，环评要求采取对原矿堆场地面硬化，建设全封闭原料库，并设置洒水抑尘措施。采取上述措施后，堆场粉尘排放量为0</w:t>
            </w:r>
            <w:r>
              <w:t>.1</w:t>
            </w:r>
            <w:r>
              <w:rPr>
                <w:rFonts w:hint="eastAsia"/>
              </w:rPr>
              <w:t>t/a。</w:t>
            </w:r>
          </w:p>
          <w:p>
            <w:pPr>
              <w:pStyle w:val="144"/>
              <w:spacing w:before="0" w:after="0"/>
              <w:ind w:firstLine="480"/>
            </w:pPr>
            <w:r>
              <w:rPr>
                <w:rFonts w:hint="eastAsia"/>
              </w:rPr>
              <w:t>2）矿石破碎系统粉尘影响分析</w:t>
            </w:r>
          </w:p>
          <w:p>
            <w:pPr>
              <w:pStyle w:val="144"/>
              <w:spacing w:before="0" w:after="0"/>
              <w:ind w:firstLine="480"/>
            </w:pPr>
            <w:r>
              <w:rPr>
                <w:rFonts w:hint="eastAsia"/>
              </w:rPr>
              <w:t>在矿石破碎过程中产生大量的含尘废气，含尘浓度较高，为本项目主要产尘源，如不采取措施将会对周围大气环境造成较大影响，经类比分析，一段破碎产生的粉尘经收集后浓度为1</w:t>
            </w:r>
            <w:r>
              <w:t>000</w:t>
            </w:r>
            <w:r>
              <w:rPr>
                <w:rFonts w:hint="eastAsia"/>
              </w:rPr>
              <w:t>~</w:t>
            </w:r>
            <w:r>
              <w:t>2000</w:t>
            </w:r>
            <w:r>
              <w:rPr>
                <w:rFonts w:hint="eastAsia"/>
              </w:rPr>
              <w:t>mg</w:t>
            </w:r>
            <w:r>
              <w:t>/m</w:t>
            </w:r>
            <w:r>
              <w:rPr>
                <w:vertAlign w:val="superscript"/>
              </w:rPr>
              <w:t>3</w:t>
            </w:r>
            <w:r>
              <w:rPr>
                <w:rFonts w:hint="eastAsia"/>
              </w:rPr>
              <w:t>，二段破碎产生的粉尘经收集后浓度为2</w:t>
            </w:r>
            <w:r>
              <w:t>000</w:t>
            </w:r>
            <w:r>
              <w:rPr>
                <w:rFonts w:hint="eastAsia"/>
              </w:rPr>
              <w:t>~</w:t>
            </w:r>
            <w:r>
              <w:t>3500</w:t>
            </w:r>
            <w:r>
              <w:rPr>
                <w:rFonts w:hint="eastAsia"/>
              </w:rPr>
              <w:t>mg</w:t>
            </w:r>
            <w:r>
              <w:t>/m</w:t>
            </w:r>
            <w:r>
              <w:rPr>
                <w:vertAlign w:val="superscript"/>
              </w:rPr>
              <w:t>3</w:t>
            </w:r>
            <w:r>
              <w:rPr>
                <w:rFonts w:hint="eastAsia"/>
              </w:rPr>
              <w:t>。通过类比计算破碎产生粉尘量为1</w:t>
            </w:r>
            <w:r>
              <w:t>16.5</w:t>
            </w:r>
            <w:r>
              <w:rPr>
                <w:rFonts w:hint="eastAsia"/>
              </w:rPr>
              <w:t>t/a。</w:t>
            </w:r>
          </w:p>
          <w:p>
            <w:pPr>
              <w:pStyle w:val="144"/>
              <w:spacing w:before="0" w:after="0"/>
              <w:ind w:firstLine="480"/>
            </w:pPr>
            <w:r>
              <w:rPr>
                <w:rFonts w:hint="eastAsia"/>
              </w:rPr>
              <w:t>为了最大限度的减少破碎粉尘排放，环评要求对三台破碎机采用密闭操作，分别增设集尘罩，采用风机收集粉尘。粉尘收集后一起经布袋除尘器处理，废气处理风机风量约为1</w:t>
            </w:r>
            <w:r>
              <w:t>0000</w:t>
            </w:r>
            <w:r>
              <w:rPr>
                <w:rFonts w:hint="eastAsia"/>
              </w:rPr>
              <w:t>m</w:t>
            </w:r>
            <w:r>
              <w:rPr>
                <w:vertAlign w:val="superscript"/>
              </w:rPr>
              <w:t>3</w:t>
            </w:r>
            <w:r>
              <w:t>/h</w:t>
            </w:r>
            <w:r>
              <w:rPr>
                <w:rFonts w:hint="eastAsia"/>
              </w:rPr>
              <w:t>，废气经1</w:t>
            </w:r>
            <w:r>
              <w:t>5</w:t>
            </w:r>
            <w:r>
              <w:rPr>
                <w:rFonts w:hint="eastAsia"/>
              </w:rPr>
              <w:t>m高排气筒排放，除尘器回收的粉尘回用。经采取除尘器后粉尘排放量为5</w:t>
            </w:r>
            <w:r>
              <w:t>.83</w:t>
            </w:r>
            <w:r>
              <w:rPr>
                <w:rFonts w:hint="eastAsia"/>
              </w:rPr>
              <w:t>t/a，排放浓度为5</w:t>
            </w:r>
            <w:r>
              <w:t>7.8</w:t>
            </w:r>
            <w:r>
              <w:rPr>
                <w:rFonts w:hint="eastAsia"/>
              </w:rPr>
              <w:t>mg/</w:t>
            </w:r>
            <w:r>
              <w:t>m</w:t>
            </w:r>
            <w:r>
              <w:rPr>
                <w:vertAlign w:val="superscript"/>
              </w:rPr>
              <w:t>3</w:t>
            </w:r>
            <w:r>
              <w:rPr>
                <w:rFonts w:hint="eastAsia"/>
              </w:rPr>
              <w:t>，达到《大气污染物综合排放标准》（G</w:t>
            </w:r>
            <w:r>
              <w:t>B16297-1996</w:t>
            </w:r>
            <w:r>
              <w:rPr>
                <w:rFonts w:hint="eastAsia"/>
              </w:rPr>
              <w:t>）二级标准的要求。</w:t>
            </w:r>
          </w:p>
          <w:p>
            <w:pPr>
              <w:pStyle w:val="144"/>
              <w:spacing w:before="0" w:after="0"/>
              <w:ind w:firstLine="480"/>
            </w:pPr>
            <w:r>
              <w:rPr>
                <w:rFonts w:hint="eastAsia"/>
              </w:rPr>
              <w:t>3）输送转运过程产生粉尘及道路扬尘影响分析</w:t>
            </w:r>
          </w:p>
          <w:p>
            <w:pPr>
              <w:pStyle w:val="144"/>
              <w:spacing w:before="0" w:after="0"/>
              <w:ind w:firstLine="480"/>
            </w:pPr>
            <w:r>
              <w:rPr>
                <w:rFonts w:hint="eastAsia"/>
              </w:rPr>
              <w:t>矿石通过皮带输送机转运过程中将会产生粉尘，在装料与卸料点产生的粉尘浓度相对较高，同时汽车运输过程中也产生大量的道路扬尘。经类比分析，粉尘产生量为1</w:t>
            </w:r>
            <w:r>
              <w:t>0.72</w:t>
            </w:r>
            <w:r>
              <w:rPr>
                <w:rFonts w:hint="eastAsia"/>
              </w:rPr>
              <w:t>t/a。</w:t>
            </w:r>
          </w:p>
          <w:p>
            <w:pPr>
              <w:pStyle w:val="144"/>
              <w:spacing w:before="0" w:after="0"/>
              <w:ind w:firstLine="480"/>
            </w:pPr>
            <w:r>
              <w:rPr>
                <w:rFonts w:hint="eastAsia"/>
              </w:rPr>
              <w:t>为了减少道路扬尘对大气环境的污染，采取减少转运点和缩短运距，减少落差，操作时控制落料速度；同时采取密闭作业；厂区运输道路硬化、定期洒水，厂区进行绿化等措施。在采取上述防治措施后，道路扬尘排放量为0</w:t>
            </w:r>
            <w:r>
              <w:t>.11</w:t>
            </w:r>
            <w:r>
              <w:rPr>
                <w:rFonts w:hint="eastAsia"/>
              </w:rPr>
              <w:t>t/a，对大气环境影响较小。</w:t>
            </w:r>
          </w:p>
          <w:p>
            <w:pPr>
              <w:pStyle w:val="144"/>
              <w:spacing w:before="0" w:after="0"/>
              <w:ind w:firstLine="480"/>
            </w:pPr>
            <w:r>
              <w:rPr>
                <w:rFonts w:hint="eastAsia"/>
              </w:rPr>
              <w:t>4）料仓粉尘影响分析</w:t>
            </w:r>
          </w:p>
          <w:p>
            <w:pPr>
              <w:pStyle w:val="144"/>
              <w:spacing w:before="0" w:after="0"/>
              <w:ind w:firstLine="480"/>
            </w:pPr>
            <w:r>
              <w:rPr>
                <w:rFonts w:hint="eastAsia"/>
              </w:rPr>
              <w:t>矿石经破碎分选后入料仓，在入料仓以及料仓储存过程中也会产生一定量粉尘，通过类比计算，并结合本项目料仓的大小，料仓粉尘产生量为1</w:t>
            </w:r>
            <w:r>
              <w:t>9.4</w:t>
            </w:r>
            <w:r>
              <w:rPr>
                <w:rFonts w:hint="eastAsia"/>
              </w:rPr>
              <w:t>t/a。针对本项目料仓的特点，环评要求对料仓粉尘，采取密闭措施，上部设喷淋洒水设施。采取措施后料仓粉尘排放量为0</w:t>
            </w:r>
            <w:r>
              <w:t>.194</w:t>
            </w:r>
            <w:r>
              <w:rPr>
                <w:rFonts w:hint="eastAsia"/>
              </w:rPr>
              <w:t>t/a。</w:t>
            </w:r>
          </w:p>
          <w:p>
            <w:pPr>
              <w:pStyle w:val="144"/>
              <w:spacing w:before="0" w:after="0"/>
              <w:ind w:firstLine="480"/>
            </w:pPr>
            <w:r>
              <w:rPr>
                <w:rFonts w:hint="eastAsia"/>
              </w:rPr>
              <w:t>（</w:t>
            </w:r>
            <w:r>
              <w:t>2</w:t>
            </w:r>
            <w:r>
              <w:rPr>
                <w:rFonts w:hint="eastAsia"/>
              </w:rPr>
              <w:t>）水污染物排放情况</w:t>
            </w:r>
          </w:p>
          <w:p>
            <w:pPr>
              <w:pStyle w:val="144"/>
              <w:spacing w:before="0" w:after="0"/>
              <w:ind w:firstLine="480"/>
            </w:pPr>
            <w:r>
              <w:rPr>
                <w:rFonts w:hint="eastAsia"/>
              </w:rPr>
              <w:t>本项目产生的废水主要为生产废水和生活污水。</w:t>
            </w:r>
          </w:p>
          <w:p>
            <w:pPr>
              <w:pStyle w:val="144"/>
              <w:spacing w:before="0" w:after="0"/>
              <w:ind w:firstLine="480"/>
            </w:pPr>
            <w:r>
              <w:rPr>
                <w:rFonts w:hint="eastAsia"/>
              </w:rPr>
              <w:t>1）生产废水：本工程生产废水主要为精矿浓缩过滤水、尾矿沉淀水。次选矿工序配备有相应循环水池，保证生产的正常运行。</w:t>
            </w:r>
          </w:p>
          <w:p>
            <w:pPr>
              <w:pStyle w:val="144"/>
              <w:spacing w:before="0" w:after="0"/>
              <w:ind w:firstLine="480"/>
            </w:pPr>
            <w:r>
              <w:rPr>
                <w:rFonts w:hint="eastAsia"/>
              </w:rPr>
              <w:t>精矿浓缩过滤水直接返回循环水池供生产使用；尾矿库中的尾矿水经沉淀澄清后，用回水泵打入循环水池回用于生产。可保证生产用水全部循环利用不外排。</w:t>
            </w:r>
          </w:p>
          <w:p>
            <w:pPr>
              <w:pStyle w:val="144"/>
              <w:spacing w:before="0" w:after="0"/>
              <w:ind w:firstLine="480"/>
            </w:pPr>
            <w:r>
              <w:rPr>
                <w:rFonts w:hint="eastAsia"/>
              </w:rPr>
              <w:t>2）生活污水：全厂定员2</w:t>
            </w:r>
            <w:r>
              <w:t>7</w:t>
            </w:r>
            <w:r>
              <w:rPr>
                <w:rFonts w:hint="eastAsia"/>
              </w:rPr>
              <w:t>人，由于项目处于农村地区，且无洗浴、食堂，使用安策，每人每天用水量按3</w:t>
            </w:r>
            <w:r>
              <w:t>0L</w:t>
            </w:r>
            <w:r>
              <w:rPr>
                <w:rFonts w:hint="eastAsia"/>
              </w:rPr>
              <w:t>算，全厂生活用水量为0</w:t>
            </w:r>
            <w:r>
              <w:t>.81</w:t>
            </w:r>
            <w:r>
              <w:rPr>
                <w:rFonts w:hint="eastAsia"/>
              </w:rPr>
              <w:t>m</w:t>
            </w:r>
            <w:r>
              <w:rPr>
                <w:vertAlign w:val="superscript"/>
              </w:rPr>
              <w:t>3</w:t>
            </w:r>
            <w:r>
              <w:t>/d</w:t>
            </w:r>
            <w:r>
              <w:rPr>
                <w:rFonts w:hint="eastAsia"/>
              </w:rPr>
              <w:t>。生活污水主要为洗漱废水，排放量为0</w:t>
            </w:r>
            <w:r>
              <w:t>.52</w:t>
            </w:r>
            <w:r>
              <w:rPr>
                <w:rFonts w:hint="eastAsia"/>
              </w:rPr>
              <w:t>m</w:t>
            </w:r>
            <w:r>
              <w:rPr>
                <w:vertAlign w:val="superscript"/>
              </w:rPr>
              <w:t>3</w:t>
            </w:r>
            <w:r>
              <w:t>/d</w:t>
            </w:r>
            <w:r>
              <w:rPr>
                <w:rFonts w:hint="eastAsia"/>
              </w:rPr>
              <w:t>。一般含有C</w:t>
            </w:r>
            <w:r>
              <w:t>OD</w:t>
            </w:r>
            <w:r>
              <w:rPr>
                <w:rFonts w:hint="eastAsia"/>
              </w:rPr>
              <w:t>等污染物，水量少，一般随地泼洒，用于道路洒水抑尘，不外排。</w:t>
            </w:r>
          </w:p>
          <w:p>
            <w:pPr>
              <w:pStyle w:val="144"/>
              <w:spacing w:before="0" w:after="0"/>
              <w:ind w:firstLine="480"/>
            </w:pPr>
            <w:r>
              <w:rPr>
                <w:rFonts w:hint="eastAsia"/>
              </w:rPr>
              <w:t>（</w:t>
            </w:r>
            <w:r>
              <w:t>3</w:t>
            </w:r>
            <w:r>
              <w:rPr>
                <w:rFonts w:hint="eastAsia"/>
              </w:rPr>
              <w:t>）固废排放情况</w:t>
            </w:r>
          </w:p>
          <w:p>
            <w:pPr>
              <w:pStyle w:val="144"/>
              <w:spacing w:before="0" w:after="0"/>
              <w:ind w:firstLine="480"/>
            </w:pPr>
            <w:r>
              <w:rPr>
                <w:rFonts w:hint="eastAsia"/>
              </w:rPr>
              <w:t>固体废物主要为选矿产生的尾矿、除尘系统收集的粉尘及少量的生活垃圾。</w:t>
            </w:r>
          </w:p>
          <w:p>
            <w:pPr>
              <w:pStyle w:val="144"/>
              <w:spacing w:before="0" w:after="0"/>
              <w:ind w:firstLine="480"/>
            </w:pPr>
            <w:r>
              <w:rPr>
                <w:rFonts w:hint="eastAsia"/>
              </w:rPr>
              <w:t>1）尾矿：本项目选矿过程年产生尾矿为5万吨，尾矿干容量1</w:t>
            </w:r>
            <w:r>
              <w:t>.5</w:t>
            </w:r>
            <w:r>
              <w:rPr>
                <w:rFonts w:hint="eastAsia"/>
              </w:rPr>
              <w:t>t/m</w:t>
            </w:r>
            <w:r>
              <w:rPr>
                <w:rFonts w:hint="eastAsia"/>
                <w:vertAlign w:val="superscript"/>
              </w:rPr>
              <w:t>3</w:t>
            </w:r>
            <w:r>
              <w:rPr>
                <w:rFonts w:hint="eastAsia"/>
              </w:rPr>
              <w:t>（合3</w:t>
            </w:r>
            <w:r>
              <w:t>.33</w:t>
            </w:r>
            <w:r>
              <w:rPr>
                <w:rFonts w:hint="eastAsia"/>
              </w:rPr>
              <w:t>万m</w:t>
            </w:r>
            <w:r>
              <w:rPr>
                <w:vertAlign w:val="superscript"/>
              </w:rPr>
              <w:t>3</w:t>
            </w:r>
            <w:r>
              <w:rPr>
                <w:rFonts w:hint="eastAsia"/>
              </w:rPr>
              <w:t>），全部送到尾矿库合理堆存。</w:t>
            </w:r>
          </w:p>
          <w:p>
            <w:pPr>
              <w:pStyle w:val="144"/>
              <w:spacing w:before="0" w:after="0"/>
              <w:ind w:firstLine="480"/>
            </w:pPr>
            <w:r>
              <w:rPr>
                <w:rFonts w:hint="eastAsia"/>
              </w:rPr>
              <w:t>2）除尘系统收集的粉尘：此粉尘均为不同粒度的矿石粉尘，环评要求作为原料回用于生产。</w:t>
            </w:r>
          </w:p>
          <w:p>
            <w:pPr>
              <w:pStyle w:val="144"/>
              <w:spacing w:before="0" w:after="0"/>
              <w:ind w:firstLine="480"/>
            </w:pPr>
            <w:r>
              <w:rPr>
                <w:rFonts w:hint="eastAsia"/>
              </w:rPr>
              <w:t>3）生活垃圾：生活垃圾按每人每天0</w:t>
            </w:r>
            <w:r>
              <w:t>.5</w:t>
            </w:r>
            <w:r>
              <w:rPr>
                <w:rFonts w:hint="eastAsia"/>
              </w:rPr>
              <w:t>kg算，则产生量为4</w:t>
            </w:r>
            <w:r>
              <w:t>.05</w:t>
            </w:r>
            <w:r>
              <w:rPr>
                <w:rFonts w:hint="eastAsia"/>
              </w:rPr>
              <w:t>吨，少量生活垃圾运往市政指定的地点处理。</w:t>
            </w:r>
          </w:p>
          <w:p>
            <w:pPr>
              <w:pStyle w:val="144"/>
              <w:spacing w:before="0" w:after="0"/>
              <w:ind w:firstLine="480"/>
            </w:pPr>
            <w:r>
              <w:rPr>
                <w:rFonts w:hint="eastAsia"/>
              </w:rPr>
              <w:t>（4）噪声排放情况</w:t>
            </w:r>
          </w:p>
          <w:p>
            <w:pPr>
              <w:pStyle w:val="144"/>
              <w:spacing w:before="0" w:after="0"/>
              <w:ind w:firstLine="480"/>
            </w:pPr>
            <w:r>
              <w:rPr>
                <w:rFonts w:hint="eastAsia"/>
              </w:rPr>
              <w:t>本项目主要噪声来源于破碎机、振动筛及球磨机等设备运行和生产过程总产生的噪声，噪声的声压级一般在8</w:t>
            </w:r>
            <w:r>
              <w:t>5-105</w:t>
            </w:r>
            <w:r>
              <w:rPr>
                <w:rFonts w:hint="eastAsia"/>
              </w:rPr>
              <w:t>d</w:t>
            </w:r>
            <w:r>
              <w:t>B(A)</w:t>
            </w:r>
            <w:r>
              <w:rPr>
                <w:rFonts w:hint="eastAsia"/>
              </w:rPr>
              <w:t>左右。针对本项目产噪设备特点，并结合本项目现存在的噪声污染问题，提出以下防治措施。</w:t>
            </w:r>
          </w:p>
          <w:p>
            <w:pPr>
              <w:pStyle w:val="144"/>
              <w:spacing w:before="0" w:after="0"/>
              <w:ind w:firstLine="480"/>
            </w:pPr>
            <w:r>
              <w:rPr>
                <w:rFonts w:hint="eastAsia"/>
              </w:rPr>
              <w:t>1）对破碎机、球磨机、磁选机、高频筛等产生的机械噪声的设备将其置于厂房内，进行密闭、隔声、减振等措施；</w:t>
            </w:r>
          </w:p>
          <w:p>
            <w:pPr>
              <w:pStyle w:val="144"/>
              <w:spacing w:before="0" w:after="0"/>
              <w:ind w:firstLine="480"/>
            </w:pPr>
            <w:r>
              <w:rPr>
                <w:rFonts w:hint="eastAsia"/>
              </w:rPr>
              <w:t>2）加强个人防护，应充分重视操作人员的劳动保护，为其发放特制耳塞、耳罩，并设置操作人员值班室，避免操作人员长期处理高噪声环境中。</w:t>
            </w:r>
          </w:p>
          <w:p>
            <w:pPr>
              <w:pStyle w:val="144"/>
              <w:spacing w:before="0" w:after="0"/>
              <w:ind w:firstLine="480"/>
            </w:pPr>
            <w:r>
              <w:rPr>
                <w:rFonts w:hint="eastAsia"/>
              </w:rPr>
              <w:t>3）对厂区及道路两旁进行绿化，可降低噪声对周围环境的污染。</w:t>
            </w:r>
          </w:p>
          <w:p>
            <w:pPr>
              <w:pStyle w:val="144"/>
              <w:spacing w:before="0" w:after="0"/>
              <w:ind w:firstLine="480"/>
            </w:pPr>
            <w:r>
              <w:rPr>
                <w:rFonts w:hint="eastAsia"/>
              </w:rPr>
              <w:t>4）对运输噪声，要求车辆在敏感点和厂区限速行驶，禁止鸣笛。</w:t>
            </w:r>
          </w:p>
          <w:p>
            <w:pPr>
              <w:pStyle w:val="144"/>
              <w:spacing w:before="0" w:after="0"/>
              <w:ind w:firstLine="480"/>
            </w:pPr>
            <w:r>
              <w:rPr>
                <w:rFonts w:hint="eastAsia"/>
              </w:rPr>
              <w:t>通过采取噪声防治措施后，声源噪声可降低1</w:t>
            </w:r>
            <w:r>
              <w:t>0-40</w:t>
            </w:r>
            <w:r>
              <w:rPr>
                <w:rFonts w:hint="eastAsia"/>
              </w:rPr>
              <w:t xml:space="preserve"> d</w:t>
            </w:r>
            <w:r>
              <w:t>B(A)</w:t>
            </w:r>
            <w:r>
              <w:rPr>
                <w:rFonts w:hint="eastAsia"/>
              </w:rPr>
              <w:t>，可大大降低噪声对环境的影响。</w:t>
            </w:r>
          </w:p>
          <w:p>
            <w:pPr>
              <w:pStyle w:val="144"/>
              <w:spacing w:before="0" w:after="0"/>
              <w:ind w:firstLine="0" w:firstLineChars="0"/>
              <w:rPr>
                <w:b/>
                <w:bCs/>
              </w:rPr>
            </w:pPr>
            <w:r>
              <w:rPr>
                <w:b/>
                <w:bCs/>
              </w:rPr>
              <w:t>6</w:t>
            </w:r>
            <w:r>
              <w:rPr>
                <w:rFonts w:hint="eastAsia"/>
                <w:b/>
                <w:bCs/>
              </w:rPr>
              <w:t>、现有工程污染物达标排放情况</w:t>
            </w:r>
          </w:p>
          <w:p>
            <w:pPr>
              <w:pStyle w:val="144"/>
              <w:spacing w:before="0" w:after="0"/>
              <w:ind w:firstLine="480"/>
            </w:pPr>
            <w:r>
              <w:rPr>
                <w:rFonts w:hint="eastAsia"/>
              </w:rPr>
              <w:t>交城县西冶兴威矿石加工厂“年产1</w:t>
            </w:r>
            <w:r>
              <w:t>0</w:t>
            </w:r>
            <w:r>
              <w:rPr>
                <w:rFonts w:hint="eastAsia"/>
              </w:rPr>
              <w:t>万吨铁精矿粉项目”验收时，建设单位于2</w:t>
            </w:r>
            <w:r>
              <w:t>020</w:t>
            </w:r>
            <w:r>
              <w:rPr>
                <w:rFonts w:hint="eastAsia"/>
              </w:rPr>
              <w:t>年4月委托山西清朗环保科技有限公司对项目竣工验收进行监测。山西清朗环保科技有限公司于2</w:t>
            </w:r>
            <w:r>
              <w:t>020</w:t>
            </w:r>
            <w:r>
              <w:rPr>
                <w:rFonts w:hint="eastAsia"/>
              </w:rPr>
              <w:t>年4月3</w:t>
            </w:r>
            <w:r>
              <w:t>0</w:t>
            </w:r>
            <w:r>
              <w:rPr>
                <w:rFonts w:hint="eastAsia"/>
              </w:rPr>
              <w:t>日、5月1日对项目污染源及厂界无组织废气、噪声进行了监测。</w:t>
            </w:r>
          </w:p>
          <w:p>
            <w:pPr>
              <w:pStyle w:val="144"/>
              <w:spacing w:before="0" w:after="0"/>
              <w:ind w:firstLine="480"/>
            </w:pPr>
            <w:r>
              <w:rPr>
                <w:rFonts w:hint="eastAsia"/>
              </w:rPr>
              <w:t>监测点位、项目、频次见下表。</w:t>
            </w:r>
          </w:p>
          <w:p>
            <w:pPr>
              <w:pStyle w:val="37"/>
              <w:ind w:firstLine="0" w:firstLineChars="0"/>
              <w:jc w:val="center"/>
              <w:rPr>
                <w:rFonts w:ascii="黑体" w:hAnsi="黑体" w:eastAsia="黑体"/>
                <w:sz w:val="24"/>
              </w:rPr>
            </w:pPr>
          </w:p>
          <w:p>
            <w:pPr>
              <w:pStyle w:val="37"/>
              <w:ind w:firstLine="0" w:firstLineChars="0"/>
              <w:jc w:val="center"/>
              <w:rPr>
                <w:rFonts w:ascii="黑体" w:hAnsi="黑体" w:eastAsia="黑体"/>
                <w:sz w:val="24"/>
              </w:rPr>
            </w:pPr>
          </w:p>
          <w:p>
            <w:pPr>
              <w:pStyle w:val="37"/>
              <w:ind w:firstLine="0" w:firstLineChars="0"/>
              <w:jc w:val="center"/>
              <w:rPr>
                <w:rFonts w:ascii="黑体" w:hAnsi="黑体" w:eastAsia="黑体"/>
                <w:sz w:val="24"/>
              </w:rPr>
            </w:pPr>
            <w:r>
              <w:rPr>
                <w:rFonts w:hint="eastAsia" w:ascii="黑体" w:hAnsi="黑体" w:eastAsia="黑体"/>
                <w:sz w:val="24"/>
              </w:rPr>
              <w:t>表</w:t>
            </w:r>
            <w:r>
              <w:rPr>
                <w:rFonts w:ascii="黑体" w:hAnsi="黑体" w:eastAsia="黑体"/>
                <w:sz w:val="24"/>
              </w:rPr>
              <w:t xml:space="preserve">11  </w:t>
            </w:r>
            <w:r>
              <w:rPr>
                <w:rFonts w:hint="eastAsia" w:ascii="黑体" w:hAnsi="黑体" w:eastAsia="黑体"/>
                <w:sz w:val="24"/>
              </w:rPr>
              <w:t>监测点位、项目、频次一览表</w:t>
            </w:r>
          </w:p>
          <w:tbl>
            <w:tblPr>
              <w:tblStyle w:val="7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9"/>
              <w:gridCol w:w="2260"/>
              <w:gridCol w:w="2401"/>
              <w:gridCol w:w="26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56" w:type="dxa"/>
                  <w:vAlign w:val="center"/>
                </w:tcPr>
                <w:p>
                  <w:pPr>
                    <w:pStyle w:val="144"/>
                    <w:snapToGrid/>
                    <w:spacing w:before="0" w:after="0" w:line="240" w:lineRule="auto"/>
                    <w:ind w:firstLine="0" w:firstLineChars="0"/>
                    <w:jc w:val="center"/>
                    <w:rPr>
                      <w:sz w:val="21"/>
                      <w:szCs w:val="21"/>
                    </w:rPr>
                  </w:pPr>
                  <w:r>
                    <w:rPr>
                      <w:rFonts w:hint="eastAsia"/>
                      <w:sz w:val="21"/>
                      <w:szCs w:val="21"/>
                    </w:rPr>
                    <w:t>监测类别</w:t>
                  </w:r>
                </w:p>
              </w:tc>
              <w:tc>
                <w:tcPr>
                  <w:tcW w:w="2268" w:type="dxa"/>
                  <w:vAlign w:val="center"/>
                </w:tcPr>
                <w:p>
                  <w:pPr>
                    <w:pStyle w:val="144"/>
                    <w:snapToGrid/>
                    <w:spacing w:before="0" w:after="0" w:line="240" w:lineRule="auto"/>
                    <w:ind w:firstLine="0" w:firstLineChars="0"/>
                    <w:jc w:val="center"/>
                    <w:rPr>
                      <w:sz w:val="21"/>
                      <w:szCs w:val="21"/>
                    </w:rPr>
                  </w:pPr>
                  <w:r>
                    <w:rPr>
                      <w:rFonts w:hint="eastAsia"/>
                      <w:sz w:val="21"/>
                      <w:szCs w:val="21"/>
                    </w:rPr>
                    <w:t>监测点名称</w:t>
                  </w:r>
                </w:p>
              </w:tc>
              <w:tc>
                <w:tcPr>
                  <w:tcW w:w="2410" w:type="dxa"/>
                  <w:vAlign w:val="center"/>
                </w:tcPr>
                <w:p>
                  <w:pPr>
                    <w:pStyle w:val="144"/>
                    <w:snapToGrid/>
                    <w:spacing w:before="0" w:after="0" w:line="240" w:lineRule="auto"/>
                    <w:ind w:firstLine="0" w:firstLineChars="0"/>
                    <w:jc w:val="center"/>
                    <w:rPr>
                      <w:sz w:val="21"/>
                      <w:szCs w:val="21"/>
                    </w:rPr>
                  </w:pPr>
                  <w:r>
                    <w:rPr>
                      <w:rFonts w:hint="eastAsia"/>
                      <w:sz w:val="21"/>
                      <w:szCs w:val="21"/>
                    </w:rPr>
                    <w:t>监测项目</w:t>
                  </w:r>
                </w:p>
              </w:tc>
              <w:tc>
                <w:tcPr>
                  <w:tcW w:w="2696" w:type="dxa"/>
                  <w:vAlign w:val="center"/>
                </w:tcPr>
                <w:p>
                  <w:pPr>
                    <w:pStyle w:val="144"/>
                    <w:snapToGrid/>
                    <w:spacing w:before="0" w:after="0" w:line="240" w:lineRule="auto"/>
                    <w:ind w:firstLine="0" w:firstLineChars="0"/>
                    <w:jc w:val="center"/>
                    <w:rPr>
                      <w:sz w:val="21"/>
                      <w:szCs w:val="21"/>
                    </w:rPr>
                  </w:pPr>
                  <w:r>
                    <w:rPr>
                      <w:rFonts w:hint="eastAsia"/>
                      <w:sz w:val="21"/>
                      <w:szCs w:val="21"/>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56" w:type="dxa"/>
                  <w:vMerge w:val="restart"/>
                  <w:vAlign w:val="center"/>
                </w:tcPr>
                <w:p>
                  <w:pPr>
                    <w:pStyle w:val="144"/>
                    <w:snapToGrid/>
                    <w:spacing w:before="0" w:after="0" w:line="240" w:lineRule="auto"/>
                    <w:ind w:firstLine="0" w:firstLineChars="0"/>
                    <w:jc w:val="center"/>
                    <w:rPr>
                      <w:sz w:val="21"/>
                      <w:szCs w:val="21"/>
                    </w:rPr>
                  </w:pPr>
                  <w:r>
                    <w:rPr>
                      <w:rFonts w:hint="eastAsia"/>
                      <w:sz w:val="21"/>
                      <w:szCs w:val="21"/>
                    </w:rPr>
                    <w:t>有组织废气</w:t>
                  </w:r>
                </w:p>
              </w:tc>
              <w:tc>
                <w:tcPr>
                  <w:tcW w:w="2268" w:type="dxa"/>
                  <w:vAlign w:val="center"/>
                </w:tcPr>
                <w:p>
                  <w:pPr>
                    <w:pStyle w:val="144"/>
                    <w:snapToGrid/>
                    <w:spacing w:before="0" w:after="0" w:line="240" w:lineRule="auto"/>
                    <w:ind w:firstLine="0" w:firstLineChars="0"/>
                    <w:jc w:val="center"/>
                    <w:rPr>
                      <w:sz w:val="21"/>
                      <w:szCs w:val="21"/>
                    </w:rPr>
                  </w:pPr>
                  <w:r>
                    <w:rPr>
                      <w:rFonts w:hint="eastAsia"/>
                      <w:sz w:val="21"/>
                      <w:szCs w:val="21"/>
                    </w:rPr>
                    <w:t>布袋除尘器进口1#</w:t>
                  </w:r>
                </w:p>
              </w:tc>
              <w:tc>
                <w:tcPr>
                  <w:tcW w:w="2410" w:type="dxa"/>
                  <w:vMerge w:val="restart"/>
                  <w:vAlign w:val="center"/>
                </w:tcPr>
                <w:p>
                  <w:pPr>
                    <w:pStyle w:val="144"/>
                    <w:snapToGrid/>
                    <w:spacing w:before="0" w:after="0" w:line="240" w:lineRule="auto"/>
                    <w:ind w:firstLine="0" w:firstLineChars="0"/>
                    <w:jc w:val="center"/>
                    <w:rPr>
                      <w:sz w:val="21"/>
                      <w:szCs w:val="21"/>
                    </w:rPr>
                  </w:pPr>
                  <w:r>
                    <w:rPr>
                      <w:rFonts w:hint="eastAsia"/>
                      <w:sz w:val="21"/>
                      <w:szCs w:val="21"/>
                    </w:rPr>
                    <w:t>颗粒物</w:t>
                  </w:r>
                </w:p>
              </w:tc>
              <w:tc>
                <w:tcPr>
                  <w:tcW w:w="2696" w:type="dxa"/>
                  <w:vMerge w:val="restart"/>
                  <w:vAlign w:val="center"/>
                </w:tcPr>
                <w:p>
                  <w:pPr>
                    <w:pStyle w:val="144"/>
                    <w:snapToGrid/>
                    <w:spacing w:before="0" w:after="0" w:line="240" w:lineRule="auto"/>
                    <w:ind w:firstLine="0" w:firstLineChars="0"/>
                    <w:jc w:val="center"/>
                    <w:rPr>
                      <w:sz w:val="21"/>
                      <w:szCs w:val="21"/>
                    </w:rPr>
                  </w:pPr>
                  <w:r>
                    <w:rPr>
                      <w:rFonts w:hint="eastAsia"/>
                      <w:sz w:val="21"/>
                      <w:szCs w:val="21"/>
                    </w:rPr>
                    <w:t>监测2天，每天3次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56" w:type="dxa"/>
                  <w:vMerge w:val="continue"/>
                  <w:vAlign w:val="center"/>
                </w:tcPr>
                <w:p>
                  <w:pPr>
                    <w:pStyle w:val="144"/>
                    <w:snapToGrid/>
                    <w:spacing w:before="0" w:after="0" w:line="240" w:lineRule="auto"/>
                    <w:ind w:firstLine="0" w:firstLineChars="0"/>
                    <w:jc w:val="center"/>
                    <w:rPr>
                      <w:sz w:val="21"/>
                      <w:szCs w:val="21"/>
                    </w:rPr>
                  </w:pPr>
                </w:p>
              </w:tc>
              <w:tc>
                <w:tcPr>
                  <w:tcW w:w="2268" w:type="dxa"/>
                  <w:vAlign w:val="center"/>
                </w:tcPr>
                <w:p>
                  <w:pPr>
                    <w:pStyle w:val="144"/>
                    <w:snapToGrid/>
                    <w:spacing w:before="0" w:after="0" w:line="240" w:lineRule="auto"/>
                    <w:ind w:firstLine="0" w:firstLineChars="0"/>
                    <w:jc w:val="center"/>
                    <w:rPr>
                      <w:sz w:val="21"/>
                      <w:szCs w:val="21"/>
                    </w:rPr>
                  </w:pPr>
                  <w:r>
                    <w:rPr>
                      <w:rFonts w:hint="eastAsia"/>
                      <w:sz w:val="21"/>
                      <w:szCs w:val="21"/>
                    </w:rPr>
                    <w:t>布袋除尘器进口</w:t>
                  </w:r>
                  <w:r>
                    <w:rPr>
                      <w:sz w:val="21"/>
                      <w:szCs w:val="21"/>
                    </w:rPr>
                    <w:t>2</w:t>
                  </w:r>
                  <w:r>
                    <w:rPr>
                      <w:rFonts w:hint="eastAsia"/>
                      <w:sz w:val="21"/>
                      <w:szCs w:val="21"/>
                    </w:rPr>
                    <w:t>#</w:t>
                  </w:r>
                </w:p>
              </w:tc>
              <w:tc>
                <w:tcPr>
                  <w:tcW w:w="2410" w:type="dxa"/>
                  <w:vMerge w:val="continue"/>
                  <w:vAlign w:val="center"/>
                </w:tcPr>
                <w:p>
                  <w:pPr>
                    <w:pStyle w:val="144"/>
                    <w:snapToGrid/>
                    <w:spacing w:before="0" w:after="0" w:line="240" w:lineRule="auto"/>
                    <w:ind w:firstLine="0" w:firstLineChars="0"/>
                    <w:jc w:val="center"/>
                    <w:rPr>
                      <w:sz w:val="21"/>
                      <w:szCs w:val="21"/>
                    </w:rPr>
                  </w:pPr>
                </w:p>
              </w:tc>
              <w:tc>
                <w:tcPr>
                  <w:tcW w:w="2696" w:type="dxa"/>
                  <w:vMerge w:val="continue"/>
                  <w:vAlign w:val="center"/>
                </w:tcPr>
                <w:p>
                  <w:pPr>
                    <w:pStyle w:val="144"/>
                    <w:snapToGrid/>
                    <w:spacing w:before="0" w:after="0"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56" w:type="dxa"/>
                  <w:vMerge w:val="continue"/>
                  <w:vAlign w:val="center"/>
                </w:tcPr>
                <w:p>
                  <w:pPr>
                    <w:pStyle w:val="144"/>
                    <w:snapToGrid/>
                    <w:spacing w:before="0" w:after="0" w:line="240" w:lineRule="auto"/>
                    <w:ind w:firstLine="0" w:firstLineChars="0"/>
                    <w:jc w:val="center"/>
                    <w:rPr>
                      <w:sz w:val="21"/>
                      <w:szCs w:val="21"/>
                    </w:rPr>
                  </w:pPr>
                </w:p>
              </w:tc>
              <w:tc>
                <w:tcPr>
                  <w:tcW w:w="2268" w:type="dxa"/>
                  <w:vAlign w:val="center"/>
                </w:tcPr>
                <w:p>
                  <w:pPr>
                    <w:pStyle w:val="144"/>
                    <w:snapToGrid/>
                    <w:spacing w:before="0" w:after="0" w:line="240" w:lineRule="auto"/>
                    <w:ind w:firstLine="0" w:firstLineChars="0"/>
                    <w:jc w:val="center"/>
                    <w:rPr>
                      <w:sz w:val="21"/>
                      <w:szCs w:val="21"/>
                    </w:rPr>
                  </w:pPr>
                  <w:r>
                    <w:rPr>
                      <w:rFonts w:hint="eastAsia"/>
                      <w:sz w:val="21"/>
                      <w:szCs w:val="21"/>
                    </w:rPr>
                    <w:t>布袋除尘器出口</w:t>
                  </w:r>
                  <w:r>
                    <w:rPr>
                      <w:sz w:val="21"/>
                      <w:szCs w:val="21"/>
                    </w:rPr>
                    <w:t>3</w:t>
                  </w:r>
                  <w:r>
                    <w:rPr>
                      <w:rFonts w:hint="eastAsia"/>
                      <w:sz w:val="21"/>
                      <w:szCs w:val="21"/>
                    </w:rPr>
                    <w:t>#</w:t>
                  </w:r>
                </w:p>
              </w:tc>
              <w:tc>
                <w:tcPr>
                  <w:tcW w:w="2410" w:type="dxa"/>
                  <w:vMerge w:val="continue"/>
                  <w:vAlign w:val="center"/>
                </w:tcPr>
                <w:p>
                  <w:pPr>
                    <w:pStyle w:val="144"/>
                    <w:snapToGrid/>
                    <w:spacing w:before="0" w:after="0" w:line="240" w:lineRule="auto"/>
                    <w:ind w:firstLine="0" w:firstLineChars="0"/>
                    <w:jc w:val="center"/>
                    <w:rPr>
                      <w:sz w:val="21"/>
                      <w:szCs w:val="21"/>
                    </w:rPr>
                  </w:pPr>
                </w:p>
              </w:tc>
              <w:tc>
                <w:tcPr>
                  <w:tcW w:w="2696" w:type="dxa"/>
                  <w:vMerge w:val="continue"/>
                  <w:vAlign w:val="center"/>
                </w:tcPr>
                <w:p>
                  <w:pPr>
                    <w:pStyle w:val="144"/>
                    <w:snapToGrid/>
                    <w:spacing w:before="0" w:after="0"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56" w:type="dxa"/>
                  <w:vAlign w:val="center"/>
                </w:tcPr>
                <w:p>
                  <w:pPr>
                    <w:pStyle w:val="144"/>
                    <w:snapToGrid/>
                    <w:spacing w:before="0" w:after="0" w:line="240" w:lineRule="auto"/>
                    <w:ind w:firstLine="0" w:firstLineChars="0"/>
                    <w:jc w:val="center"/>
                    <w:rPr>
                      <w:sz w:val="21"/>
                      <w:szCs w:val="21"/>
                    </w:rPr>
                  </w:pPr>
                  <w:r>
                    <w:rPr>
                      <w:rFonts w:hint="eastAsia"/>
                      <w:sz w:val="21"/>
                      <w:szCs w:val="21"/>
                    </w:rPr>
                    <w:t>无组织废气</w:t>
                  </w:r>
                </w:p>
              </w:tc>
              <w:tc>
                <w:tcPr>
                  <w:tcW w:w="2268" w:type="dxa"/>
                  <w:vAlign w:val="center"/>
                </w:tcPr>
                <w:p>
                  <w:pPr>
                    <w:pStyle w:val="144"/>
                    <w:snapToGrid/>
                    <w:spacing w:before="0" w:after="0" w:line="240" w:lineRule="auto"/>
                    <w:ind w:firstLine="0" w:firstLineChars="0"/>
                    <w:jc w:val="center"/>
                    <w:rPr>
                      <w:sz w:val="21"/>
                      <w:szCs w:val="21"/>
                    </w:rPr>
                  </w:pPr>
                  <w:r>
                    <w:rPr>
                      <w:rFonts w:hint="eastAsia"/>
                      <w:sz w:val="21"/>
                      <w:szCs w:val="21"/>
                    </w:rPr>
                    <w:t>厂界上下风向1~</w:t>
                  </w:r>
                  <w:r>
                    <w:rPr>
                      <w:sz w:val="21"/>
                      <w:szCs w:val="21"/>
                    </w:rPr>
                    <w:t>5</w:t>
                  </w:r>
                  <w:r>
                    <w:rPr>
                      <w:rFonts w:hint="eastAsia"/>
                      <w:sz w:val="21"/>
                      <w:szCs w:val="21"/>
                    </w:rPr>
                    <w:t>#</w:t>
                  </w:r>
                </w:p>
              </w:tc>
              <w:tc>
                <w:tcPr>
                  <w:tcW w:w="2410" w:type="dxa"/>
                  <w:vAlign w:val="center"/>
                </w:tcPr>
                <w:p>
                  <w:pPr>
                    <w:pStyle w:val="144"/>
                    <w:snapToGrid/>
                    <w:spacing w:before="0" w:after="0" w:line="240" w:lineRule="auto"/>
                    <w:ind w:firstLine="0" w:firstLineChars="0"/>
                    <w:jc w:val="center"/>
                    <w:rPr>
                      <w:sz w:val="21"/>
                      <w:szCs w:val="21"/>
                    </w:rPr>
                  </w:pPr>
                  <w:r>
                    <w:rPr>
                      <w:rFonts w:hint="eastAsia"/>
                      <w:sz w:val="21"/>
                      <w:szCs w:val="21"/>
                    </w:rPr>
                    <w:t>颗粒物</w:t>
                  </w:r>
                </w:p>
              </w:tc>
              <w:tc>
                <w:tcPr>
                  <w:tcW w:w="2696" w:type="dxa"/>
                  <w:vAlign w:val="center"/>
                </w:tcPr>
                <w:p>
                  <w:pPr>
                    <w:pStyle w:val="144"/>
                    <w:snapToGrid/>
                    <w:spacing w:before="0" w:after="0" w:line="240" w:lineRule="auto"/>
                    <w:ind w:firstLine="0" w:firstLineChars="0"/>
                    <w:jc w:val="center"/>
                    <w:rPr>
                      <w:sz w:val="21"/>
                      <w:szCs w:val="21"/>
                    </w:rPr>
                  </w:pPr>
                  <w:r>
                    <w:rPr>
                      <w:rFonts w:hint="eastAsia"/>
                      <w:sz w:val="21"/>
                      <w:szCs w:val="21"/>
                    </w:rPr>
                    <w:t>监测2天，每天</w:t>
                  </w:r>
                  <w:r>
                    <w:rPr>
                      <w:sz w:val="21"/>
                      <w:szCs w:val="21"/>
                    </w:rPr>
                    <w:t>4</w:t>
                  </w:r>
                  <w:r>
                    <w:rPr>
                      <w:rFonts w:hint="eastAsia"/>
                      <w:sz w:val="21"/>
                      <w:szCs w:val="21"/>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56" w:type="dxa"/>
                  <w:vAlign w:val="center"/>
                </w:tcPr>
                <w:p>
                  <w:pPr>
                    <w:pStyle w:val="144"/>
                    <w:snapToGrid/>
                    <w:spacing w:before="0" w:after="0" w:line="240" w:lineRule="auto"/>
                    <w:ind w:firstLine="0" w:firstLineChars="0"/>
                    <w:jc w:val="center"/>
                    <w:rPr>
                      <w:sz w:val="21"/>
                      <w:szCs w:val="21"/>
                    </w:rPr>
                  </w:pPr>
                  <w:r>
                    <w:rPr>
                      <w:rFonts w:hint="eastAsia"/>
                      <w:sz w:val="21"/>
                      <w:szCs w:val="21"/>
                    </w:rPr>
                    <w:t>噪声</w:t>
                  </w:r>
                </w:p>
              </w:tc>
              <w:tc>
                <w:tcPr>
                  <w:tcW w:w="2268" w:type="dxa"/>
                  <w:vAlign w:val="center"/>
                </w:tcPr>
                <w:p>
                  <w:pPr>
                    <w:pStyle w:val="144"/>
                    <w:snapToGrid/>
                    <w:spacing w:before="0" w:after="0" w:line="240" w:lineRule="auto"/>
                    <w:ind w:firstLine="0" w:firstLineChars="0"/>
                    <w:jc w:val="center"/>
                    <w:rPr>
                      <w:sz w:val="21"/>
                      <w:szCs w:val="21"/>
                    </w:rPr>
                  </w:pPr>
                  <w:r>
                    <w:rPr>
                      <w:rFonts w:hint="eastAsia"/>
                      <w:sz w:val="21"/>
                      <w:szCs w:val="21"/>
                    </w:rPr>
                    <w:t>厂界四周1~</w:t>
                  </w:r>
                  <w:r>
                    <w:rPr>
                      <w:sz w:val="21"/>
                      <w:szCs w:val="21"/>
                    </w:rPr>
                    <w:t>4</w:t>
                  </w:r>
                  <w:r>
                    <w:rPr>
                      <w:rFonts w:hint="eastAsia"/>
                      <w:sz w:val="21"/>
                      <w:szCs w:val="21"/>
                    </w:rPr>
                    <w:t>#</w:t>
                  </w:r>
                </w:p>
              </w:tc>
              <w:tc>
                <w:tcPr>
                  <w:tcW w:w="2410" w:type="dxa"/>
                  <w:vAlign w:val="center"/>
                </w:tcPr>
                <w:p>
                  <w:pPr>
                    <w:pStyle w:val="144"/>
                    <w:snapToGrid/>
                    <w:spacing w:before="0" w:after="0" w:line="240" w:lineRule="auto"/>
                    <w:ind w:firstLine="0" w:firstLineChars="0"/>
                    <w:jc w:val="center"/>
                    <w:rPr>
                      <w:sz w:val="21"/>
                      <w:szCs w:val="21"/>
                    </w:rPr>
                  </w:pPr>
                  <w:r>
                    <w:rPr>
                      <w:rFonts w:hint="eastAsia"/>
                      <w:sz w:val="21"/>
                      <w:szCs w:val="21"/>
                    </w:rPr>
                    <w:t>L</w:t>
                  </w:r>
                  <w:r>
                    <w:rPr>
                      <w:sz w:val="21"/>
                      <w:szCs w:val="21"/>
                      <w:vertAlign w:val="subscript"/>
                    </w:rPr>
                    <w:t>eq</w:t>
                  </w:r>
                  <w:r>
                    <w:rPr>
                      <w:rFonts w:hint="eastAsia"/>
                      <w:sz w:val="21"/>
                      <w:szCs w:val="21"/>
                    </w:rPr>
                    <w:t>、L</w:t>
                  </w:r>
                  <w:r>
                    <w:rPr>
                      <w:sz w:val="21"/>
                      <w:szCs w:val="21"/>
                      <w:vertAlign w:val="subscript"/>
                    </w:rPr>
                    <w:t>10</w:t>
                  </w:r>
                  <w:r>
                    <w:rPr>
                      <w:rFonts w:hint="eastAsia"/>
                      <w:sz w:val="21"/>
                      <w:szCs w:val="21"/>
                    </w:rPr>
                    <w:t>、L</w:t>
                  </w:r>
                  <w:r>
                    <w:rPr>
                      <w:sz w:val="21"/>
                      <w:szCs w:val="21"/>
                      <w:vertAlign w:val="subscript"/>
                    </w:rPr>
                    <w:t>50</w:t>
                  </w:r>
                  <w:r>
                    <w:rPr>
                      <w:rFonts w:hint="eastAsia"/>
                      <w:sz w:val="21"/>
                      <w:szCs w:val="21"/>
                    </w:rPr>
                    <w:t>、L</w:t>
                  </w:r>
                  <w:r>
                    <w:rPr>
                      <w:sz w:val="21"/>
                      <w:szCs w:val="21"/>
                      <w:vertAlign w:val="subscript"/>
                    </w:rPr>
                    <w:t>90</w:t>
                  </w:r>
                </w:p>
              </w:tc>
              <w:tc>
                <w:tcPr>
                  <w:tcW w:w="2696" w:type="dxa"/>
                  <w:vAlign w:val="center"/>
                </w:tcPr>
                <w:p>
                  <w:pPr>
                    <w:pStyle w:val="144"/>
                    <w:snapToGrid/>
                    <w:spacing w:before="0" w:after="0" w:line="240" w:lineRule="auto"/>
                    <w:ind w:firstLine="0" w:firstLineChars="0"/>
                    <w:jc w:val="center"/>
                    <w:rPr>
                      <w:sz w:val="21"/>
                      <w:szCs w:val="21"/>
                    </w:rPr>
                  </w:pPr>
                  <w:r>
                    <w:rPr>
                      <w:rFonts w:hint="eastAsia"/>
                      <w:sz w:val="21"/>
                      <w:szCs w:val="21"/>
                    </w:rPr>
                    <w:t>监测2天，昼、夜各1次</w:t>
                  </w:r>
                </w:p>
              </w:tc>
            </w:tr>
          </w:tbl>
          <w:p>
            <w:pPr>
              <w:pStyle w:val="144"/>
              <w:spacing w:before="0" w:after="0"/>
              <w:ind w:firstLine="480"/>
            </w:pPr>
            <w:r>
              <w:rPr>
                <w:rFonts w:hint="eastAsia"/>
              </w:rPr>
              <w:t>监测结果见表1</w:t>
            </w:r>
            <w:r>
              <w:t>2-14</w:t>
            </w:r>
            <w:r>
              <w:rPr>
                <w:rFonts w:hint="eastAsia"/>
              </w:rPr>
              <w:t>。</w:t>
            </w:r>
          </w:p>
          <w:p>
            <w:pPr>
              <w:pStyle w:val="37"/>
              <w:ind w:firstLine="0" w:firstLineChars="0"/>
              <w:jc w:val="center"/>
              <w:rPr>
                <w:rFonts w:ascii="黑体" w:hAnsi="黑体" w:eastAsia="黑体"/>
                <w:sz w:val="24"/>
              </w:rPr>
            </w:pPr>
            <w:r>
              <w:rPr>
                <w:rFonts w:hint="eastAsia" w:ascii="黑体" w:hAnsi="黑体" w:eastAsia="黑体"/>
                <w:sz w:val="24"/>
              </w:rPr>
              <w:t>表</w:t>
            </w:r>
            <w:r>
              <w:rPr>
                <w:rFonts w:ascii="黑体" w:hAnsi="黑体" w:eastAsia="黑体"/>
                <w:sz w:val="24"/>
              </w:rPr>
              <w:t xml:space="preserve">12  </w:t>
            </w:r>
            <w:r>
              <w:rPr>
                <w:rFonts w:hint="eastAsia" w:ascii="黑体" w:hAnsi="黑体" w:eastAsia="黑体"/>
                <w:sz w:val="24"/>
              </w:rPr>
              <w:t>布袋除尘器颗粒物监测结果一览表</w:t>
            </w:r>
          </w:p>
          <w:tbl>
            <w:tblPr>
              <w:tblStyle w:val="7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9"/>
              <w:gridCol w:w="674"/>
              <w:gridCol w:w="776"/>
              <w:gridCol w:w="780"/>
              <w:gridCol w:w="775"/>
              <w:gridCol w:w="776"/>
              <w:gridCol w:w="781"/>
              <w:gridCol w:w="775"/>
              <w:gridCol w:w="779"/>
              <w:gridCol w:w="780"/>
              <w:gridCol w:w="778"/>
              <w:gridCol w:w="7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dxa"/>
                  <w:vMerge w:val="restart"/>
                  <w:vAlign w:val="center"/>
                </w:tcPr>
                <w:p>
                  <w:pPr>
                    <w:pStyle w:val="144"/>
                    <w:spacing w:before="0" w:after="0" w:line="240" w:lineRule="auto"/>
                    <w:ind w:firstLine="0" w:firstLineChars="0"/>
                    <w:jc w:val="center"/>
                    <w:rPr>
                      <w:sz w:val="21"/>
                      <w:szCs w:val="21"/>
                    </w:rPr>
                  </w:pPr>
                  <w:r>
                    <w:rPr>
                      <w:rFonts w:hint="eastAsia"/>
                      <w:sz w:val="21"/>
                      <w:szCs w:val="21"/>
                    </w:rPr>
                    <w:t>监测时间</w:t>
                  </w:r>
                </w:p>
              </w:tc>
              <w:tc>
                <w:tcPr>
                  <w:tcW w:w="682" w:type="dxa"/>
                  <w:vMerge w:val="restart"/>
                  <w:vAlign w:val="center"/>
                </w:tcPr>
                <w:p>
                  <w:pPr>
                    <w:pStyle w:val="144"/>
                    <w:spacing w:before="0" w:after="0" w:line="240" w:lineRule="auto"/>
                    <w:ind w:firstLine="0" w:firstLineChars="0"/>
                    <w:jc w:val="center"/>
                    <w:rPr>
                      <w:sz w:val="21"/>
                      <w:szCs w:val="21"/>
                    </w:rPr>
                  </w:pPr>
                  <w:r>
                    <w:rPr>
                      <w:rFonts w:hint="eastAsia"/>
                      <w:sz w:val="21"/>
                      <w:szCs w:val="21"/>
                    </w:rPr>
                    <w:t>监测频次</w:t>
                  </w:r>
                </w:p>
              </w:tc>
              <w:tc>
                <w:tcPr>
                  <w:tcW w:w="2340" w:type="dxa"/>
                  <w:gridSpan w:val="3"/>
                  <w:vAlign w:val="center"/>
                </w:tcPr>
                <w:p>
                  <w:pPr>
                    <w:pStyle w:val="144"/>
                    <w:spacing w:before="0" w:after="0" w:line="240" w:lineRule="auto"/>
                    <w:ind w:firstLine="0" w:firstLineChars="0"/>
                    <w:jc w:val="center"/>
                    <w:rPr>
                      <w:sz w:val="21"/>
                      <w:szCs w:val="21"/>
                    </w:rPr>
                  </w:pPr>
                  <w:r>
                    <w:rPr>
                      <w:rFonts w:hint="eastAsia"/>
                      <w:sz w:val="21"/>
                      <w:szCs w:val="21"/>
                    </w:rPr>
                    <w:t>进口1#</w:t>
                  </w:r>
                </w:p>
              </w:tc>
              <w:tc>
                <w:tcPr>
                  <w:tcW w:w="2341" w:type="dxa"/>
                  <w:gridSpan w:val="3"/>
                  <w:vAlign w:val="center"/>
                </w:tcPr>
                <w:p>
                  <w:pPr>
                    <w:pStyle w:val="144"/>
                    <w:spacing w:before="0" w:after="0" w:line="240" w:lineRule="auto"/>
                    <w:ind w:firstLine="0" w:firstLineChars="0"/>
                    <w:jc w:val="center"/>
                    <w:rPr>
                      <w:sz w:val="21"/>
                      <w:szCs w:val="21"/>
                    </w:rPr>
                  </w:pPr>
                  <w:r>
                    <w:rPr>
                      <w:rFonts w:hint="eastAsia"/>
                      <w:sz w:val="21"/>
                      <w:szCs w:val="21"/>
                    </w:rPr>
                    <w:t>进口2#</w:t>
                  </w:r>
                </w:p>
              </w:tc>
              <w:tc>
                <w:tcPr>
                  <w:tcW w:w="2341" w:type="dxa"/>
                  <w:gridSpan w:val="3"/>
                  <w:vAlign w:val="center"/>
                </w:tcPr>
                <w:p>
                  <w:pPr>
                    <w:pStyle w:val="144"/>
                    <w:spacing w:before="0" w:after="0" w:line="240" w:lineRule="auto"/>
                    <w:ind w:firstLine="0" w:firstLineChars="0"/>
                    <w:jc w:val="center"/>
                    <w:rPr>
                      <w:sz w:val="21"/>
                      <w:szCs w:val="21"/>
                    </w:rPr>
                  </w:pPr>
                  <w:r>
                    <w:rPr>
                      <w:rFonts w:hint="eastAsia"/>
                      <w:sz w:val="21"/>
                      <w:szCs w:val="21"/>
                    </w:rPr>
                    <w:t>出口3#</w:t>
                  </w:r>
                </w:p>
              </w:tc>
              <w:tc>
                <w:tcPr>
                  <w:tcW w:w="737" w:type="dxa"/>
                  <w:vMerge w:val="restart"/>
                  <w:vAlign w:val="center"/>
                </w:tcPr>
                <w:p>
                  <w:pPr>
                    <w:pStyle w:val="144"/>
                    <w:spacing w:before="0" w:after="0" w:line="240" w:lineRule="auto"/>
                    <w:ind w:firstLine="0" w:firstLineChars="0"/>
                    <w:jc w:val="center"/>
                    <w:rPr>
                      <w:sz w:val="21"/>
                      <w:szCs w:val="21"/>
                    </w:rPr>
                  </w:pPr>
                  <w:r>
                    <w:rPr>
                      <w:rFonts w:hint="eastAsia"/>
                      <w:sz w:val="21"/>
                      <w:szCs w:val="21"/>
                    </w:rPr>
                    <w:t>除尘效率</w:t>
                  </w:r>
                </w:p>
                <w:p>
                  <w:pPr>
                    <w:pStyle w:val="144"/>
                    <w:spacing w:before="0" w:after="0" w:line="240" w:lineRule="auto"/>
                    <w:ind w:firstLine="0" w:firstLineChars="0"/>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dxa"/>
                  <w:vMerge w:val="continue"/>
                  <w:vAlign w:val="center"/>
                </w:tcPr>
                <w:p>
                  <w:pPr>
                    <w:pStyle w:val="144"/>
                    <w:spacing w:before="0" w:after="0" w:line="240" w:lineRule="auto"/>
                    <w:ind w:firstLine="0" w:firstLineChars="0"/>
                    <w:jc w:val="center"/>
                    <w:rPr>
                      <w:sz w:val="21"/>
                      <w:szCs w:val="21"/>
                    </w:rPr>
                  </w:pPr>
                </w:p>
              </w:tc>
              <w:tc>
                <w:tcPr>
                  <w:tcW w:w="682" w:type="dxa"/>
                  <w:vMerge w:val="continue"/>
                  <w:vAlign w:val="center"/>
                </w:tcPr>
                <w:p>
                  <w:pPr>
                    <w:pStyle w:val="144"/>
                    <w:spacing w:before="0" w:after="0" w:line="240" w:lineRule="auto"/>
                    <w:ind w:firstLine="0" w:firstLineChars="0"/>
                    <w:jc w:val="center"/>
                    <w:rPr>
                      <w:sz w:val="21"/>
                      <w:szCs w:val="21"/>
                    </w:rPr>
                  </w:pP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烟气量</w:t>
                  </w:r>
                </w:p>
                <w:p>
                  <w:pPr>
                    <w:pStyle w:val="144"/>
                    <w:spacing w:before="0" w:after="0" w:line="240" w:lineRule="auto"/>
                    <w:ind w:firstLine="0" w:firstLineChars="0"/>
                    <w:jc w:val="center"/>
                    <w:rPr>
                      <w:sz w:val="21"/>
                      <w:szCs w:val="21"/>
                    </w:rPr>
                  </w:pPr>
                  <w:r>
                    <w:rPr>
                      <w:rFonts w:hint="eastAsia"/>
                      <w:sz w:val="21"/>
                      <w:szCs w:val="21"/>
                    </w:rPr>
                    <w:t>m</w:t>
                  </w:r>
                  <w:r>
                    <w:rPr>
                      <w:sz w:val="21"/>
                      <w:szCs w:val="21"/>
                      <w:vertAlign w:val="superscript"/>
                    </w:rPr>
                    <w:t>3</w:t>
                  </w:r>
                  <w:r>
                    <w:rPr>
                      <w:sz w:val="21"/>
                      <w:szCs w:val="21"/>
                    </w:rPr>
                    <w:t>/h</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排放</w:t>
                  </w:r>
                </w:p>
                <w:p>
                  <w:pPr>
                    <w:pStyle w:val="144"/>
                    <w:spacing w:before="0" w:after="0" w:line="240" w:lineRule="auto"/>
                    <w:ind w:firstLine="0" w:firstLineChars="0"/>
                    <w:jc w:val="center"/>
                    <w:rPr>
                      <w:sz w:val="21"/>
                      <w:szCs w:val="21"/>
                    </w:rPr>
                  </w:pPr>
                  <w:r>
                    <w:rPr>
                      <w:rFonts w:hint="eastAsia"/>
                      <w:sz w:val="21"/>
                      <w:szCs w:val="21"/>
                    </w:rPr>
                    <w:t>浓度</w:t>
                  </w:r>
                </w:p>
                <w:p>
                  <w:pPr>
                    <w:pStyle w:val="144"/>
                    <w:spacing w:before="0" w:after="0" w:line="240" w:lineRule="auto"/>
                    <w:ind w:firstLine="0" w:firstLineChars="0"/>
                    <w:jc w:val="center"/>
                    <w:rPr>
                      <w:sz w:val="21"/>
                      <w:szCs w:val="21"/>
                      <w:vertAlign w:val="superscript"/>
                    </w:rPr>
                  </w:pPr>
                  <w:r>
                    <w:rPr>
                      <w:rFonts w:hint="eastAsia"/>
                      <w:sz w:val="21"/>
                      <w:szCs w:val="21"/>
                    </w:rPr>
                    <w:t>m</w:t>
                  </w:r>
                  <w:r>
                    <w:rPr>
                      <w:sz w:val="21"/>
                      <w:szCs w:val="21"/>
                    </w:rPr>
                    <w:t>g</w:t>
                  </w:r>
                  <w:r>
                    <w:rPr>
                      <w:rFonts w:hint="eastAsia"/>
                      <w:sz w:val="21"/>
                      <w:szCs w:val="21"/>
                    </w:rPr>
                    <w:t>/</w:t>
                  </w:r>
                  <w:r>
                    <w:rPr>
                      <w:sz w:val="21"/>
                      <w:szCs w:val="21"/>
                    </w:rPr>
                    <w:t>m</w:t>
                  </w:r>
                  <w:r>
                    <w:rPr>
                      <w:sz w:val="21"/>
                      <w:szCs w:val="21"/>
                      <w:vertAlign w:val="superscript"/>
                    </w:rPr>
                    <w:t>3</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排放量</w:t>
                  </w:r>
                </w:p>
                <w:p>
                  <w:pPr>
                    <w:pStyle w:val="144"/>
                    <w:spacing w:before="0" w:after="0" w:line="240" w:lineRule="auto"/>
                    <w:ind w:firstLine="0" w:firstLineChars="0"/>
                    <w:jc w:val="center"/>
                    <w:rPr>
                      <w:sz w:val="21"/>
                      <w:szCs w:val="21"/>
                    </w:rPr>
                  </w:pPr>
                  <w:r>
                    <w:rPr>
                      <w:rFonts w:hint="eastAsia"/>
                      <w:sz w:val="21"/>
                      <w:szCs w:val="21"/>
                    </w:rPr>
                    <w:t>kg</w:t>
                  </w:r>
                  <w:r>
                    <w:rPr>
                      <w:sz w:val="21"/>
                      <w:szCs w:val="21"/>
                    </w:rPr>
                    <w:t>/h</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烟气量</w:t>
                  </w:r>
                </w:p>
                <w:p>
                  <w:pPr>
                    <w:pStyle w:val="144"/>
                    <w:spacing w:before="0" w:after="0" w:line="240" w:lineRule="auto"/>
                    <w:ind w:firstLine="0" w:firstLineChars="0"/>
                    <w:jc w:val="center"/>
                    <w:rPr>
                      <w:sz w:val="21"/>
                      <w:szCs w:val="21"/>
                    </w:rPr>
                  </w:pPr>
                  <w:r>
                    <w:rPr>
                      <w:rFonts w:hint="eastAsia"/>
                      <w:sz w:val="21"/>
                      <w:szCs w:val="21"/>
                    </w:rPr>
                    <w:t>m</w:t>
                  </w:r>
                  <w:r>
                    <w:rPr>
                      <w:sz w:val="21"/>
                      <w:szCs w:val="21"/>
                      <w:vertAlign w:val="superscript"/>
                    </w:rPr>
                    <w:t>3</w:t>
                  </w:r>
                  <w:r>
                    <w:rPr>
                      <w:sz w:val="21"/>
                      <w:szCs w:val="21"/>
                    </w:rPr>
                    <w:t>/h</w:t>
                  </w:r>
                </w:p>
              </w:tc>
              <w:tc>
                <w:tcPr>
                  <w:tcW w:w="781" w:type="dxa"/>
                  <w:vAlign w:val="center"/>
                </w:tcPr>
                <w:p>
                  <w:pPr>
                    <w:pStyle w:val="144"/>
                    <w:spacing w:before="0" w:after="0" w:line="240" w:lineRule="auto"/>
                    <w:ind w:firstLine="0" w:firstLineChars="0"/>
                    <w:jc w:val="center"/>
                    <w:rPr>
                      <w:sz w:val="21"/>
                      <w:szCs w:val="21"/>
                    </w:rPr>
                  </w:pPr>
                  <w:r>
                    <w:rPr>
                      <w:rFonts w:hint="eastAsia"/>
                      <w:sz w:val="21"/>
                      <w:szCs w:val="21"/>
                    </w:rPr>
                    <w:t>排放</w:t>
                  </w:r>
                </w:p>
                <w:p>
                  <w:pPr>
                    <w:pStyle w:val="144"/>
                    <w:spacing w:before="0" w:after="0" w:line="240" w:lineRule="auto"/>
                    <w:ind w:firstLine="0" w:firstLineChars="0"/>
                    <w:jc w:val="center"/>
                    <w:rPr>
                      <w:sz w:val="21"/>
                      <w:szCs w:val="21"/>
                    </w:rPr>
                  </w:pPr>
                  <w:r>
                    <w:rPr>
                      <w:rFonts w:hint="eastAsia"/>
                      <w:sz w:val="21"/>
                      <w:szCs w:val="21"/>
                    </w:rPr>
                    <w:t>浓度</w:t>
                  </w:r>
                </w:p>
                <w:p>
                  <w:pPr>
                    <w:pStyle w:val="144"/>
                    <w:spacing w:before="0" w:after="0" w:line="240" w:lineRule="auto"/>
                    <w:ind w:firstLine="0" w:firstLineChars="0"/>
                    <w:jc w:val="center"/>
                    <w:rPr>
                      <w:sz w:val="21"/>
                      <w:szCs w:val="21"/>
                    </w:rPr>
                  </w:pPr>
                  <w:r>
                    <w:rPr>
                      <w:rFonts w:hint="eastAsia"/>
                      <w:sz w:val="21"/>
                      <w:szCs w:val="21"/>
                    </w:rPr>
                    <w:t>m</w:t>
                  </w:r>
                  <w:r>
                    <w:rPr>
                      <w:sz w:val="21"/>
                      <w:szCs w:val="21"/>
                    </w:rPr>
                    <w:t>g</w:t>
                  </w:r>
                  <w:r>
                    <w:rPr>
                      <w:rFonts w:hint="eastAsia"/>
                      <w:sz w:val="21"/>
                      <w:szCs w:val="21"/>
                    </w:rPr>
                    <w:t>/</w:t>
                  </w:r>
                  <w:r>
                    <w:rPr>
                      <w:sz w:val="21"/>
                      <w:szCs w:val="21"/>
                    </w:rPr>
                    <w:t>m</w:t>
                  </w:r>
                  <w:r>
                    <w:rPr>
                      <w:sz w:val="21"/>
                      <w:szCs w:val="21"/>
                      <w:vertAlign w:val="superscript"/>
                    </w:rPr>
                    <w:t>3</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排放量</w:t>
                  </w:r>
                </w:p>
                <w:p>
                  <w:pPr>
                    <w:pStyle w:val="144"/>
                    <w:spacing w:before="0" w:after="0" w:line="240" w:lineRule="auto"/>
                    <w:ind w:firstLine="0" w:firstLineChars="0"/>
                    <w:jc w:val="center"/>
                    <w:rPr>
                      <w:sz w:val="21"/>
                      <w:szCs w:val="21"/>
                    </w:rPr>
                  </w:pPr>
                  <w:r>
                    <w:rPr>
                      <w:rFonts w:hint="eastAsia"/>
                      <w:sz w:val="21"/>
                      <w:szCs w:val="21"/>
                    </w:rPr>
                    <w:t>kg</w:t>
                  </w:r>
                  <w:r>
                    <w:rPr>
                      <w:sz w:val="21"/>
                      <w:szCs w:val="21"/>
                    </w:rPr>
                    <w:t>/h</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烟气量</w:t>
                  </w:r>
                </w:p>
                <w:p>
                  <w:pPr>
                    <w:pStyle w:val="144"/>
                    <w:spacing w:before="0" w:after="0" w:line="240" w:lineRule="auto"/>
                    <w:ind w:firstLine="0" w:firstLineChars="0"/>
                    <w:jc w:val="center"/>
                    <w:rPr>
                      <w:sz w:val="21"/>
                      <w:szCs w:val="21"/>
                    </w:rPr>
                  </w:pPr>
                  <w:r>
                    <w:rPr>
                      <w:rFonts w:hint="eastAsia"/>
                      <w:sz w:val="21"/>
                      <w:szCs w:val="21"/>
                    </w:rPr>
                    <w:t>m</w:t>
                  </w:r>
                  <w:r>
                    <w:rPr>
                      <w:sz w:val="21"/>
                      <w:szCs w:val="21"/>
                      <w:vertAlign w:val="superscript"/>
                    </w:rPr>
                    <w:t>3</w:t>
                  </w:r>
                  <w:r>
                    <w:rPr>
                      <w:sz w:val="21"/>
                      <w:szCs w:val="21"/>
                    </w:rPr>
                    <w:t>/h</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排放</w:t>
                  </w:r>
                </w:p>
                <w:p>
                  <w:pPr>
                    <w:pStyle w:val="144"/>
                    <w:spacing w:before="0" w:after="0" w:line="240" w:lineRule="auto"/>
                    <w:ind w:firstLine="0" w:firstLineChars="0"/>
                    <w:jc w:val="center"/>
                    <w:rPr>
                      <w:sz w:val="21"/>
                      <w:szCs w:val="21"/>
                    </w:rPr>
                  </w:pPr>
                  <w:r>
                    <w:rPr>
                      <w:rFonts w:hint="eastAsia"/>
                      <w:sz w:val="21"/>
                      <w:szCs w:val="21"/>
                    </w:rPr>
                    <w:t>浓度</w:t>
                  </w:r>
                </w:p>
                <w:p>
                  <w:pPr>
                    <w:pStyle w:val="144"/>
                    <w:spacing w:before="0" w:after="0" w:line="240" w:lineRule="auto"/>
                    <w:ind w:firstLine="0" w:firstLineChars="0"/>
                    <w:jc w:val="center"/>
                    <w:rPr>
                      <w:sz w:val="21"/>
                      <w:szCs w:val="21"/>
                    </w:rPr>
                  </w:pPr>
                  <w:r>
                    <w:rPr>
                      <w:rFonts w:hint="eastAsia"/>
                      <w:sz w:val="21"/>
                      <w:szCs w:val="21"/>
                    </w:rPr>
                    <w:t>m</w:t>
                  </w:r>
                  <w:r>
                    <w:rPr>
                      <w:sz w:val="21"/>
                      <w:szCs w:val="21"/>
                    </w:rPr>
                    <w:t>g</w:t>
                  </w:r>
                  <w:r>
                    <w:rPr>
                      <w:rFonts w:hint="eastAsia"/>
                      <w:sz w:val="21"/>
                      <w:szCs w:val="21"/>
                    </w:rPr>
                    <w:t>/</w:t>
                  </w:r>
                  <w:r>
                    <w:rPr>
                      <w:sz w:val="21"/>
                      <w:szCs w:val="21"/>
                    </w:rPr>
                    <w:t>m</w:t>
                  </w:r>
                  <w:r>
                    <w:rPr>
                      <w:sz w:val="21"/>
                      <w:szCs w:val="21"/>
                      <w:vertAlign w:val="superscript"/>
                    </w:rPr>
                    <w:t>3</w:t>
                  </w:r>
                </w:p>
              </w:tc>
              <w:tc>
                <w:tcPr>
                  <w:tcW w:w="781" w:type="dxa"/>
                  <w:vAlign w:val="center"/>
                </w:tcPr>
                <w:p>
                  <w:pPr>
                    <w:pStyle w:val="144"/>
                    <w:spacing w:before="0" w:after="0" w:line="240" w:lineRule="auto"/>
                    <w:ind w:firstLine="0" w:firstLineChars="0"/>
                    <w:jc w:val="center"/>
                    <w:rPr>
                      <w:sz w:val="21"/>
                      <w:szCs w:val="21"/>
                    </w:rPr>
                  </w:pPr>
                  <w:r>
                    <w:rPr>
                      <w:rFonts w:hint="eastAsia"/>
                      <w:sz w:val="21"/>
                      <w:szCs w:val="21"/>
                    </w:rPr>
                    <w:t>排放量</w:t>
                  </w:r>
                </w:p>
                <w:p>
                  <w:pPr>
                    <w:pStyle w:val="144"/>
                    <w:spacing w:before="0" w:after="0" w:line="240" w:lineRule="auto"/>
                    <w:ind w:firstLine="0" w:firstLineChars="0"/>
                    <w:jc w:val="center"/>
                    <w:rPr>
                      <w:sz w:val="21"/>
                      <w:szCs w:val="21"/>
                    </w:rPr>
                  </w:pPr>
                  <w:r>
                    <w:rPr>
                      <w:rFonts w:hint="eastAsia"/>
                      <w:sz w:val="21"/>
                      <w:szCs w:val="21"/>
                    </w:rPr>
                    <w:t>kg</w:t>
                  </w:r>
                  <w:r>
                    <w:rPr>
                      <w:sz w:val="21"/>
                      <w:szCs w:val="21"/>
                    </w:rPr>
                    <w:t>/h</w:t>
                  </w:r>
                </w:p>
              </w:tc>
              <w:tc>
                <w:tcPr>
                  <w:tcW w:w="737" w:type="dxa"/>
                  <w:vMerge w:val="continue"/>
                  <w:vAlign w:val="center"/>
                </w:tcPr>
                <w:p>
                  <w:pPr>
                    <w:pStyle w:val="144"/>
                    <w:spacing w:before="0" w:after="0"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dxa"/>
                  <w:vMerge w:val="restart"/>
                  <w:vAlign w:val="center"/>
                </w:tcPr>
                <w:p>
                  <w:pPr>
                    <w:pStyle w:val="144"/>
                    <w:spacing w:before="0" w:after="0" w:line="240" w:lineRule="auto"/>
                    <w:ind w:firstLine="0" w:firstLineChars="0"/>
                    <w:jc w:val="center"/>
                    <w:rPr>
                      <w:sz w:val="21"/>
                      <w:szCs w:val="21"/>
                    </w:rPr>
                  </w:pPr>
                  <w:r>
                    <w:rPr>
                      <w:rFonts w:hint="eastAsia"/>
                      <w:sz w:val="21"/>
                      <w:szCs w:val="21"/>
                    </w:rPr>
                    <w:t>2</w:t>
                  </w:r>
                  <w:r>
                    <w:rPr>
                      <w:sz w:val="21"/>
                      <w:szCs w:val="21"/>
                    </w:rPr>
                    <w:t>020.</w:t>
                  </w:r>
                </w:p>
                <w:p>
                  <w:pPr>
                    <w:pStyle w:val="144"/>
                    <w:spacing w:before="0" w:after="0" w:line="240" w:lineRule="auto"/>
                    <w:ind w:firstLine="0" w:firstLineChars="0"/>
                    <w:jc w:val="center"/>
                    <w:rPr>
                      <w:sz w:val="21"/>
                      <w:szCs w:val="21"/>
                    </w:rPr>
                  </w:pPr>
                  <w:r>
                    <w:rPr>
                      <w:rFonts w:hint="eastAsia"/>
                      <w:sz w:val="21"/>
                      <w:szCs w:val="21"/>
                    </w:rPr>
                    <w:t>4</w:t>
                  </w:r>
                  <w:r>
                    <w:rPr>
                      <w:sz w:val="21"/>
                      <w:szCs w:val="21"/>
                    </w:rPr>
                    <w:t>.30</w:t>
                  </w:r>
                </w:p>
              </w:tc>
              <w:tc>
                <w:tcPr>
                  <w:tcW w:w="682" w:type="dxa"/>
                  <w:vAlign w:val="center"/>
                </w:tcPr>
                <w:p>
                  <w:pPr>
                    <w:pStyle w:val="144"/>
                    <w:spacing w:before="0" w:after="0" w:line="240" w:lineRule="auto"/>
                    <w:ind w:firstLine="0" w:firstLineChars="0"/>
                    <w:jc w:val="center"/>
                    <w:rPr>
                      <w:sz w:val="21"/>
                      <w:szCs w:val="21"/>
                    </w:rPr>
                  </w:pPr>
                  <w:r>
                    <w:rPr>
                      <w:rFonts w:hint="eastAsia"/>
                      <w:sz w:val="21"/>
                      <w:szCs w:val="21"/>
                    </w:rPr>
                    <w:t>1</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6</w:t>
                  </w:r>
                  <w:r>
                    <w:rPr>
                      <w:sz w:val="21"/>
                      <w:szCs w:val="21"/>
                    </w:rPr>
                    <w:t>982</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55</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6</w:t>
                  </w:r>
                  <w:r>
                    <w:rPr>
                      <w:sz w:val="21"/>
                      <w:szCs w:val="21"/>
                    </w:rPr>
                    <w:t>.67</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3</w:t>
                  </w:r>
                  <w:r>
                    <w:rPr>
                      <w:sz w:val="21"/>
                      <w:szCs w:val="21"/>
                    </w:rPr>
                    <w:t>968</w:t>
                  </w:r>
                </w:p>
              </w:tc>
              <w:tc>
                <w:tcPr>
                  <w:tcW w:w="781"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02</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3</w:t>
                  </w:r>
                  <w:r>
                    <w:rPr>
                      <w:sz w:val="21"/>
                      <w:szCs w:val="21"/>
                    </w:rPr>
                    <w:t>.58</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979</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5</w:t>
                  </w:r>
                  <w:r>
                    <w:rPr>
                      <w:sz w:val="21"/>
                      <w:szCs w:val="21"/>
                    </w:rPr>
                    <w:t>.3</w:t>
                  </w:r>
                </w:p>
              </w:tc>
              <w:tc>
                <w:tcPr>
                  <w:tcW w:w="781" w:type="dxa"/>
                  <w:vAlign w:val="center"/>
                </w:tcPr>
                <w:p>
                  <w:pPr>
                    <w:pStyle w:val="144"/>
                    <w:spacing w:before="0" w:after="0" w:line="240" w:lineRule="auto"/>
                    <w:ind w:firstLine="0" w:firstLineChars="0"/>
                    <w:jc w:val="center"/>
                    <w:rPr>
                      <w:sz w:val="21"/>
                      <w:szCs w:val="21"/>
                    </w:rPr>
                  </w:pPr>
                  <w:r>
                    <w:rPr>
                      <w:rFonts w:hint="eastAsia"/>
                      <w:sz w:val="21"/>
                      <w:szCs w:val="21"/>
                    </w:rPr>
                    <w:t>0</w:t>
                  </w:r>
                  <w:r>
                    <w:rPr>
                      <w:sz w:val="21"/>
                      <w:szCs w:val="21"/>
                    </w:rPr>
                    <w:t>.053</w:t>
                  </w:r>
                </w:p>
              </w:tc>
              <w:tc>
                <w:tcPr>
                  <w:tcW w:w="737"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dxa"/>
                  <w:vMerge w:val="continue"/>
                  <w:vAlign w:val="center"/>
                </w:tcPr>
                <w:p>
                  <w:pPr>
                    <w:pStyle w:val="144"/>
                    <w:spacing w:before="0" w:after="0" w:line="240" w:lineRule="auto"/>
                    <w:ind w:firstLine="0" w:firstLineChars="0"/>
                    <w:jc w:val="center"/>
                    <w:rPr>
                      <w:sz w:val="21"/>
                      <w:szCs w:val="21"/>
                    </w:rPr>
                  </w:pPr>
                </w:p>
              </w:tc>
              <w:tc>
                <w:tcPr>
                  <w:tcW w:w="682" w:type="dxa"/>
                  <w:vAlign w:val="center"/>
                </w:tcPr>
                <w:p>
                  <w:pPr>
                    <w:pStyle w:val="144"/>
                    <w:spacing w:before="0" w:after="0" w:line="240" w:lineRule="auto"/>
                    <w:ind w:firstLine="0" w:firstLineChars="0"/>
                    <w:jc w:val="center"/>
                    <w:rPr>
                      <w:sz w:val="21"/>
                      <w:szCs w:val="21"/>
                    </w:rPr>
                  </w:pPr>
                  <w:r>
                    <w:rPr>
                      <w:rFonts w:hint="eastAsia"/>
                      <w:sz w:val="21"/>
                      <w:szCs w:val="21"/>
                    </w:rPr>
                    <w:t>2</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6</w:t>
                  </w:r>
                  <w:r>
                    <w:rPr>
                      <w:sz w:val="21"/>
                      <w:szCs w:val="21"/>
                    </w:rPr>
                    <w:t>248</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62</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6</w:t>
                  </w:r>
                  <w:r>
                    <w:rPr>
                      <w:sz w:val="21"/>
                      <w:szCs w:val="21"/>
                    </w:rPr>
                    <w:t>.01</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3</w:t>
                  </w:r>
                  <w:r>
                    <w:rPr>
                      <w:sz w:val="21"/>
                      <w:szCs w:val="21"/>
                    </w:rPr>
                    <w:t>687</w:t>
                  </w:r>
                </w:p>
              </w:tc>
              <w:tc>
                <w:tcPr>
                  <w:tcW w:w="781"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24</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3</w:t>
                  </w:r>
                  <w:r>
                    <w:rPr>
                      <w:sz w:val="21"/>
                      <w:szCs w:val="21"/>
                    </w:rPr>
                    <w:t>.41</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814</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4</w:t>
                  </w:r>
                  <w:r>
                    <w:rPr>
                      <w:sz w:val="21"/>
                      <w:szCs w:val="21"/>
                    </w:rPr>
                    <w:t>.7</w:t>
                  </w:r>
                </w:p>
              </w:tc>
              <w:tc>
                <w:tcPr>
                  <w:tcW w:w="781" w:type="dxa"/>
                  <w:vAlign w:val="center"/>
                </w:tcPr>
                <w:p>
                  <w:pPr>
                    <w:pStyle w:val="144"/>
                    <w:spacing w:before="0" w:after="0" w:line="240" w:lineRule="auto"/>
                    <w:ind w:firstLine="0" w:firstLineChars="0"/>
                    <w:jc w:val="center"/>
                    <w:rPr>
                      <w:sz w:val="21"/>
                      <w:szCs w:val="21"/>
                    </w:rPr>
                  </w:pPr>
                  <w:r>
                    <w:rPr>
                      <w:rFonts w:hint="eastAsia"/>
                      <w:sz w:val="21"/>
                      <w:szCs w:val="21"/>
                    </w:rPr>
                    <w:t>0</w:t>
                  </w:r>
                  <w:r>
                    <w:rPr>
                      <w:sz w:val="21"/>
                      <w:szCs w:val="21"/>
                    </w:rPr>
                    <w:t>.046</w:t>
                  </w:r>
                </w:p>
              </w:tc>
              <w:tc>
                <w:tcPr>
                  <w:tcW w:w="737"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dxa"/>
                  <w:vMerge w:val="continue"/>
                  <w:vAlign w:val="center"/>
                </w:tcPr>
                <w:p>
                  <w:pPr>
                    <w:pStyle w:val="144"/>
                    <w:spacing w:before="0" w:after="0" w:line="240" w:lineRule="auto"/>
                    <w:ind w:firstLine="0" w:firstLineChars="0"/>
                    <w:jc w:val="center"/>
                    <w:rPr>
                      <w:sz w:val="21"/>
                      <w:szCs w:val="21"/>
                    </w:rPr>
                  </w:pPr>
                </w:p>
              </w:tc>
              <w:tc>
                <w:tcPr>
                  <w:tcW w:w="682" w:type="dxa"/>
                  <w:vAlign w:val="center"/>
                </w:tcPr>
                <w:p>
                  <w:pPr>
                    <w:pStyle w:val="144"/>
                    <w:spacing w:before="0" w:after="0" w:line="240" w:lineRule="auto"/>
                    <w:ind w:firstLine="0" w:firstLineChars="0"/>
                    <w:jc w:val="center"/>
                    <w:rPr>
                      <w:sz w:val="21"/>
                      <w:szCs w:val="21"/>
                    </w:rPr>
                  </w:pPr>
                  <w:r>
                    <w:rPr>
                      <w:rFonts w:hint="eastAsia"/>
                      <w:sz w:val="21"/>
                      <w:szCs w:val="21"/>
                    </w:rPr>
                    <w:t>3</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6</w:t>
                  </w:r>
                  <w:r>
                    <w:rPr>
                      <w:sz w:val="21"/>
                      <w:szCs w:val="21"/>
                    </w:rPr>
                    <w:t>986</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56</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6</w:t>
                  </w:r>
                  <w:r>
                    <w:rPr>
                      <w:sz w:val="21"/>
                      <w:szCs w:val="21"/>
                    </w:rPr>
                    <w:t>.68</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3</w:t>
                  </w:r>
                  <w:r>
                    <w:rPr>
                      <w:sz w:val="21"/>
                      <w:szCs w:val="21"/>
                    </w:rPr>
                    <w:t>691</w:t>
                  </w:r>
                </w:p>
              </w:tc>
              <w:tc>
                <w:tcPr>
                  <w:tcW w:w="781"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33</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3</w:t>
                  </w:r>
                  <w:r>
                    <w:rPr>
                      <w:sz w:val="21"/>
                      <w:szCs w:val="21"/>
                    </w:rPr>
                    <w:t>.44</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1</w:t>
                  </w:r>
                  <w:r>
                    <w:rPr>
                      <w:sz w:val="21"/>
                      <w:szCs w:val="21"/>
                    </w:rPr>
                    <w:t>0623</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4</w:t>
                  </w:r>
                  <w:r>
                    <w:rPr>
                      <w:sz w:val="21"/>
                      <w:szCs w:val="21"/>
                    </w:rPr>
                    <w:t>.9</w:t>
                  </w:r>
                </w:p>
              </w:tc>
              <w:tc>
                <w:tcPr>
                  <w:tcW w:w="781" w:type="dxa"/>
                  <w:vAlign w:val="center"/>
                </w:tcPr>
                <w:p>
                  <w:pPr>
                    <w:pStyle w:val="144"/>
                    <w:spacing w:before="0" w:after="0" w:line="240" w:lineRule="auto"/>
                    <w:ind w:firstLine="0" w:firstLineChars="0"/>
                    <w:jc w:val="center"/>
                    <w:rPr>
                      <w:sz w:val="21"/>
                      <w:szCs w:val="21"/>
                    </w:rPr>
                  </w:pPr>
                  <w:r>
                    <w:rPr>
                      <w:rFonts w:hint="eastAsia"/>
                      <w:sz w:val="21"/>
                      <w:szCs w:val="21"/>
                    </w:rPr>
                    <w:t>0</w:t>
                  </w:r>
                  <w:r>
                    <w:rPr>
                      <w:sz w:val="21"/>
                      <w:szCs w:val="21"/>
                    </w:rPr>
                    <w:t>.052</w:t>
                  </w:r>
                </w:p>
              </w:tc>
              <w:tc>
                <w:tcPr>
                  <w:tcW w:w="737"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dxa"/>
                  <w:vMerge w:val="continue"/>
                  <w:vAlign w:val="center"/>
                </w:tcPr>
                <w:p>
                  <w:pPr>
                    <w:pStyle w:val="144"/>
                    <w:spacing w:before="0" w:after="0" w:line="240" w:lineRule="auto"/>
                    <w:ind w:firstLine="0" w:firstLineChars="0"/>
                    <w:jc w:val="center"/>
                    <w:rPr>
                      <w:sz w:val="21"/>
                      <w:szCs w:val="21"/>
                    </w:rPr>
                  </w:pPr>
                </w:p>
              </w:tc>
              <w:tc>
                <w:tcPr>
                  <w:tcW w:w="682" w:type="dxa"/>
                  <w:vAlign w:val="center"/>
                </w:tcPr>
                <w:p>
                  <w:pPr>
                    <w:pStyle w:val="144"/>
                    <w:spacing w:before="0" w:after="0" w:line="240" w:lineRule="auto"/>
                    <w:ind w:firstLine="0" w:firstLineChars="0"/>
                    <w:jc w:val="center"/>
                    <w:rPr>
                      <w:sz w:val="21"/>
                      <w:szCs w:val="21"/>
                    </w:rPr>
                  </w:pPr>
                  <w:r>
                    <w:rPr>
                      <w:rFonts w:hint="eastAsia"/>
                      <w:sz w:val="21"/>
                      <w:szCs w:val="21"/>
                    </w:rPr>
                    <w:t>平均</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6</w:t>
                  </w:r>
                  <w:r>
                    <w:rPr>
                      <w:sz w:val="21"/>
                      <w:szCs w:val="21"/>
                    </w:rPr>
                    <w:t>739</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58</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6</w:t>
                  </w:r>
                  <w:r>
                    <w:rPr>
                      <w:sz w:val="21"/>
                      <w:szCs w:val="21"/>
                    </w:rPr>
                    <w:t>.45</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3</w:t>
                  </w:r>
                  <w:r>
                    <w:rPr>
                      <w:sz w:val="21"/>
                      <w:szCs w:val="21"/>
                    </w:rPr>
                    <w:t>782</w:t>
                  </w:r>
                </w:p>
              </w:tc>
              <w:tc>
                <w:tcPr>
                  <w:tcW w:w="781"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20</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3</w:t>
                  </w:r>
                  <w:r>
                    <w:rPr>
                      <w:sz w:val="21"/>
                      <w:szCs w:val="21"/>
                    </w:rPr>
                    <w:t>.48</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1</w:t>
                  </w:r>
                  <w:r>
                    <w:rPr>
                      <w:sz w:val="21"/>
                      <w:szCs w:val="21"/>
                    </w:rPr>
                    <w:t>0139</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5</w:t>
                  </w:r>
                  <w:r>
                    <w:rPr>
                      <w:sz w:val="21"/>
                      <w:szCs w:val="21"/>
                    </w:rPr>
                    <w:t>.0</w:t>
                  </w:r>
                </w:p>
              </w:tc>
              <w:tc>
                <w:tcPr>
                  <w:tcW w:w="781" w:type="dxa"/>
                  <w:vAlign w:val="center"/>
                </w:tcPr>
                <w:p>
                  <w:pPr>
                    <w:pStyle w:val="144"/>
                    <w:spacing w:before="0" w:after="0" w:line="240" w:lineRule="auto"/>
                    <w:ind w:firstLine="0" w:firstLineChars="0"/>
                    <w:jc w:val="center"/>
                    <w:rPr>
                      <w:sz w:val="21"/>
                      <w:szCs w:val="21"/>
                    </w:rPr>
                  </w:pPr>
                  <w:r>
                    <w:rPr>
                      <w:rFonts w:hint="eastAsia"/>
                      <w:sz w:val="21"/>
                      <w:szCs w:val="21"/>
                    </w:rPr>
                    <w:t>0</w:t>
                  </w:r>
                  <w:r>
                    <w:rPr>
                      <w:sz w:val="21"/>
                      <w:szCs w:val="21"/>
                    </w:rPr>
                    <w:t>.050</w:t>
                  </w:r>
                </w:p>
              </w:tc>
              <w:tc>
                <w:tcPr>
                  <w:tcW w:w="737"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dxa"/>
                  <w:vMerge w:val="restart"/>
                  <w:vAlign w:val="center"/>
                </w:tcPr>
                <w:p>
                  <w:pPr>
                    <w:pStyle w:val="144"/>
                    <w:spacing w:before="0" w:after="0" w:line="240" w:lineRule="auto"/>
                    <w:ind w:firstLine="0" w:firstLineChars="0"/>
                    <w:jc w:val="center"/>
                    <w:rPr>
                      <w:sz w:val="21"/>
                      <w:szCs w:val="21"/>
                    </w:rPr>
                  </w:pPr>
                  <w:r>
                    <w:rPr>
                      <w:rFonts w:hint="eastAsia"/>
                      <w:sz w:val="21"/>
                      <w:szCs w:val="21"/>
                    </w:rPr>
                    <w:t>2</w:t>
                  </w:r>
                  <w:r>
                    <w:rPr>
                      <w:sz w:val="21"/>
                      <w:szCs w:val="21"/>
                    </w:rPr>
                    <w:t>020.</w:t>
                  </w:r>
                </w:p>
                <w:p>
                  <w:pPr>
                    <w:pStyle w:val="144"/>
                    <w:spacing w:before="0" w:after="0" w:line="240" w:lineRule="auto"/>
                    <w:ind w:firstLine="0" w:firstLineChars="0"/>
                    <w:jc w:val="center"/>
                    <w:rPr>
                      <w:sz w:val="21"/>
                      <w:szCs w:val="21"/>
                    </w:rPr>
                  </w:pPr>
                  <w:r>
                    <w:rPr>
                      <w:rFonts w:hint="eastAsia"/>
                      <w:sz w:val="21"/>
                      <w:szCs w:val="21"/>
                    </w:rPr>
                    <w:t>5</w:t>
                  </w:r>
                  <w:r>
                    <w:rPr>
                      <w:sz w:val="21"/>
                      <w:szCs w:val="21"/>
                    </w:rPr>
                    <w:t>.1</w:t>
                  </w:r>
                </w:p>
              </w:tc>
              <w:tc>
                <w:tcPr>
                  <w:tcW w:w="682" w:type="dxa"/>
                  <w:vAlign w:val="center"/>
                </w:tcPr>
                <w:p>
                  <w:pPr>
                    <w:pStyle w:val="144"/>
                    <w:spacing w:before="0" w:after="0" w:line="240" w:lineRule="auto"/>
                    <w:ind w:firstLine="0" w:firstLineChars="0"/>
                    <w:jc w:val="center"/>
                    <w:rPr>
                      <w:sz w:val="21"/>
                      <w:szCs w:val="21"/>
                    </w:rPr>
                  </w:pPr>
                  <w:r>
                    <w:rPr>
                      <w:rFonts w:hint="eastAsia"/>
                      <w:sz w:val="21"/>
                      <w:szCs w:val="21"/>
                    </w:rPr>
                    <w:t>1</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6</w:t>
                  </w:r>
                  <w:r>
                    <w:rPr>
                      <w:sz w:val="21"/>
                      <w:szCs w:val="21"/>
                    </w:rPr>
                    <w:t>534</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57</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6</w:t>
                  </w:r>
                  <w:r>
                    <w:rPr>
                      <w:sz w:val="21"/>
                      <w:szCs w:val="21"/>
                    </w:rPr>
                    <w:t>.25</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3</w:t>
                  </w:r>
                  <w:r>
                    <w:rPr>
                      <w:sz w:val="21"/>
                      <w:szCs w:val="21"/>
                    </w:rPr>
                    <w:t>814</w:t>
                  </w:r>
                </w:p>
              </w:tc>
              <w:tc>
                <w:tcPr>
                  <w:tcW w:w="781"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15</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3</w:t>
                  </w:r>
                  <w:r>
                    <w:rPr>
                      <w:sz w:val="21"/>
                      <w:szCs w:val="21"/>
                    </w:rPr>
                    <w:t>.49</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983</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4</w:t>
                  </w:r>
                  <w:r>
                    <w:rPr>
                      <w:sz w:val="21"/>
                      <w:szCs w:val="21"/>
                    </w:rPr>
                    <w:t>.3</w:t>
                  </w:r>
                </w:p>
              </w:tc>
              <w:tc>
                <w:tcPr>
                  <w:tcW w:w="781" w:type="dxa"/>
                  <w:vAlign w:val="center"/>
                </w:tcPr>
                <w:p>
                  <w:pPr>
                    <w:pStyle w:val="144"/>
                    <w:spacing w:before="0" w:after="0" w:line="240" w:lineRule="auto"/>
                    <w:ind w:firstLine="0" w:firstLineChars="0"/>
                    <w:jc w:val="center"/>
                    <w:rPr>
                      <w:sz w:val="21"/>
                      <w:szCs w:val="21"/>
                    </w:rPr>
                  </w:pPr>
                  <w:r>
                    <w:rPr>
                      <w:rFonts w:hint="eastAsia"/>
                      <w:sz w:val="21"/>
                      <w:szCs w:val="21"/>
                    </w:rPr>
                    <w:t>0</w:t>
                  </w:r>
                  <w:r>
                    <w:rPr>
                      <w:sz w:val="21"/>
                      <w:szCs w:val="21"/>
                    </w:rPr>
                    <w:t>.043</w:t>
                  </w:r>
                </w:p>
              </w:tc>
              <w:tc>
                <w:tcPr>
                  <w:tcW w:w="737"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dxa"/>
                  <w:vMerge w:val="continue"/>
                  <w:vAlign w:val="center"/>
                </w:tcPr>
                <w:p>
                  <w:pPr>
                    <w:pStyle w:val="144"/>
                    <w:spacing w:before="0" w:after="0" w:line="240" w:lineRule="auto"/>
                    <w:ind w:firstLine="0" w:firstLineChars="0"/>
                    <w:jc w:val="center"/>
                    <w:rPr>
                      <w:sz w:val="21"/>
                      <w:szCs w:val="21"/>
                    </w:rPr>
                  </w:pPr>
                </w:p>
              </w:tc>
              <w:tc>
                <w:tcPr>
                  <w:tcW w:w="682" w:type="dxa"/>
                  <w:vAlign w:val="center"/>
                </w:tcPr>
                <w:p>
                  <w:pPr>
                    <w:pStyle w:val="144"/>
                    <w:spacing w:before="0" w:after="0" w:line="240" w:lineRule="auto"/>
                    <w:ind w:firstLine="0" w:firstLineChars="0"/>
                    <w:jc w:val="center"/>
                    <w:rPr>
                      <w:sz w:val="21"/>
                      <w:szCs w:val="21"/>
                    </w:rPr>
                  </w:pPr>
                  <w:r>
                    <w:rPr>
                      <w:rFonts w:hint="eastAsia"/>
                      <w:sz w:val="21"/>
                      <w:szCs w:val="21"/>
                    </w:rPr>
                    <w:t>2</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6</w:t>
                  </w:r>
                  <w:r>
                    <w:rPr>
                      <w:sz w:val="21"/>
                      <w:szCs w:val="21"/>
                    </w:rPr>
                    <w:t>537</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65</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6</w:t>
                  </w:r>
                  <w:r>
                    <w:rPr>
                      <w:sz w:val="21"/>
                      <w:szCs w:val="21"/>
                    </w:rPr>
                    <w:t>.31</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3</w:t>
                  </w:r>
                  <w:r>
                    <w:rPr>
                      <w:sz w:val="21"/>
                      <w:szCs w:val="21"/>
                    </w:rPr>
                    <w:t>845</w:t>
                  </w:r>
                </w:p>
              </w:tc>
              <w:tc>
                <w:tcPr>
                  <w:tcW w:w="781"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15</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3</w:t>
                  </w:r>
                  <w:r>
                    <w:rPr>
                      <w:sz w:val="21"/>
                      <w:szCs w:val="21"/>
                    </w:rPr>
                    <w:t>.52</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799</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4</w:t>
                  </w:r>
                  <w:r>
                    <w:rPr>
                      <w:sz w:val="21"/>
                      <w:szCs w:val="21"/>
                    </w:rPr>
                    <w:t>.7</w:t>
                  </w:r>
                </w:p>
              </w:tc>
              <w:tc>
                <w:tcPr>
                  <w:tcW w:w="781" w:type="dxa"/>
                  <w:vAlign w:val="center"/>
                </w:tcPr>
                <w:p>
                  <w:pPr>
                    <w:pStyle w:val="144"/>
                    <w:spacing w:before="0" w:after="0" w:line="240" w:lineRule="auto"/>
                    <w:ind w:firstLine="0" w:firstLineChars="0"/>
                    <w:jc w:val="center"/>
                    <w:rPr>
                      <w:sz w:val="21"/>
                      <w:szCs w:val="21"/>
                    </w:rPr>
                  </w:pPr>
                  <w:r>
                    <w:rPr>
                      <w:rFonts w:hint="eastAsia"/>
                      <w:sz w:val="21"/>
                      <w:szCs w:val="21"/>
                    </w:rPr>
                    <w:t>0</w:t>
                  </w:r>
                  <w:r>
                    <w:rPr>
                      <w:sz w:val="21"/>
                      <w:szCs w:val="21"/>
                    </w:rPr>
                    <w:t>.046</w:t>
                  </w:r>
                </w:p>
              </w:tc>
              <w:tc>
                <w:tcPr>
                  <w:tcW w:w="737"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dxa"/>
                  <w:vMerge w:val="continue"/>
                  <w:vAlign w:val="center"/>
                </w:tcPr>
                <w:p>
                  <w:pPr>
                    <w:pStyle w:val="144"/>
                    <w:spacing w:before="0" w:after="0" w:line="240" w:lineRule="auto"/>
                    <w:ind w:firstLine="0" w:firstLineChars="0"/>
                    <w:jc w:val="center"/>
                    <w:rPr>
                      <w:sz w:val="21"/>
                      <w:szCs w:val="21"/>
                    </w:rPr>
                  </w:pPr>
                </w:p>
              </w:tc>
              <w:tc>
                <w:tcPr>
                  <w:tcW w:w="682" w:type="dxa"/>
                  <w:vAlign w:val="center"/>
                </w:tcPr>
                <w:p>
                  <w:pPr>
                    <w:pStyle w:val="144"/>
                    <w:spacing w:before="0" w:after="0" w:line="240" w:lineRule="auto"/>
                    <w:ind w:firstLine="0" w:firstLineChars="0"/>
                    <w:jc w:val="center"/>
                    <w:rPr>
                      <w:sz w:val="21"/>
                      <w:szCs w:val="21"/>
                    </w:rPr>
                  </w:pPr>
                  <w:r>
                    <w:rPr>
                      <w:rFonts w:hint="eastAsia"/>
                      <w:sz w:val="21"/>
                      <w:szCs w:val="21"/>
                    </w:rPr>
                    <w:t>3</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6</w:t>
                  </w:r>
                  <w:r>
                    <w:rPr>
                      <w:sz w:val="21"/>
                      <w:szCs w:val="21"/>
                    </w:rPr>
                    <w:t>711</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68</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6</w:t>
                  </w:r>
                  <w:r>
                    <w:rPr>
                      <w:sz w:val="21"/>
                      <w:szCs w:val="21"/>
                    </w:rPr>
                    <w:t>.50</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3</w:t>
                  </w:r>
                  <w:r>
                    <w:rPr>
                      <w:sz w:val="21"/>
                      <w:szCs w:val="21"/>
                    </w:rPr>
                    <w:t>953</w:t>
                  </w:r>
                </w:p>
              </w:tc>
              <w:tc>
                <w:tcPr>
                  <w:tcW w:w="781" w:type="dxa"/>
                  <w:vAlign w:val="center"/>
                </w:tcPr>
                <w:p>
                  <w:pPr>
                    <w:pStyle w:val="144"/>
                    <w:spacing w:before="0" w:after="0" w:line="240" w:lineRule="auto"/>
                    <w:ind w:firstLine="0" w:firstLineChars="0"/>
                    <w:jc w:val="center"/>
                    <w:rPr>
                      <w:sz w:val="21"/>
                      <w:szCs w:val="21"/>
                    </w:rPr>
                  </w:pPr>
                  <w:r>
                    <w:rPr>
                      <w:rFonts w:hint="eastAsia"/>
                      <w:sz w:val="21"/>
                      <w:szCs w:val="21"/>
                    </w:rPr>
                    <w:t>8</w:t>
                  </w:r>
                  <w:r>
                    <w:rPr>
                      <w:sz w:val="21"/>
                      <w:szCs w:val="21"/>
                    </w:rPr>
                    <w:t>94</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3</w:t>
                  </w:r>
                  <w:r>
                    <w:rPr>
                      <w:sz w:val="21"/>
                      <w:szCs w:val="21"/>
                    </w:rPr>
                    <w:t>.53</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880</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4</w:t>
                  </w:r>
                  <w:r>
                    <w:rPr>
                      <w:sz w:val="21"/>
                      <w:szCs w:val="21"/>
                    </w:rPr>
                    <w:t>.9</w:t>
                  </w:r>
                </w:p>
              </w:tc>
              <w:tc>
                <w:tcPr>
                  <w:tcW w:w="781" w:type="dxa"/>
                  <w:vAlign w:val="center"/>
                </w:tcPr>
                <w:p>
                  <w:pPr>
                    <w:pStyle w:val="144"/>
                    <w:spacing w:before="0" w:after="0" w:line="240" w:lineRule="auto"/>
                    <w:ind w:firstLine="0" w:firstLineChars="0"/>
                    <w:jc w:val="center"/>
                    <w:rPr>
                      <w:sz w:val="21"/>
                      <w:szCs w:val="21"/>
                    </w:rPr>
                  </w:pPr>
                  <w:r>
                    <w:rPr>
                      <w:rFonts w:hint="eastAsia"/>
                      <w:sz w:val="21"/>
                      <w:szCs w:val="21"/>
                    </w:rPr>
                    <w:t>0</w:t>
                  </w:r>
                  <w:r>
                    <w:rPr>
                      <w:sz w:val="21"/>
                      <w:szCs w:val="21"/>
                    </w:rPr>
                    <w:t>.048</w:t>
                  </w:r>
                </w:p>
              </w:tc>
              <w:tc>
                <w:tcPr>
                  <w:tcW w:w="737"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dxa"/>
                  <w:vMerge w:val="continue"/>
                  <w:vAlign w:val="center"/>
                </w:tcPr>
                <w:p>
                  <w:pPr>
                    <w:pStyle w:val="144"/>
                    <w:spacing w:before="0" w:after="0" w:line="240" w:lineRule="auto"/>
                    <w:ind w:firstLine="0" w:firstLineChars="0"/>
                    <w:jc w:val="center"/>
                    <w:rPr>
                      <w:sz w:val="21"/>
                      <w:szCs w:val="21"/>
                    </w:rPr>
                  </w:pPr>
                </w:p>
              </w:tc>
              <w:tc>
                <w:tcPr>
                  <w:tcW w:w="682" w:type="dxa"/>
                  <w:vAlign w:val="center"/>
                </w:tcPr>
                <w:p>
                  <w:pPr>
                    <w:pStyle w:val="144"/>
                    <w:spacing w:before="0" w:after="0" w:line="240" w:lineRule="auto"/>
                    <w:ind w:firstLine="0" w:firstLineChars="0"/>
                    <w:jc w:val="center"/>
                    <w:rPr>
                      <w:sz w:val="21"/>
                      <w:szCs w:val="21"/>
                    </w:rPr>
                  </w:pPr>
                  <w:r>
                    <w:rPr>
                      <w:rFonts w:hint="eastAsia"/>
                      <w:sz w:val="21"/>
                      <w:szCs w:val="21"/>
                    </w:rPr>
                    <w:t>平均</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6</w:t>
                  </w:r>
                  <w:r>
                    <w:rPr>
                      <w:sz w:val="21"/>
                      <w:szCs w:val="21"/>
                    </w:rPr>
                    <w:t>594</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63</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6</w:t>
                  </w:r>
                  <w:r>
                    <w:rPr>
                      <w:sz w:val="21"/>
                      <w:szCs w:val="21"/>
                    </w:rPr>
                    <w:t>.35</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3</w:t>
                  </w:r>
                  <w:r>
                    <w:rPr>
                      <w:sz w:val="21"/>
                      <w:szCs w:val="21"/>
                    </w:rPr>
                    <w:t>871</w:t>
                  </w:r>
                </w:p>
              </w:tc>
              <w:tc>
                <w:tcPr>
                  <w:tcW w:w="781"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08</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3</w:t>
                  </w:r>
                  <w:r>
                    <w:rPr>
                      <w:sz w:val="21"/>
                      <w:szCs w:val="21"/>
                    </w:rPr>
                    <w:t>.51</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887</w:t>
                  </w: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4</w:t>
                  </w:r>
                  <w:r>
                    <w:rPr>
                      <w:sz w:val="21"/>
                      <w:szCs w:val="21"/>
                    </w:rPr>
                    <w:t>.6</w:t>
                  </w:r>
                </w:p>
              </w:tc>
              <w:tc>
                <w:tcPr>
                  <w:tcW w:w="781" w:type="dxa"/>
                  <w:vAlign w:val="center"/>
                </w:tcPr>
                <w:p>
                  <w:pPr>
                    <w:pStyle w:val="144"/>
                    <w:spacing w:before="0" w:after="0" w:line="240" w:lineRule="auto"/>
                    <w:ind w:firstLine="0" w:firstLineChars="0"/>
                    <w:jc w:val="center"/>
                    <w:rPr>
                      <w:sz w:val="21"/>
                      <w:szCs w:val="21"/>
                    </w:rPr>
                  </w:pPr>
                  <w:r>
                    <w:rPr>
                      <w:rFonts w:hint="eastAsia"/>
                      <w:sz w:val="21"/>
                      <w:szCs w:val="21"/>
                    </w:rPr>
                    <w:t>0</w:t>
                  </w:r>
                  <w:r>
                    <w:rPr>
                      <w:sz w:val="21"/>
                      <w:szCs w:val="21"/>
                    </w:rPr>
                    <w:t>.046</w:t>
                  </w:r>
                </w:p>
              </w:tc>
              <w:tc>
                <w:tcPr>
                  <w:tcW w:w="737" w:type="dxa"/>
                  <w:vAlign w:val="center"/>
                </w:tcPr>
                <w:p>
                  <w:pPr>
                    <w:pStyle w:val="144"/>
                    <w:spacing w:before="0" w:after="0" w:line="240" w:lineRule="auto"/>
                    <w:ind w:firstLine="0" w:firstLineChars="0"/>
                    <w:jc w:val="center"/>
                    <w:rPr>
                      <w:sz w:val="21"/>
                      <w:szCs w:val="21"/>
                    </w:rPr>
                  </w:pPr>
                  <w:r>
                    <w:rPr>
                      <w:rFonts w:hint="eastAsia"/>
                      <w:sz w:val="21"/>
                      <w:szCs w:val="21"/>
                    </w:rPr>
                    <w:t>9</w:t>
                  </w:r>
                  <w:r>
                    <w:rPr>
                      <w:sz w:val="21"/>
                      <w:szCs w:val="21"/>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71" w:type="dxa"/>
                  <w:gridSpan w:val="2"/>
                  <w:vAlign w:val="center"/>
                </w:tcPr>
                <w:p>
                  <w:pPr>
                    <w:pStyle w:val="144"/>
                    <w:spacing w:before="0" w:after="0" w:line="240" w:lineRule="auto"/>
                    <w:ind w:firstLine="0" w:firstLineChars="0"/>
                    <w:jc w:val="center"/>
                    <w:rPr>
                      <w:sz w:val="21"/>
                      <w:szCs w:val="21"/>
                    </w:rPr>
                  </w:pPr>
                  <w:r>
                    <w:rPr>
                      <w:rFonts w:hint="eastAsia"/>
                      <w:sz w:val="21"/>
                      <w:szCs w:val="21"/>
                    </w:rPr>
                    <w:t>标准限值</w:t>
                  </w:r>
                </w:p>
              </w:tc>
              <w:tc>
                <w:tcPr>
                  <w:tcW w:w="780" w:type="dxa"/>
                  <w:vAlign w:val="center"/>
                </w:tcPr>
                <w:p>
                  <w:pPr>
                    <w:pStyle w:val="144"/>
                    <w:spacing w:before="0" w:after="0" w:line="240" w:lineRule="auto"/>
                    <w:ind w:firstLine="0" w:firstLineChars="0"/>
                    <w:jc w:val="center"/>
                    <w:rPr>
                      <w:sz w:val="21"/>
                      <w:szCs w:val="21"/>
                    </w:rPr>
                  </w:pPr>
                </w:p>
              </w:tc>
              <w:tc>
                <w:tcPr>
                  <w:tcW w:w="780" w:type="dxa"/>
                  <w:vAlign w:val="center"/>
                </w:tcPr>
                <w:p>
                  <w:pPr>
                    <w:pStyle w:val="144"/>
                    <w:spacing w:before="0" w:after="0" w:line="240" w:lineRule="auto"/>
                    <w:ind w:firstLine="0" w:firstLineChars="0"/>
                    <w:jc w:val="center"/>
                    <w:rPr>
                      <w:sz w:val="21"/>
                      <w:szCs w:val="21"/>
                    </w:rPr>
                  </w:pPr>
                </w:p>
              </w:tc>
              <w:tc>
                <w:tcPr>
                  <w:tcW w:w="780" w:type="dxa"/>
                  <w:vAlign w:val="center"/>
                </w:tcPr>
                <w:p>
                  <w:pPr>
                    <w:pStyle w:val="144"/>
                    <w:spacing w:before="0" w:after="0" w:line="240" w:lineRule="auto"/>
                    <w:ind w:firstLine="0" w:firstLineChars="0"/>
                    <w:jc w:val="center"/>
                    <w:rPr>
                      <w:sz w:val="21"/>
                      <w:szCs w:val="21"/>
                    </w:rPr>
                  </w:pPr>
                </w:p>
              </w:tc>
              <w:tc>
                <w:tcPr>
                  <w:tcW w:w="780" w:type="dxa"/>
                  <w:vAlign w:val="center"/>
                </w:tcPr>
                <w:p>
                  <w:pPr>
                    <w:pStyle w:val="144"/>
                    <w:spacing w:before="0" w:after="0" w:line="240" w:lineRule="auto"/>
                    <w:ind w:firstLine="0" w:firstLineChars="0"/>
                    <w:jc w:val="center"/>
                    <w:rPr>
                      <w:sz w:val="21"/>
                      <w:szCs w:val="21"/>
                    </w:rPr>
                  </w:pPr>
                </w:p>
              </w:tc>
              <w:tc>
                <w:tcPr>
                  <w:tcW w:w="781" w:type="dxa"/>
                  <w:vAlign w:val="center"/>
                </w:tcPr>
                <w:p>
                  <w:pPr>
                    <w:pStyle w:val="144"/>
                    <w:spacing w:before="0" w:after="0" w:line="240" w:lineRule="auto"/>
                    <w:ind w:firstLine="0" w:firstLineChars="0"/>
                    <w:jc w:val="center"/>
                    <w:rPr>
                      <w:sz w:val="21"/>
                      <w:szCs w:val="21"/>
                    </w:rPr>
                  </w:pPr>
                </w:p>
              </w:tc>
              <w:tc>
                <w:tcPr>
                  <w:tcW w:w="780" w:type="dxa"/>
                  <w:vAlign w:val="center"/>
                </w:tcPr>
                <w:p>
                  <w:pPr>
                    <w:pStyle w:val="144"/>
                    <w:spacing w:before="0" w:after="0" w:line="240" w:lineRule="auto"/>
                    <w:ind w:firstLine="0" w:firstLineChars="0"/>
                    <w:jc w:val="center"/>
                    <w:rPr>
                      <w:sz w:val="21"/>
                      <w:szCs w:val="21"/>
                    </w:rPr>
                  </w:pPr>
                </w:p>
              </w:tc>
              <w:tc>
                <w:tcPr>
                  <w:tcW w:w="780" w:type="dxa"/>
                  <w:vAlign w:val="center"/>
                </w:tcPr>
                <w:p>
                  <w:pPr>
                    <w:pStyle w:val="144"/>
                    <w:spacing w:before="0" w:after="0" w:line="240" w:lineRule="auto"/>
                    <w:ind w:firstLine="0" w:firstLineChars="0"/>
                    <w:jc w:val="center"/>
                    <w:rPr>
                      <w:sz w:val="21"/>
                      <w:szCs w:val="21"/>
                    </w:rPr>
                  </w:pP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1</w:t>
                  </w:r>
                  <w:r>
                    <w:rPr>
                      <w:sz w:val="21"/>
                      <w:szCs w:val="21"/>
                    </w:rPr>
                    <w:t>20</w:t>
                  </w:r>
                </w:p>
              </w:tc>
              <w:tc>
                <w:tcPr>
                  <w:tcW w:w="781" w:type="dxa"/>
                  <w:vAlign w:val="center"/>
                </w:tcPr>
                <w:p>
                  <w:pPr>
                    <w:pStyle w:val="144"/>
                    <w:spacing w:before="0" w:after="0" w:line="240" w:lineRule="auto"/>
                    <w:ind w:firstLine="0" w:firstLineChars="0"/>
                    <w:jc w:val="center"/>
                    <w:rPr>
                      <w:sz w:val="21"/>
                      <w:szCs w:val="21"/>
                    </w:rPr>
                  </w:pPr>
                </w:p>
              </w:tc>
              <w:tc>
                <w:tcPr>
                  <w:tcW w:w="737" w:type="dxa"/>
                  <w:vAlign w:val="center"/>
                </w:tcPr>
                <w:p>
                  <w:pPr>
                    <w:pStyle w:val="144"/>
                    <w:spacing w:before="0" w:after="0"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71" w:type="dxa"/>
                  <w:gridSpan w:val="2"/>
                  <w:vAlign w:val="center"/>
                </w:tcPr>
                <w:p>
                  <w:pPr>
                    <w:pStyle w:val="144"/>
                    <w:spacing w:before="0" w:after="0" w:line="240" w:lineRule="auto"/>
                    <w:ind w:firstLine="0" w:firstLineChars="0"/>
                    <w:jc w:val="center"/>
                    <w:rPr>
                      <w:sz w:val="21"/>
                      <w:szCs w:val="21"/>
                    </w:rPr>
                  </w:pPr>
                  <w:r>
                    <w:rPr>
                      <w:rFonts w:hint="eastAsia"/>
                      <w:sz w:val="21"/>
                      <w:szCs w:val="21"/>
                    </w:rPr>
                    <w:t>达标情况</w:t>
                  </w:r>
                </w:p>
              </w:tc>
              <w:tc>
                <w:tcPr>
                  <w:tcW w:w="780" w:type="dxa"/>
                  <w:vAlign w:val="center"/>
                </w:tcPr>
                <w:p>
                  <w:pPr>
                    <w:pStyle w:val="144"/>
                    <w:spacing w:before="0" w:after="0" w:line="240" w:lineRule="auto"/>
                    <w:ind w:firstLine="0" w:firstLineChars="0"/>
                    <w:jc w:val="center"/>
                    <w:rPr>
                      <w:sz w:val="21"/>
                      <w:szCs w:val="21"/>
                    </w:rPr>
                  </w:pPr>
                </w:p>
              </w:tc>
              <w:tc>
                <w:tcPr>
                  <w:tcW w:w="780" w:type="dxa"/>
                  <w:vAlign w:val="center"/>
                </w:tcPr>
                <w:p>
                  <w:pPr>
                    <w:pStyle w:val="144"/>
                    <w:spacing w:before="0" w:after="0" w:line="240" w:lineRule="auto"/>
                    <w:ind w:firstLine="0" w:firstLineChars="0"/>
                    <w:jc w:val="center"/>
                    <w:rPr>
                      <w:sz w:val="21"/>
                      <w:szCs w:val="21"/>
                    </w:rPr>
                  </w:pPr>
                </w:p>
              </w:tc>
              <w:tc>
                <w:tcPr>
                  <w:tcW w:w="780" w:type="dxa"/>
                  <w:vAlign w:val="center"/>
                </w:tcPr>
                <w:p>
                  <w:pPr>
                    <w:pStyle w:val="144"/>
                    <w:spacing w:before="0" w:after="0" w:line="240" w:lineRule="auto"/>
                    <w:ind w:firstLine="0" w:firstLineChars="0"/>
                    <w:jc w:val="center"/>
                    <w:rPr>
                      <w:sz w:val="21"/>
                      <w:szCs w:val="21"/>
                    </w:rPr>
                  </w:pPr>
                </w:p>
              </w:tc>
              <w:tc>
                <w:tcPr>
                  <w:tcW w:w="780" w:type="dxa"/>
                  <w:vAlign w:val="center"/>
                </w:tcPr>
                <w:p>
                  <w:pPr>
                    <w:pStyle w:val="144"/>
                    <w:spacing w:before="0" w:after="0" w:line="240" w:lineRule="auto"/>
                    <w:ind w:firstLine="0" w:firstLineChars="0"/>
                    <w:jc w:val="center"/>
                    <w:rPr>
                      <w:sz w:val="21"/>
                      <w:szCs w:val="21"/>
                    </w:rPr>
                  </w:pPr>
                </w:p>
              </w:tc>
              <w:tc>
                <w:tcPr>
                  <w:tcW w:w="781" w:type="dxa"/>
                  <w:vAlign w:val="center"/>
                </w:tcPr>
                <w:p>
                  <w:pPr>
                    <w:pStyle w:val="144"/>
                    <w:spacing w:before="0" w:after="0" w:line="240" w:lineRule="auto"/>
                    <w:ind w:firstLine="0" w:firstLineChars="0"/>
                    <w:jc w:val="center"/>
                    <w:rPr>
                      <w:sz w:val="21"/>
                      <w:szCs w:val="21"/>
                    </w:rPr>
                  </w:pPr>
                </w:p>
              </w:tc>
              <w:tc>
                <w:tcPr>
                  <w:tcW w:w="780" w:type="dxa"/>
                  <w:vAlign w:val="center"/>
                </w:tcPr>
                <w:p>
                  <w:pPr>
                    <w:pStyle w:val="144"/>
                    <w:spacing w:before="0" w:after="0" w:line="240" w:lineRule="auto"/>
                    <w:ind w:firstLine="0" w:firstLineChars="0"/>
                    <w:jc w:val="center"/>
                    <w:rPr>
                      <w:sz w:val="21"/>
                      <w:szCs w:val="21"/>
                    </w:rPr>
                  </w:pPr>
                </w:p>
              </w:tc>
              <w:tc>
                <w:tcPr>
                  <w:tcW w:w="780" w:type="dxa"/>
                  <w:vAlign w:val="center"/>
                </w:tcPr>
                <w:p>
                  <w:pPr>
                    <w:pStyle w:val="144"/>
                    <w:spacing w:before="0" w:after="0" w:line="240" w:lineRule="auto"/>
                    <w:ind w:firstLine="0" w:firstLineChars="0"/>
                    <w:jc w:val="center"/>
                    <w:rPr>
                      <w:sz w:val="21"/>
                      <w:szCs w:val="21"/>
                    </w:rPr>
                  </w:pPr>
                </w:p>
              </w:tc>
              <w:tc>
                <w:tcPr>
                  <w:tcW w:w="780" w:type="dxa"/>
                  <w:vAlign w:val="center"/>
                </w:tcPr>
                <w:p>
                  <w:pPr>
                    <w:pStyle w:val="144"/>
                    <w:spacing w:before="0" w:after="0" w:line="240" w:lineRule="auto"/>
                    <w:ind w:firstLine="0" w:firstLineChars="0"/>
                    <w:jc w:val="center"/>
                    <w:rPr>
                      <w:sz w:val="21"/>
                      <w:szCs w:val="21"/>
                    </w:rPr>
                  </w:pPr>
                  <w:r>
                    <w:rPr>
                      <w:rFonts w:hint="eastAsia"/>
                      <w:sz w:val="21"/>
                      <w:szCs w:val="21"/>
                    </w:rPr>
                    <w:t>达标</w:t>
                  </w:r>
                </w:p>
              </w:tc>
              <w:tc>
                <w:tcPr>
                  <w:tcW w:w="781" w:type="dxa"/>
                  <w:vAlign w:val="center"/>
                </w:tcPr>
                <w:p>
                  <w:pPr>
                    <w:pStyle w:val="144"/>
                    <w:spacing w:before="0" w:after="0" w:line="240" w:lineRule="auto"/>
                    <w:ind w:firstLine="0" w:firstLineChars="0"/>
                    <w:jc w:val="center"/>
                    <w:rPr>
                      <w:sz w:val="21"/>
                      <w:szCs w:val="21"/>
                    </w:rPr>
                  </w:pPr>
                </w:p>
              </w:tc>
              <w:tc>
                <w:tcPr>
                  <w:tcW w:w="737" w:type="dxa"/>
                  <w:vAlign w:val="center"/>
                </w:tcPr>
                <w:p>
                  <w:pPr>
                    <w:pStyle w:val="144"/>
                    <w:spacing w:before="0" w:after="0" w:line="240" w:lineRule="auto"/>
                    <w:ind w:firstLine="0" w:firstLineChars="0"/>
                    <w:jc w:val="center"/>
                    <w:rPr>
                      <w:sz w:val="21"/>
                      <w:szCs w:val="21"/>
                    </w:rPr>
                  </w:pPr>
                </w:p>
              </w:tc>
            </w:tr>
          </w:tbl>
          <w:p>
            <w:pPr>
              <w:pStyle w:val="37"/>
              <w:ind w:firstLine="0" w:firstLineChars="0"/>
              <w:jc w:val="center"/>
              <w:rPr>
                <w:rFonts w:ascii="黑体" w:hAnsi="黑体" w:eastAsia="黑体"/>
                <w:sz w:val="24"/>
              </w:rPr>
            </w:pPr>
            <w:r>
              <w:rPr>
                <w:rFonts w:hint="eastAsia" w:ascii="黑体" w:hAnsi="黑体" w:eastAsia="黑体"/>
                <w:sz w:val="24"/>
              </w:rPr>
              <w:t>表</w:t>
            </w:r>
            <w:r>
              <w:rPr>
                <w:rFonts w:ascii="黑体" w:hAnsi="黑体" w:eastAsia="黑体"/>
                <w:sz w:val="24"/>
              </w:rPr>
              <w:t xml:space="preserve">13a  </w:t>
            </w:r>
            <w:r>
              <w:rPr>
                <w:rFonts w:hint="eastAsia" w:ascii="黑体" w:hAnsi="黑体" w:eastAsia="黑体"/>
                <w:sz w:val="24"/>
              </w:rPr>
              <w:t>无组织废气监测结果一览表</w:t>
            </w:r>
          </w:p>
          <w:tbl>
            <w:tblPr>
              <w:tblStyle w:val="7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7"/>
              <w:gridCol w:w="1160"/>
              <w:gridCol w:w="707"/>
              <w:gridCol w:w="1483"/>
              <w:gridCol w:w="1483"/>
              <w:gridCol w:w="1483"/>
              <w:gridCol w:w="14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restart"/>
                  <w:vAlign w:val="center"/>
                </w:tcPr>
                <w:p>
                  <w:pPr>
                    <w:pStyle w:val="144"/>
                    <w:snapToGrid/>
                    <w:spacing w:before="0" w:after="0" w:line="240" w:lineRule="auto"/>
                    <w:ind w:firstLine="0" w:firstLineChars="0"/>
                    <w:jc w:val="center"/>
                    <w:rPr>
                      <w:sz w:val="21"/>
                      <w:szCs w:val="21"/>
                    </w:rPr>
                  </w:pPr>
                  <w:r>
                    <w:rPr>
                      <w:rFonts w:hint="eastAsia"/>
                      <w:sz w:val="21"/>
                      <w:szCs w:val="21"/>
                    </w:rPr>
                    <w:t>监测项目</w:t>
                  </w:r>
                </w:p>
              </w:tc>
              <w:tc>
                <w:tcPr>
                  <w:tcW w:w="1870" w:type="dxa"/>
                  <w:gridSpan w:val="2"/>
                  <w:vMerge w:val="restart"/>
                  <w:vAlign w:val="center"/>
                </w:tcPr>
                <w:p>
                  <w:pPr>
                    <w:pStyle w:val="144"/>
                    <w:snapToGrid/>
                    <w:spacing w:before="0" w:after="0" w:line="240" w:lineRule="auto"/>
                    <w:ind w:firstLine="0" w:firstLineChars="0"/>
                    <w:jc w:val="center"/>
                    <w:rPr>
                      <w:sz w:val="21"/>
                      <w:szCs w:val="21"/>
                    </w:rPr>
                  </w:pPr>
                  <w:r>
                    <w:rPr>
                      <w:rFonts w:hint="eastAsia"/>
                      <w:sz w:val="21"/>
                      <w:szCs w:val="21"/>
                    </w:rPr>
                    <w:t>监测日期</w:t>
                  </w:r>
                </w:p>
              </w:tc>
              <w:tc>
                <w:tcPr>
                  <w:tcW w:w="5956" w:type="dxa"/>
                  <w:gridSpan w:val="4"/>
                  <w:vAlign w:val="center"/>
                </w:tcPr>
                <w:p>
                  <w:pPr>
                    <w:pStyle w:val="144"/>
                    <w:snapToGrid/>
                    <w:spacing w:before="0" w:after="0" w:line="240" w:lineRule="auto"/>
                    <w:ind w:firstLine="0" w:firstLineChars="0"/>
                    <w:jc w:val="center"/>
                    <w:rPr>
                      <w:sz w:val="21"/>
                      <w:szCs w:val="21"/>
                    </w:rPr>
                  </w:pPr>
                  <w:r>
                    <w:rPr>
                      <w:rFonts w:hint="eastAsia"/>
                      <w:sz w:val="21"/>
                      <w:szCs w:val="21"/>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continue"/>
                  <w:vAlign w:val="center"/>
                </w:tcPr>
                <w:p>
                  <w:pPr>
                    <w:pStyle w:val="144"/>
                    <w:snapToGrid/>
                    <w:spacing w:before="0" w:after="0" w:line="240" w:lineRule="auto"/>
                    <w:ind w:firstLine="0" w:firstLineChars="0"/>
                    <w:jc w:val="center"/>
                    <w:rPr>
                      <w:sz w:val="21"/>
                      <w:szCs w:val="21"/>
                    </w:rPr>
                  </w:pPr>
                </w:p>
              </w:tc>
              <w:tc>
                <w:tcPr>
                  <w:tcW w:w="1870" w:type="dxa"/>
                  <w:gridSpan w:val="2"/>
                  <w:vMerge w:val="continue"/>
                  <w:vAlign w:val="center"/>
                </w:tcPr>
                <w:p>
                  <w:pPr>
                    <w:pStyle w:val="144"/>
                    <w:snapToGrid/>
                    <w:spacing w:before="0" w:after="0" w:line="240" w:lineRule="auto"/>
                    <w:ind w:firstLine="0" w:firstLineChars="0"/>
                    <w:jc w:val="center"/>
                    <w:rPr>
                      <w:sz w:val="21"/>
                      <w:szCs w:val="21"/>
                    </w:rPr>
                  </w:pP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第一次</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第二次</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第三次</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第四次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restart"/>
                  <w:vAlign w:val="center"/>
                </w:tcPr>
                <w:p>
                  <w:pPr>
                    <w:pStyle w:val="144"/>
                    <w:snapToGrid/>
                    <w:spacing w:before="0" w:after="0" w:line="240" w:lineRule="auto"/>
                    <w:ind w:firstLine="0" w:firstLineChars="0"/>
                    <w:jc w:val="center"/>
                    <w:rPr>
                      <w:sz w:val="21"/>
                      <w:szCs w:val="21"/>
                    </w:rPr>
                  </w:pPr>
                  <w:r>
                    <w:rPr>
                      <w:rFonts w:hint="eastAsia"/>
                      <w:sz w:val="21"/>
                      <w:szCs w:val="21"/>
                    </w:rPr>
                    <w:t>颗粒物</w:t>
                  </w:r>
                </w:p>
              </w:tc>
              <w:tc>
                <w:tcPr>
                  <w:tcW w:w="1161" w:type="dxa"/>
                  <w:vMerge w:val="restart"/>
                  <w:vAlign w:val="center"/>
                </w:tcPr>
                <w:p>
                  <w:pPr>
                    <w:pStyle w:val="144"/>
                    <w:snapToGrid/>
                    <w:spacing w:before="0" w:after="0" w:line="240" w:lineRule="auto"/>
                    <w:ind w:firstLine="0" w:firstLineChars="0"/>
                    <w:jc w:val="center"/>
                    <w:rPr>
                      <w:sz w:val="21"/>
                      <w:szCs w:val="21"/>
                    </w:rPr>
                  </w:pPr>
                  <w:r>
                    <w:rPr>
                      <w:rFonts w:hint="eastAsia"/>
                      <w:sz w:val="21"/>
                      <w:szCs w:val="21"/>
                    </w:rPr>
                    <w:t>2</w:t>
                  </w:r>
                  <w:r>
                    <w:rPr>
                      <w:sz w:val="21"/>
                      <w:szCs w:val="21"/>
                    </w:rPr>
                    <w:t>020.4.30</w:t>
                  </w:r>
                </w:p>
              </w:tc>
              <w:tc>
                <w:tcPr>
                  <w:tcW w:w="709" w:type="dxa"/>
                  <w:vAlign w:val="center"/>
                </w:tcPr>
                <w:p>
                  <w:pPr>
                    <w:pStyle w:val="144"/>
                    <w:snapToGrid/>
                    <w:spacing w:before="0" w:after="0" w:line="240" w:lineRule="auto"/>
                    <w:ind w:firstLine="0" w:firstLineChars="0"/>
                    <w:jc w:val="center"/>
                    <w:rPr>
                      <w:sz w:val="21"/>
                      <w:szCs w:val="21"/>
                    </w:rPr>
                  </w:pPr>
                  <w:r>
                    <w:rPr>
                      <w:rFonts w:hint="eastAsia"/>
                      <w:sz w:val="21"/>
                      <w:szCs w:val="21"/>
                    </w:rPr>
                    <w:t>1#</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.101</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.083</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.105</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continue"/>
                  <w:vAlign w:val="center"/>
                </w:tcPr>
                <w:p>
                  <w:pPr>
                    <w:pStyle w:val="144"/>
                    <w:snapToGrid/>
                    <w:spacing w:before="0" w:after="0" w:line="240" w:lineRule="auto"/>
                    <w:ind w:firstLine="0" w:firstLineChars="0"/>
                    <w:jc w:val="center"/>
                    <w:rPr>
                      <w:sz w:val="21"/>
                      <w:szCs w:val="21"/>
                    </w:rPr>
                  </w:pPr>
                </w:p>
              </w:tc>
              <w:tc>
                <w:tcPr>
                  <w:tcW w:w="1161" w:type="dxa"/>
                  <w:vMerge w:val="continue"/>
                  <w:vAlign w:val="center"/>
                </w:tcPr>
                <w:p>
                  <w:pPr>
                    <w:pStyle w:val="144"/>
                    <w:snapToGrid/>
                    <w:spacing w:before="0" w:after="0" w:line="240" w:lineRule="auto"/>
                    <w:ind w:firstLine="0" w:firstLineChars="0"/>
                    <w:jc w:val="center"/>
                    <w:rPr>
                      <w:sz w:val="21"/>
                      <w:szCs w:val="21"/>
                    </w:rPr>
                  </w:pPr>
                </w:p>
              </w:tc>
              <w:tc>
                <w:tcPr>
                  <w:tcW w:w="709" w:type="dxa"/>
                  <w:vAlign w:val="center"/>
                </w:tcPr>
                <w:p>
                  <w:pPr>
                    <w:pStyle w:val="144"/>
                    <w:snapToGrid/>
                    <w:spacing w:before="0" w:after="0" w:line="240" w:lineRule="auto"/>
                    <w:ind w:firstLine="0" w:firstLineChars="0"/>
                    <w:jc w:val="center"/>
                    <w:rPr>
                      <w:sz w:val="21"/>
                      <w:szCs w:val="21"/>
                    </w:rPr>
                  </w:pPr>
                  <w:r>
                    <w:rPr>
                      <w:rFonts w:hint="eastAsia"/>
                      <w:sz w:val="21"/>
                      <w:szCs w:val="21"/>
                    </w:rPr>
                    <w:t>2#</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.464</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.373</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.401</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.339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continue"/>
                  <w:vAlign w:val="center"/>
                </w:tcPr>
                <w:p>
                  <w:pPr>
                    <w:pStyle w:val="144"/>
                    <w:snapToGrid/>
                    <w:spacing w:before="0" w:after="0" w:line="240" w:lineRule="auto"/>
                    <w:ind w:firstLine="0" w:firstLineChars="0"/>
                    <w:jc w:val="center"/>
                    <w:rPr>
                      <w:sz w:val="21"/>
                      <w:szCs w:val="21"/>
                    </w:rPr>
                  </w:pPr>
                </w:p>
              </w:tc>
              <w:tc>
                <w:tcPr>
                  <w:tcW w:w="1161" w:type="dxa"/>
                  <w:vMerge w:val="continue"/>
                  <w:vAlign w:val="center"/>
                </w:tcPr>
                <w:p>
                  <w:pPr>
                    <w:pStyle w:val="144"/>
                    <w:snapToGrid/>
                    <w:spacing w:before="0" w:after="0" w:line="240" w:lineRule="auto"/>
                    <w:ind w:firstLine="0" w:firstLineChars="0"/>
                    <w:jc w:val="center"/>
                    <w:rPr>
                      <w:sz w:val="21"/>
                      <w:szCs w:val="21"/>
                    </w:rPr>
                  </w:pPr>
                </w:p>
              </w:tc>
              <w:tc>
                <w:tcPr>
                  <w:tcW w:w="709" w:type="dxa"/>
                  <w:vAlign w:val="center"/>
                </w:tcPr>
                <w:p>
                  <w:pPr>
                    <w:pStyle w:val="144"/>
                    <w:snapToGrid/>
                    <w:spacing w:before="0" w:after="0" w:line="240" w:lineRule="auto"/>
                    <w:ind w:firstLine="0" w:firstLineChars="0"/>
                    <w:jc w:val="center"/>
                    <w:rPr>
                      <w:sz w:val="21"/>
                      <w:szCs w:val="21"/>
                    </w:rPr>
                  </w:pPr>
                  <w:r>
                    <w:rPr>
                      <w:rFonts w:hint="eastAsia"/>
                      <w:sz w:val="21"/>
                      <w:szCs w:val="21"/>
                    </w:rPr>
                    <w:t>3#</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.242</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.274</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.316</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.339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continue"/>
                  <w:vAlign w:val="center"/>
                </w:tcPr>
                <w:p>
                  <w:pPr>
                    <w:pStyle w:val="144"/>
                    <w:snapToGrid/>
                    <w:spacing w:before="0" w:after="0" w:line="240" w:lineRule="auto"/>
                    <w:ind w:firstLine="0" w:firstLineChars="0"/>
                    <w:jc w:val="center"/>
                    <w:rPr>
                      <w:sz w:val="21"/>
                      <w:szCs w:val="21"/>
                    </w:rPr>
                  </w:pPr>
                </w:p>
              </w:tc>
              <w:tc>
                <w:tcPr>
                  <w:tcW w:w="1161" w:type="dxa"/>
                  <w:vMerge w:val="continue"/>
                  <w:vAlign w:val="center"/>
                </w:tcPr>
                <w:p>
                  <w:pPr>
                    <w:pStyle w:val="144"/>
                    <w:snapToGrid/>
                    <w:spacing w:before="0" w:after="0" w:line="240" w:lineRule="auto"/>
                    <w:ind w:firstLine="0" w:firstLineChars="0"/>
                    <w:jc w:val="center"/>
                    <w:rPr>
                      <w:sz w:val="21"/>
                      <w:szCs w:val="21"/>
                    </w:rPr>
                  </w:pPr>
                </w:p>
              </w:tc>
              <w:tc>
                <w:tcPr>
                  <w:tcW w:w="709" w:type="dxa"/>
                  <w:vAlign w:val="center"/>
                </w:tcPr>
                <w:p>
                  <w:pPr>
                    <w:pStyle w:val="144"/>
                    <w:snapToGrid/>
                    <w:spacing w:before="0" w:after="0" w:line="240" w:lineRule="auto"/>
                    <w:ind w:firstLine="0" w:firstLineChars="0"/>
                    <w:jc w:val="center"/>
                    <w:rPr>
                      <w:sz w:val="21"/>
                      <w:szCs w:val="21"/>
                    </w:rPr>
                  </w:pPr>
                  <w:r>
                    <w:rPr>
                      <w:rFonts w:hint="eastAsia"/>
                      <w:sz w:val="21"/>
                      <w:szCs w:val="21"/>
                    </w:rPr>
                    <w:t>4#</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.262</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.373</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.169</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.169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continue"/>
                  <w:vAlign w:val="center"/>
                </w:tcPr>
                <w:p>
                  <w:pPr>
                    <w:pStyle w:val="144"/>
                    <w:snapToGrid/>
                    <w:spacing w:before="0" w:after="0" w:line="240" w:lineRule="auto"/>
                    <w:ind w:firstLine="0" w:firstLineChars="0"/>
                    <w:jc w:val="center"/>
                    <w:rPr>
                      <w:sz w:val="21"/>
                      <w:szCs w:val="21"/>
                    </w:rPr>
                  </w:pPr>
                </w:p>
              </w:tc>
              <w:tc>
                <w:tcPr>
                  <w:tcW w:w="1161" w:type="dxa"/>
                  <w:vMerge w:val="continue"/>
                  <w:vAlign w:val="center"/>
                </w:tcPr>
                <w:p>
                  <w:pPr>
                    <w:pStyle w:val="144"/>
                    <w:snapToGrid/>
                    <w:spacing w:before="0" w:after="0" w:line="240" w:lineRule="auto"/>
                    <w:ind w:firstLine="0" w:firstLineChars="0"/>
                    <w:jc w:val="center"/>
                    <w:rPr>
                      <w:sz w:val="21"/>
                      <w:szCs w:val="21"/>
                    </w:rPr>
                  </w:pPr>
                </w:p>
              </w:tc>
              <w:tc>
                <w:tcPr>
                  <w:tcW w:w="709" w:type="dxa"/>
                  <w:vAlign w:val="center"/>
                </w:tcPr>
                <w:p>
                  <w:pPr>
                    <w:pStyle w:val="144"/>
                    <w:snapToGrid/>
                    <w:spacing w:before="0" w:after="0" w:line="240" w:lineRule="auto"/>
                    <w:ind w:firstLine="0" w:firstLineChars="0"/>
                    <w:jc w:val="center"/>
                    <w:rPr>
                      <w:sz w:val="21"/>
                      <w:szCs w:val="21"/>
                    </w:rPr>
                  </w:pPr>
                  <w:r>
                    <w:rPr>
                      <w:rFonts w:hint="eastAsia"/>
                      <w:sz w:val="21"/>
                      <w:szCs w:val="21"/>
                    </w:rPr>
                    <w:t>5#</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.303</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.436</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.358</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.381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continue"/>
                  <w:vAlign w:val="center"/>
                </w:tcPr>
                <w:p>
                  <w:pPr>
                    <w:pStyle w:val="144"/>
                    <w:snapToGrid/>
                    <w:spacing w:before="0" w:after="0" w:line="240" w:lineRule="auto"/>
                    <w:ind w:firstLine="0" w:firstLineChars="0"/>
                    <w:jc w:val="center"/>
                    <w:rPr>
                      <w:sz w:val="21"/>
                      <w:szCs w:val="21"/>
                    </w:rPr>
                  </w:pPr>
                </w:p>
              </w:tc>
              <w:tc>
                <w:tcPr>
                  <w:tcW w:w="1870" w:type="dxa"/>
                  <w:gridSpan w:val="2"/>
                  <w:vAlign w:val="center"/>
                </w:tcPr>
                <w:p>
                  <w:pPr>
                    <w:pStyle w:val="144"/>
                    <w:snapToGrid/>
                    <w:spacing w:before="0" w:after="0" w:line="240" w:lineRule="auto"/>
                    <w:ind w:firstLine="0" w:firstLineChars="0"/>
                    <w:jc w:val="center"/>
                    <w:rPr>
                      <w:sz w:val="21"/>
                      <w:szCs w:val="21"/>
                    </w:rPr>
                  </w:pPr>
                  <w:r>
                    <w:rPr>
                      <w:rFonts w:hint="eastAsia"/>
                      <w:sz w:val="21"/>
                      <w:szCs w:val="21"/>
                    </w:rPr>
                    <w:t>最大值</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.464</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.436</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.401</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.381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continue"/>
                  <w:vAlign w:val="center"/>
                </w:tcPr>
                <w:p>
                  <w:pPr>
                    <w:pStyle w:val="144"/>
                    <w:snapToGrid/>
                    <w:spacing w:before="0" w:after="0" w:line="240" w:lineRule="auto"/>
                    <w:ind w:firstLine="0" w:firstLineChars="0"/>
                    <w:jc w:val="center"/>
                    <w:rPr>
                      <w:sz w:val="21"/>
                      <w:szCs w:val="21"/>
                    </w:rPr>
                  </w:pPr>
                </w:p>
              </w:tc>
              <w:tc>
                <w:tcPr>
                  <w:tcW w:w="1870" w:type="dxa"/>
                  <w:gridSpan w:val="2"/>
                  <w:vAlign w:val="center"/>
                </w:tcPr>
                <w:p>
                  <w:pPr>
                    <w:pStyle w:val="144"/>
                    <w:snapToGrid/>
                    <w:spacing w:before="0" w:after="0" w:line="240" w:lineRule="auto"/>
                    <w:ind w:firstLine="0" w:firstLineChars="0"/>
                    <w:jc w:val="center"/>
                    <w:rPr>
                      <w:sz w:val="21"/>
                      <w:szCs w:val="21"/>
                    </w:rPr>
                  </w:pPr>
                  <w:r>
                    <w:rPr>
                      <w:rFonts w:hint="eastAsia"/>
                      <w:sz w:val="21"/>
                      <w:szCs w:val="21"/>
                    </w:rPr>
                    <w:t>标准限值</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1</w:t>
                  </w:r>
                  <w:r>
                    <w:rPr>
                      <w:sz w:val="21"/>
                      <w:szCs w:val="21"/>
                    </w:rPr>
                    <w:t>.0</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1</w:t>
                  </w:r>
                  <w:r>
                    <w:rPr>
                      <w:sz w:val="21"/>
                      <w:szCs w:val="21"/>
                    </w:rPr>
                    <w:t>.0</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1</w:t>
                  </w:r>
                  <w:r>
                    <w:rPr>
                      <w:sz w:val="21"/>
                      <w:szCs w:val="21"/>
                    </w:rPr>
                    <w:t>.0</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1</w:t>
                  </w:r>
                  <w:r>
                    <w:rPr>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continue"/>
                  <w:vAlign w:val="center"/>
                </w:tcPr>
                <w:p>
                  <w:pPr>
                    <w:pStyle w:val="144"/>
                    <w:snapToGrid/>
                    <w:spacing w:before="0" w:after="0" w:line="240" w:lineRule="auto"/>
                    <w:ind w:firstLine="0" w:firstLineChars="0"/>
                    <w:jc w:val="center"/>
                    <w:rPr>
                      <w:sz w:val="21"/>
                      <w:szCs w:val="21"/>
                    </w:rPr>
                  </w:pPr>
                </w:p>
              </w:tc>
              <w:tc>
                <w:tcPr>
                  <w:tcW w:w="1870" w:type="dxa"/>
                  <w:gridSpan w:val="2"/>
                  <w:vAlign w:val="center"/>
                </w:tcPr>
                <w:p>
                  <w:pPr>
                    <w:pStyle w:val="144"/>
                    <w:snapToGrid/>
                    <w:spacing w:before="0" w:after="0" w:line="240" w:lineRule="auto"/>
                    <w:ind w:firstLine="0" w:firstLineChars="0"/>
                    <w:jc w:val="center"/>
                    <w:rPr>
                      <w:sz w:val="21"/>
                      <w:szCs w:val="21"/>
                    </w:rPr>
                  </w:pPr>
                  <w:r>
                    <w:rPr>
                      <w:rFonts w:hint="eastAsia"/>
                      <w:sz w:val="21"/>
                      <w:szCs w:val="21"/>
                    </w:rPr>
                    <w:t>达标情况</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达标</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达标</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达标</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Align w:val="center"/>
                </w:tcPr>
                <w:p>
                  <w:pPr>
                    <w:pStyle w:val="144"/>
                    <w:snapToGrid/>
                    <w:spacing w:before="0" w:after="0" w:line="240" w:lineRule="auto"/>
                    <w:ind w:firstLine="0" w:firstLineChars="0"/>
                    <w:jc w:val="center"/>
                    <w:rPr>
                      <w:sz w:val="21"/>
                      <w:szCs w:val="21"/>
                    </w:rPr>
                  </w:pPr>
                  <w:r>
                    <w:rPr>
                      <w:rFonts w:hint="eastAsia"/>
                      <w:sz w:val="21"/>
                      <w:szCs w:val="21"/>
                    </w:rPr>
                    <w:t>备注</w:t>
                  </w:r>
                </w:p>
              </w:tc>
              <w:tc>
                <w:tcPr>
                  <w:tcW w:w="7826" w:type="dxa"/>
                  <w:gridSpan w:val="6"/>
                  <w:vAlign w:val="center"/>
                </w:tcPr>
                <w:p>
                  <w:pPr>
                    <w:pStyle w:val="144"/>
                    <w:snapToGrid/>
                    <w:spacing w:before="0" w:after="0" w:line="240" w:lineRule="auto"/>
                    <w:ind w:firstLine="0" w:firstLineChars="0"/>
                    <w:jc w:val="center"/>
                    <w:rPr>
                      <w:sz w:val="21"/>
                      <w:szCs w:val="21"/>
                    </w:rPr>
                  </w:pPr>
                  <w:r>
                    <w:rPr>
                      <w:rFonts w:hint="eastAsia"/>
                      <w:sz w:val="21"/>
                      <w:szCs w:val="21"/>
                    </w:rPr>
                    <w:t>1#为上风向参照点</w:t>
                  </w:r>
                </w:p>
              </w:tc>
            </w:tr>
          </w:tbl>
          <w:p>
            <w:pPr>
              <w:pStyle w:val="37"/>
              <w:ind w:firstLine="0" w:firstLineChars="0"/>
              <w:jc w:val="center"/>
              <w:rPr>
                <w:rFonts w:ascii="黑体" w:hAnsi="黑体" w:eastAsia="黑体"/>
                <w:sz w:val="24"/>
              </w:rPr>
            </w:pPr>
          </w:p>
          <w:p>
            <w:pPr>
              <w:pStyle w:val="37"/>
              <w:ind w:firstLine="0" w:firstLineChars="0"/>
              <w:jc w:val="center"/>
              <w:rPr>
                <w:rFonts w:ascii="黑体" w:hAnsi="黑体" w:eastAsia="黑体"/>
                <w:sz w:val="24"/>
              </w:rPr>
            </w:pPr>
          </w:p>
          <w:p>
            <w:pPr>
              <w:pStyle w:val="37"/>
              <w:ind w:firstLine="0" w:firstLineChars="0"/>
              <w:jc w:val="center"/>
              <w:rPr>
                <w:rFonts w:ascii="黑体" w:hAnsi="黑体" w:eastAsia="黑体"/>
                <w:sz w:val="24"/>
              </w:rPr>
            </w:pPr>
            <w:r>
              <w:rPr>
                <w:rFonts w:hint="eastAsia" w:ascii="黑体" w:hAnsi="黑体" w:eastAsia="黑体"/>
                <w:sz w:val="24"/>
              </w:rPr>
              <w:t>表</w:t>
            </w:r>
            <w:r>
              <w:rPr>
                <w:rFonts w:ascii="黑体" w:hAnsi="黑体" w:eastAsia="黑体"/>
                <w:sz w:val="24"/>
              </w:rPr>
              <w:t>13</w:t>
            </w:r>
            <w:r>
              <w:rPr>
                <w:rFonts w:hint="eastAsia" w:ascii="黑体" w:hAnsi="黑体" w:eastAsia="黑体"/>
                <w:sz w:val="24"/>
              </w:rPr>
              <w:t>b</w:t>
            </w:r>
            <w:r>
              <w:rPr>
                <w:rFonts w:ascii="黑体" w:hAnsi="黑体" w:eastAsia="黑体"/>
                <w:sz w:val="24"/>
              </w:rPr>
              <w:t xml:space="preserve">  </w:t>
            </w:r>
            <w:r>
              <w:rPr>
                <w:rFonts w:hint="eastAsia" w:ascii="黑体" w:hAnsi="黑体" w:eastAsia="黑体"/>
                <w:sz w:val="24"/>
              </w:rPr>
              <w:t>无组织废气监测结果一览表</w:t>
            </w:r>
          </w:p>
          <w:tbl>
            <w:tblPr>
              <w:tblStyle w:val="7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7"/>
              <w:gridCol w:w="1159"/>
              <w:gridCol w:w="707"/>
              <w:gridCol w:w="1483"/>
              <w:gridCol w:w="1483"/>
              <w:gridCol w:w="1483"/>
              <w:gridCol w:w="14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restart"/>
                  <w:vAlign w:val="center"/>
                </w:tcPr>
                <w:p>
                  <w:pPr>
                    <w:pStyle w:val="144"/>
                    <w:snapToGrid/>
                    <w:spacing w:before="0" w:after="0" w:line="240" w:lineRule="auto"/>
                    <w:ind w:firstLine="0" w:firstLineChars="0"/>
                    <w:jc w:val="center"/>
                    <w:rPr>
                      <w:sz w:val="21"/>
                      <w:szCs w:val="21"/>
                    </w:rPr>
                  </w:pPr>
                  <w:r>
                    <w:rPr>
                      <w:rFonts w:hint="eastAsia"/>
                      <w:sz w:val="21"/>
                      <w:szCs w:val="21"/>
                    </w:rPr>
                    <w:t>监测项目</w:t>
                  </w:r>
                </w:p>
              </w:tc>
              <w:tc>
                <w:tcPr>
                  <w:tcW w:w="1870" w:type="dxa"/>
                  <w:gridSpan w:val="2"/>
                  <w:vMerge w:val="restart"/>
                  <w:vAlign w:val="center"/>
                </w:tcPr>
                <w:p>
                  <w:pPr>
                    <w:pStyle w:val="144"/>
                    <w:snapToGrid/>
                    <w:spacing w:before="0" w:after="0" w:line="240" w:lineRule="auto"/>
                    <w:ind w:firstLine="0" w:firstLineChars="0"/>
                    <w:jc w:val="center"/>
                    <w:rPr>
                      <w:sz w:val="21"/>
                      <w:szCs w:val="21"/>
                    </w:rPr>
                  </w:pPr>
                  <w:r>
                    <w:rPr>
                      <w:rFonts w:hint="eastAsia"/>
                      <w:sz w:val="21"/>
                      <w:szCs w:val="21"/>
                    </w:rPr>
                    <w:t>监测日期</w:t>
                  </w:r>
                </w:p>
              </w:tc>
              <w:tc>
                <w:tcPr>
                  <w:tcW w:w="5956" w:type="dxa"/>
                  <w:gridSpan w:val="4"/>
                  <w:vAlign w:val="center"/>
                </w:tcPr>
                <w:p>
                  <w:pPr>
                    <w:pStyle w:val="144"/>
                    <w:snapToGrid/>
                    <w:spacing w:before="0" w:after="0" w:line="240" w:lineRule="auto"/>
                    <w:ind w:firstLine="0" w:firstLineChars="0"/>
                    <w:jc w:val="center"/>
                    <w:rPr>
                      <w:sz w:val="21"/>
                      <w:szCs w:val="21"/>
                    </w:rPr>
                  </w:pPr>
                  <w:r>
                    <w:rPr>
                      <w:rFonts w:hint="eastAsia"/>
                      <w:sz w:val="21"/>
                      <w:szCs w:val="21"/>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continue"/>
                  <w:vAlign w:val="center"/>
                </w:tcPr>
                <w:p>
                  <w:pPr>
                    <w:pStyle w:val="144"/>
                    <w:snapToGrid/>
                    <w:spacing w:before="0" w:after="0" w:line="240" w:lineRule="auto"/>
                    <w:ind w:firstLine="0" w:firstLineChars="0"/>
                    <w:jc w:val="center"/>
                    <w:rPr>
                      <w:sz w:val="21"/>
                      <w:szCs w:val="21"/>
                    </w:rPr>
                  </w:pPr>
                </w:p>
              </w:tc>
              <w:tc>
                <w:tcPr>
                  <w:tcW w:w="1870" w:type="dxa"/>
                  <w:gridSpan w:val="2"/>
                  <w:vMerge w:val="continue"/>
                  <w:vAlign w:val="center"/>
                </w:tcPr>
                <w:p>
                  <w:pPr>
                    <w:pStyle w:val="144"/>
                    <w:snapToGrid/>
                    <w:spacing w:before="0" w:after="0" w:line="240" w:lineRule="auto"/>
                    <w:ind w:firstLine="0" w:firstLineChars="0"/>
                    <w:jc w:val="center"/>
                    <w:rPr>
                      <w:sz w:val="21"/>
                      <w:szCs w:val="21"/>
                    </w:rPr>
                  </w:pP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第一次</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第二次</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第三次</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第四次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restart"/>
                  <w:vAlign w:val="center"/>
                </w:tcPr>
                <w:p>
                  <w:pPr>
                    <w:pStyle w:val="144"/>
                    <w:snapToGrid/>
                    <w:spacing w:before="0" w:after="0" w:line="240" w:lineRule="auto"/>
                    <w:ind w:firstLine="0" w:firstLineChars="0"/>
                    <w:jc w:val="center"/>
                    <w:rPr>
                      <w:sz w:val="21"/>
                      <w:szCs w:val="21"/>
                    </w:rPr>
                  </w:pPr>
                  <w:r>
                    <w:rPr>
                      <w:rFonts w:hint="eastAsia"/>
                      <w:sz w:val="21"/>
                      <w:szCs w:val="21"/>
                    </w:rPr>
                    <w:t>颗粒物</w:t>
                  </w:r>
                </w:p>
              </w:tc>
              <w:tc>
                <w:tcPr>
                  <w:tcW w:w="1161" w:type="dxa"/>
                  <w:vMerge w:val="restart"/>
                  <w:vAlign w:val="center"/>
                </w:tcPr>
                <w:p>
                  <w:pPr>
                    <w:pStyle w:val="144"/>
                    <w:snapToGrid/>
                    <w:spacing w:before="0" w:after="0" w:line="240" w:lineRule="auto"/>
                    <w:ind w:firstLine="0" w:firstLineChars="0"/>
                    <w:jc w:val="center"/>
                    <w:rPr>
                      <w:sz w:val="21"/>
                      <w:szCs w:val="21"/>
                    </w:rPr>
                  </w:pPr>
                  <w:r>
                    <w:rPr>
                      <w:rFonts w:hint="eastAsia"/>
                      <w:sz w:val="21"/>
                      <w:szCs w:val="21"/>
                    </w:rPr>
                    <w:t>2</w:t>
                  </w:r>
                  <w:r>
                    <w:rPr>
                      <w:sz w:val="21"/>
                      <w:szCs w:val="21"/>
                    </w:rPr>
                    <w:t>020.5.1</w:t>
                  </w:r>
                </w:p>
              </w:tc>
              <w:tc>
                <w:tcPr>
                  <w:tcW w:w="709" w:type="dxa"/>
                  <w:vAlign w:val="center"/>
                </w:tcPr>
                <w:p>
                  <w:pPr>
                    <w:pStyle w:val="144"/>
                    <w:snapToGrid/>
                    <w:spacing w:before="0" w:after="0" w:line="240" w:lineRule="auto"/>
                    <w:ind w:firstLine="0" w:firstLineChars="0"/>
                    <w:jc w:val="center"/>
                    <w:rPr>
                      <w:sz w:val="21"/>
                      <w:szCs w:val="21"/>
                    </w:rPr>
                  </w:pPr>
                  <w:r>
                    <w:rPr>
                      <w:rFonts w:hint="eastAsia"/>
                      <w:sz w:val="21"/>
                      <w:szCs w:val="21"/>
                    </w:rPr>
                    <w:t>1#</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.081</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.104</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.064</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continue"/>
                  <w:vAlign w:val="center"/>
                </w:tcPr>
                <w:p>
                  <w:pPr>
                    <w:pStyle w:val="144"/>
                    <w:snapToGrid/>
                    <w:spacing w:before="0" w:after="0" w:line="240" w:lineRule="auto"/>
                    <w:ind w:firstLine="0" w:firstLineChars="0"/>
                    <w:jc w:val="center"/>
                    <w:rPr>
                      <w:sz w:val="21"/>
                      <w:szCs w:val="21"/>
                    </w:rPr>
                  </w:pPr>
                </w:p>
              </w:tc>
              <w:tc>
                <w:tcPr>
                  <w:tcW w:w="1161" w:type="dxa"/>
                  <w:vMerge w:val="continue"/>
                  <w:vAlign w:val="center"/>
                </w:tcPr>
                <w:p>
                  <w:pPr>
                    <w:pStyle w:val="144"/>
                    <w:snapToGrid/>
                    <w:spacing w:before="0" w:after="0" w:line="240" w:lineRule="auto"/>
                    <w:ind w:firstLine="0" w:firstLineChars="0"/>
                    <w:jc w:val="center"/>
                    <w:rPr>
                      <w:sz w:val="21"/>
                      <w:szCs w:val="21"/>
                    </w:rPr>
                  </w:pPr>
                </w:p>
              </w:tc>
              <w:tc>
                <w:tcPr>
                  <w:tcW w:w="709" w:type="dxa"/>
                  <w:vAlign w:val="center"/>
                </w:tcPr>
                <w:p>
                  <w:pPr>
                    <w:pStyle w:val="144"/>
                    <w:snapToGrid/>
                    <w:spacing w:before="0" w:after="0" w:line="240" w:lineRule="auto"/>
                    <w:ind w:firstLine="0" w:firstLineChars="0"/>
                    <w:jc w:val="center"/>
                    <w:rPr>
                      <w:sz w:val="21"/>
                      <w:szCs w:val="21"/>
                    </w:rPr>
                  </w:pPr>
                  <w:r>
                    <w:rPr>
                      <w:rFonts w:hint="eastAsia"/>
                      <w:sz w:val="21"/>
                      <w:szCs w:val="21"/>
                    </w:rPr>
                    <w:t>2#</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.182</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.439</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.448</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.341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continue"/>
                  <w:vAlign w:val="center"/>
                </w:tcPr>
                <w:p>
                  <w:pPr>
                    <w:pStyle w:val="144"/>
                    <w:snapToGrid/>
                    <w:spacing w:before="0" w:after="0" w:line="240" w:lineRule="auto"/>
                    <w:ind w:firstLine="0" w:firstLineChars="0"/>
                    <w:jc w:val="center"/>
                    <w:rPr>
                      <w:sz w:val="21"/>
                      <w:szCs w:val="21"/>
                    </w:rPr>
                  </w:pPr>
                </w:p>
              </w:tc>
              <w:tc>
                <w:tcPr>
                  <w:tcW w:w="1161" w:type="dxa"/>
                  <w:vMerge w:val="continue"/>
                  <w:vAlign w:val="center"/>
                </w:tcPr>
                <w:p>
                  <w:pPr>
                    <w:pStyle w:val="144"/>
                    <w:snapToGrid/>
                    <w:spacing w:before="0" w:after="0" w:line="240" w:lineRule="auto"/>
                    <w:ind w:firstLine="0" w:firstLineChars="0"/>
                    <w:jc w:val="center"/>
                    <w:rPr>
                      <w:sz w:val="21"/>
                      <w:szCs w:val="21"/>
                    </w:rPr>
                  </w:pPr>
                </w:p>
              </w:tc>
              <w:tc>
                <w:tcPr>
                  <w:tcW w:w="709" w:type="dxa"/>
                  <w:vAlign w:val="center"/>
                </w:tcPr>
                <w:p>
                  <w:pPr>
                    <w:pStyle w:val="144"/>
                    <w:snapToGrid/>
                    <w:spacing w:before="0" w:after="0" w:line="240" w:lineRule="auto"/>
                    <w:ind w:firstLine="0" w:firstLineChars="0"/>
                    <w:jc w:val="center"/>
                    <w:rPr>
                      <w:sz w:val="21"/>
                      <w:szCs w:val="21"/>
                    </w:rPr>
                  </w:pPr>
                  <w:r>
                    <w:rPr>
                      <w:rFonts w:hint="eastAsia"/>
                      <w:sz w:val="21"/>
                      <w:szCs w:val="21"/>
                    </w:rPr>
                    <w:t>3#</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.263</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.446</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.277</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.384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continue"/>
                  <w:vAlign w:val="center"/>
                </w:tcPr>
                <w:p>
                  <w:pPr>
                    <w:pStyle w:val="144"/>
                    <w:snapToGrid/>
                    <w:spacing w:before="0" w:after="0" w:line="240" w:lineRule="auto"/>
                    <w:ind w:firstLine="0" w:firstLineChars="0"/>
                    <w:jc w:val="center"/>
                    <w:rPr>
                      <w:sz w:val="21"/>
                      <w:szCs w:val="21"/>
                    </w:rPr>
                  </w:pPr>
                </w:p>
              </w:tc>
              <w:tc>
                <w:tcPr>
                  <w:tcW w:w="1161" w:type="dxa"/>
                  <w:vMerge w:val="continue"/>
                  <w:vAlign w:val="center"/>
                </w:tcPr>
                <w:p>
                  <w:pPr>
                    <w:pStyle w:val="144"/>
                    <w:snapToGrid/>
                    <w:spacing w:before="0" w:after="0" w:line="240" w:lineRule="auto"/>
                    <w:ind w:firstLine="0" w:firstLineChars="0"/>
                    <w:jc w:val="center"/>
                    <w:rPr>
                      <w:sz w:val="21"/>
                      <w:szCs w:val="21"/>
                    </w:rPr>
                  </w:pPr>
                </w:p>
              </w:tc>
              <w:tc>
                <w:tcPr>
                  <w:tcW w:w="709" w:type="dxa"/>
                  <w:vAlign w:val="center"/>
                </w:tcPr>
                <w:p>
                  <w:pPr>
                    <w:pStyle w:val="144"/>
                    <w:snapToGrid/>
                    <w:spacing w:before="0" w:after="0" w:line="240" w:lineRule="auto"/>
                    <w:ind w:firstLine="0" w:firstLineChars="0"/>
                    <w:jc w:val="center"/>
                    <w:rPr>
                      <w:sz w:val="21"/>
                      <w:szCs w:val="21"/>
                    </w:rPr>
                  </w:pPr>
                  <w:r>
                    <w:rPr>
                      <w:rFonts w:hint="eastAsia"/>
                      <w:sz w:val="21"/>
                      <w:szCs w:val="21"/>
                    </w:rPr>
                    <w:t>4#</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.465</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.438</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.320</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continue"/>
                  <w:vAlign w:val="center"/>
                </w:tcPr>
                <w:p>
                  <w:pPr>
                    <w:pStyle w:val="144"/>
                    <w:snapToGrid/>
                    <w:spacing w:before="0" w:after="0" w:line="240" w:lineRule="auto"/>
                    <w:ind w:firstLine="0" w:firstLineChars="0"/>
                    <w:jc w:val="center"/>
                    <w:rPr>
                      <w:sz w:val="21"/>
                      <w:szCs w:val="21"/>
                    </w:rPr>
                  </w:pPr>
                </w:p>
              </w:tc>
              <w:tc>
                <w:tcPr>
                  <w:tcW w:w="1161" w:type="dxa"/>
                  <w:vMerge w:val="continue"/>
                  <w:vAlign w:val="center"/>
                </w:tcPr>
                <w:p>
                  <w:pPr>
                    <w:pStyle w:val="144"/>
                    <w:snapToGrid/>
                    <w:spacing w:before="0" w:after="0" w:line="240" w:lineRule="auto"/>
                    <w:ind w:firstLine="0" w:firstLineChars="0"/>
                    <w:jc w:val="center"/>
                    <w:rPr>
                      <w:sz w:val="21"/>
                      <w:szCs w:val="21"/>
                    </w:rPr>
                  </w:pPr>
                </w:p>
              </w:tc>
              <w:tc>
                <w:tcPr>
                  <w:tcW w:w="709" w:type="dxa"/>
                  <w:vAlign w:val="center"/>
                </w:tcPr>
                <w:p>
                  <w:pPr>
                    <w:pStyle w:val="144"/>
                    <w:snapToGrid/>
                    <w:spacing w:before="0" w:after="0" w:line="240" w:lineRule="auto"/>
                    <w:ind w:firstLine="0" w:firstLineChars="0"/>
                    <w:jc w:val="center"/>
                    <w:rPr>
                      <w:sz w:val="21"/>
                      <w:szCs w:val="21"/>
                    </w:rPr>
                  </w:pPr>
                  <w:r>
                    <w:rPr>
                      <w:rFonts w:hint="eastAsia"/>
                      <w:sz w:val="21"/>
                      <w:szCs w:val="21"/>
                    </w:rPr>
                    <w:t>5#</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.364</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.459</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.213</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continue"/>
                  <w:vAlign w:val="center"/>
                </w:tcPr>
                <w:p>
                  <w:pPr>
                    <w:pStyle w:val="144"/>
                    <w:snapToGrid/>
                    <w:spacing w:before="0" w:after="0" w:line="240" w:lineRule="auto"/>
                    <w:ind w:firstLine="0" w:firstLineChars="0"/>
                    <w:jc w:val="center"/>
                    <w:rPr>
                      <w:sz w:val="21"/>
                      <w:szCs w:val="21"/>
                    </w:rPr>
                  </w:pPr>
                </w:p>
              </w:tc>
              <w:tc>
                <w:tcPr>
                  <w:tcW w:w="1870" w:type="dxa"/>
                  <w:gridSpan w:val="2"/>
                  <w:vAlign w:val="center"/>
                </w:tcPr>
                <w:p>
                  <w:pPr>
                    <w:pStyle w:val="144"/>
                    <w:snapToGrid/>
                    <w:spacing w:before="0" w:after="0" w:line="240" w:lineRule="auto"/>
                    <w:ind w:firstLine="0" w:firstLineChars="0"/>
                    <w:jc w:val="center"/>
                    <w:rPr>
                      <w:sz w:val="21"/>
                      <w:szCs w:val="21"/>
                    </w:rPr>
                  </w:pPr>
                  <w:r>
                    <w:rPr>
                      <w:rFonts w:hint="eastAsia"/>
                      <w:sz w:val="21"/>
                      <w:szCs w:val="21"/>
                    </w:rPr>
                    <w:t>最大值</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.465</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.459</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.448</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.384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continue"/>
                  <w:vAlign w:val="center"/>
                </w:tcPr>
                <w:p>
                  <w:pPr>
                    <w:pStyle w:val="144"/>
                    <w:snapToGrid/>
                    <w:spacing w:before="0" w:after="0" w:line="240" w:lineRule="auto"/>
                    <w:ind w:firstLine="0" w:firstLineChars="0"/>
                    <w:jc w:val="center"/>
                    <w:rPr>
                      <w:sz w:val="21"/>
                      <w:szCs w:val="21"/>
                    </w:rPr>
                  </w:pPr>
                </w:p>
              </w:tc>
              <w:tc>
                <w:tcPr>
                  <w:tcW w:w="1870" w:type="dxa"/>
                  <w:gridSpan w:val="2"/>
                  <w:vAlign w:val="center"/>
                </w:tcPr>
                <w:p>
                  <w:pPr>
                    <w:pStyle w:val="144"/>
                    <w:snapToGrid/>
                    <w:spacing w:before="0" w:after="0" w:line="240" w:lineRule="auto"/>
                    <w:ind w:firstLine="0" w:firstLineChars="0"/>
                    <w:jc w:val="center"/>
                    <w:rPr>
                      <w:sz w:val="21"/>
                      <w:szCs w:val="21"/>
                    </w:rPr>
                  </w:pPr>
                  <w:r>
                    <w:rPr>
                      <w:rFonts w:hint="eastAsia"/>
                      <w:sz w:val="21"/>
                      <w:szCs w:val="21"/>
                    </w:rPr>
                    <w:t>标准限值</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1</w:t>
                  </w:r>
                  <w:r>
                    <w:rPr>
                      <w:sz w:val="21"/>
                      <w:szCs w:val="21"/>
                    </w:rPr>
                    <w:t>.0</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1</w:t>
                  </w:r>
                  <w:r>
                    <w:rPr>
                      <w:sz w:val="21"/>
                      <w:szCs w:val="21"/>
                    </w:rPr>
                    <w:t>.0</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1</w:t>
                  </w:r>
                  <w:r>
                    <w:rPr>
                      <w:sz w:val="21"/>
                      <w:szCs w:val="21"/>
                    </w:rPr>
                    <w:t>.0</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1</w:t>
                  </w:r>
                  <w:r>
                    <w:rPr>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Merge w:val="continue"/>
                  <w:vAlign w:val="center"/>
                </w:tcPr>
                <w:p>
                  <w:pPr>
                    <w:pStyle w:val="144"/>
                    <w:snapToGrid/>
                    <w:spacing w:before="0" w:after="0" w:line="240" w:lineRule="auto"/>
                    <w:ind w:firstLine="0" w:firstLineChars="0"/>
                    <w:jc w:val="center"/>
                    <w:rPr>
                      <w:sz w:val="21"/>
                      <w:szCs w:val="21"/>
                    </w:rPr>
                  </w:pPr>
                </w:p>
              </w:tc>
              <w:tc>
                <w:tcPr>
                  <w:tcW w:w="1870" w:type="dxa"/>
                  <w:gridSpan w:val="2"/>
                  <w:vAlign w:val="center"/>
                </w:tcPr>
                <w:p>
                  <w:pPr>
                    <w:pStyle w:val="144"/>
                    <w:snapToGrid/>
                    <w:spacing w:before="0" w:after="0" w:line="240" w:lineRule="auto"/>
                    <w:ind w:firstLine="0" w:firstLineChars="0"/>
                    <w:jc w:val="center"/>
                    <w:rPr>
                      <w:sz w:val="21"/>
                      <w:szCs w:val="21"/>
                    </w:rPr>
                  </w:pPr>
                  <w:r>
                    <w:rPr>
                      <w:rFonts w:hint="eastAsia"/>
                      <w:sz w:val="21"/>
                      <w:szCs w:val="21"/>
                    </w:rPr>
                    <w:t>达标情况</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达标</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达标</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达标</w:t>
                  </w:r>
                </w:p>
              </w:tc>
              <w:tc>
                <w:tcPr>
                  <w:tcW w:w="1489" w:type="dxa"/>
                  <w:vAlign w:val="center"/>
                </w:tcPr>
                <w:p>
                  <w:pPr>
                    <w:pStyle w:val="144"/>
                    <w:snapToGrid/>
                    <w:spacing w:before="0" w:after="0" w:line="240" w:lineRule="auto"/>
                    <w:ind w:firstLine="0" w:firstLineChars="0"/>
                    <w:jc w:val="center"/>
                    <w:rPr>
                      <w:sz w:val="21"/>
                      <w:szCs w:val="21"/>
                    </w:rPr>
                  </w:pPr>
                  <w:r>
                    <w:rPr>
                      <w:rFonts w:hint="eastAsia"/>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4" w:type="dxa"/>
                  <w:vAlign w:val="center"/>
                </w:tcPr>
                <w:p>
                  <w:pPr>
                    <w:pStyle w:val="144"/>
                    <w:snapToGrid/>
                    <w:spacing w:before="0" w:after="0" w:line="240" w:lineRule="auto"/>
                    <w:ind w:firstLine="0" w:firstLineChars="0"/>
                    <w:jc w:val="center"/>
                    <w:rPr>
                      <w:sz w:val="21"/>
                      <w:szCs w:val="21"/>
                    </w:rPr>
                  </w:pPr>
                  <w:r>
                    <w:rPr>
                      <w:rFonts w:hint="eastAsia"/>
                      <w:sz w:val="21"/>
                      <w:szCs w:val="21"/>
                    </w:rPr>
                    <w:t>备注</w:t>
                  </w:r>
                </w:p>
              </w:tc>
              <w:tc>
                <w:tcPr>
                  <w:tcW w:w="7826" w:type="dxa"/>
                  <w:gridSpan w:val="6"/>
                  <w:vAlign w:val="center"/>
                </w:tcPr>
                <w:p>
                  <w:pPr>
                    <w:pStyle w:val="144"/>
                    <w:snapToGrid/>
                    <w:spacing w:before="0" w:after="0" w:line="240" w:lineRule="auto"/>
                    <w:ind w:firstLine="0" w:firstLineChars="0"/>
                    <w:jc w:val="center"/>
                    <w:rPr>
                      <w:sz w:val="21"/>
                      <w:szCs w:val="21"/>
                    </w:rPr>
                  </w:pPr>
                  <w:r>
                    <w:rPr>
                      <w:rFonts w:hint="eastAsia"/>
                      <w:sz w:val="21"/>
                      <w:szCs w:val="21"/>
                    </w:rPr>
                    <w:t>1#为上风向参照点</w:t>
                  </w:r>
                </w:p>
              </w:tc>
            </w:tr>
          </w:tbl>
          <w:p>
            <w:pPr>
              <w:pStyle w:val="37"/>
              <w:ind w:firstLine="0" w:firstLineChars="0"/>
              <w:jc w:val="center"/>
              <w:rPr>
                <w:rFonts w:ascii="黑体" w:hAnsi="黑体" w:eastAsia="黑体"/>
                <w:sz w:val="24"/>
              </w:rPr>
            </w:pPr>
            <w:r>
              <w:rPr>
                <w:rFonts w:hint="eastAsia" w:ascii="黑体" w:hAnsi="黑体" w:eastAsia="黑体"/>
                <w:sz w:val="24"/>
              </w:rPr>
              <w:t>表</w:t>
            </w:r>
            <w:r>
              <w:rPr>
                <w:rFonts w:ascii="黑体" w:hAnsi="黑体" w:eastAsia="黑体"/>
                <w:sz w:val="24"/>
              </w:rPr>
              <w:t xml:space="preserve">14  </w:t>
            </w:r>
            <w:r>
              <w:rPr>
                <w:rFonts w:hint="eastAsia" w:ascii="黑体" w:hAnsi="黑体" w:eastAsia="黑体"/>
                <w:sz w:val="24"/>
              </w:rPr>
              <w:t>噪声监测结果一览表</w:t>
            </w:r>
          </w:p>
          <w:tbl>
            <w:tblPr>
              <w:tblStyle w:val="7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6"/>
              <w:gridCol w:w="845"/>
              <w:gridCol w:w="882"/>
              <w:gridCol w:w="883"/>
              <w:gridCol w:w="883"/>
              <w:gridCol w:w="884"/>
              <w:gridCol w:w="883"/>
              <w:gridCol w:w="883"/>
              <w:gridCol w:w="883"/>
              <w:gridCol w:w="8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9" w:type="dxa"/>
                  <w:vMerge w:val="restart"/>
                  <w:vAlign w:val="center"/>
                </w:tcPr>
                <w:p>
                  <w:pPr>
                    <w:pStyle w:val="144"/>
                    <w:snapToGrid/>
                    <w:spacing w:before="0" w:after="0" w:line="240" w:lineRule="auto"/>
                    <w:ind w:firstLine="0" w:firstLineChars="0"/>
                    <w:jc w:val="center"/>
                    <w:rPr>
                      <w:sz w:val="21"/>
                      <w:szCs w:val="21"/>
                    </w:rPr>
                  </w:pPr>
                  <w:r>
                    <w:rPr>
                      <w:rFonts w:hint="eastAsia"/>
                      <w:sz w:val="21"/>
                      <w:szCs w:val="21"/>
                    </w:rPr>
                    <w:t>监测日期</w:t>
                  </w:r>
                </w:p>
              </w:tc>
              <w:tc>
                <w:tcPr>
                  <w:tcW w:w="851" w:type="dxa"/>
                  <w:vMerge w:val="restart"/>
                  <w:vAlign w:val="center"/>
                </w:tcPr>
                <w:p>
                  <w:pPr>
                    <w:pStyle w:val="144"/>
                    <w:snapToGrid/>
                    <w:spacing w:before="0" w:after="0" w:line="240" w:lineRule="auto"/>
                    <w:ind w:firstLine="0" w:firstLineChars="0"/>
                    <w:jc w:val="center"/>
                    <w:rPr>
                      <w:sz w:val="21"/>
                      <w:szCs w:val="21"/>
                    </w:rPr>
                  </w:pPr>
                  <w:r>
                    <w:rPr>
                      <w:rFonts w:hint="eastAsia"/>
                      <w:sz w:val="21"/>
                      <w:szCs w:val="21"/>
                    </w:rPr>
                    <w:t>点位</w:t>
                  </w:r>
                </w:p>
                <w:p>
                  <w:pPr>
                    <w:pStyle w:val="144"/>
                    <w:snapToGrid/>
                    <w:spacing w:before="0" w:after="0" w:line="240" w:lineRule="auto"/>
                    <w:ind w:firstLine="0" w:firstLineChars="0"/>
                    <w:jc w:val="center"/>
                    <w:rPr>
                      <w:sz w:val="21"/>
                      <w:szCs w:val="21"/>
                    </w:rPr>
                  </w:pPr>
                  <w:r>
                    <w:rPr>
                      <w:rFonts w:hint="eastAsia"/>
                      <w:sz w:val="21"/>
                      <w:szCs w:val="21"/>
                    </w:rPr>
                    <w:t>编号</w:t>
                  </w:r>
                </w:p>
              </w:tc>
              <w:tc>
                <w:tcPr>
                  <w:tcW w:w="3545" w:type="dxa"/>
                  <w:gridSpan w:val="4"/>
                  <w:vAlign w:val="center"/>
                </w:tcPr>
                <w:p>
                  <w:pPr>
                    <w:pStyle w:val="144"/>
                    <w:snapToGrid/>
                    <w:spacing w:before="0" w:after="0" w:line="240" w:lineRule="auto"/>
                    <w:ind w:firstLine="0" w:firstLineChars="0"/>
                    <w:jc w:val="center"/>
                    <w:rPr>
                      <w:sz w:val="21"/>
                      <w:szCs w:val="21"/>
                    </w:rPr>
                  </w:pPr>
                  <w:r>
                    <w:rPr>
                      <w:rFonts w:hint="eastAsia"/>
                      <w:sz w:val="21"/>
                      <w:szCs w:val="21"/>
                    </w:rPr>
                    <w:t>昼间</w:t>
                  </w:r>
                </w:p>
              </w:tc>
              <w:tc>
                <w:tcPr>
                  <w:tcW w:w="3545" w:type="dxa"/>
                  <w:gridSpan w:val="4"/>
                  <w:vAlign w:val="center"/>
                </w:tcPr>
                <w:p>
                  <w:pPr>
                    <w:pStyle w:val="144"/>
                    <w:snapToGrid/>
                    <w:spacing w:before="0" w:after="0" w:line="240" w:lineRule="auto"/>
                    <w:ind w:firstLine="0" w:firstLineChars="0"/>
                    <w:jc w:val="center"/>
                    <w:rPr>
                      <w:sz w:val="21"/>
                      <w:szCs w:val="21"/>
                    </w:rPr>
                  </w:pPr>
                  <w:r>
                    <w:rPr>
                      <w:rFonts w:hint="eastAsia"/>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9" w:type="dxa"/>
                  <w:vMerge w:val="continue"/>
                  <w:vAlign w:val="center"/>
                </w:tcPr>
                <w:p>
                  <w:pPr>
                    <w:pStyle w:val="144"/>
                    <w:snapToGrid/>
                    <w:spacing w:before="0" w:after="0" w:line="240" w:lineRule="auto"/>
                    <w:ind w:firstLine="0" w:firstLineChars="0"/>
                    <w:jc w:val="center"/>
                    <w:rPr>
                      <w:sz w:val="21"/>
                      <w:szCs w:val="21"/>
                    </w:rPr>
                  </w:pPr>
                </w:p>
              </w:tc>
              <w:tc>
                <w:tcPr>
                  <w:tcW w:w="851" w:type="dxa"/>
                  <w:vMerge w:val="continue"/>
                  <w:vAlign w:val="center"/>
                </w:tcPr>
                <w:p>
                  <w:pPr>
                    <w:pStyle w:val="144"/>
                    <w:snapToGrid/>
                    <w:spacing w:before="0" w:after="0" w:line="240" w:lineRule="auto"/>
                    <w:ind w:firstLine="0" w:firstLineChars="0"/>
                    <w:jc w:val="center"/>
                    <w:rPr>
                      <w:sz w:val="21"/>
                      <w:szCs w:val="21"/>
                    </w:rPr>
                  </w:pP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L</w:t>
                  </w:r>
                  <w:r>
                    <w:rPr>
                      <w:rFonts w:hint="eastAsia"/>
                      <w:sz w:val="21"/>
                      <w:szCs w:val="21"/>
                      <w:vertAlign w:val="subscript"/>
                    </w:rPr>
                    <w:t>eq</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L</w:t>
                  </w:r>
                  <w:r>
                    <w:rPr>
                      <w:sz w:val="21"/>
                      <w:szCs w:val="21"/>
                      <w:vertAlign w:val="subscript"/>
                    </w:rPr>
                    <w:t>10</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L</w:t>
                  </w:r>
                  <w:r>
                    <w:rPr>
                      <w:sz w:val="21"/>
                      <w:szCs w:val="21"/>
                      <w:vertAlign w:val="subscript"/>
                    </w:rPr>
                    <w:t>50</w:t>
                  </w:r>
                </w:p>
              </w:tc>
              <w:tc>
                <w:tcPr>
                  <w:tcW w:w="887" w:type="dxa"/>
                  <w:vAlign w:val="center"/>
                </w:tcPr>
                <w:p>
                  <w:pPr>
                    <w:pStyle w:val="144"/>
                    <w:snapToGrid/>
                    <w:spacing w:before="0" w:after="0" w:line="240" w:lineRule="auto"/>
                    <w:ind w:firstLine="0" w:firstLineChars="0"/>
                    <w:jc w:val="center"/>
                    <w:rPr>
                      <w:sz w:val="21"/>
                      <w:szCs w:val="21"/>
                    </w:rPr>
                  </w:pPr>
                  <w:r>
                    <w:rPr>
                      <w:rFonts w:hint="eastAsia"/>
                      <w:sz w:val="21"/>
                      <w:szCs w:val="21"/>
                    </w:rPr>
                    <w:t>L</w:t>
                  </w:r>
                  <w:r>
                    <w:rPr>
                      <w:sz w:val="21"/>
                      <w:szCs w:val="21"/>
                      <w:vertAlign w:val="subscript"/>
                    </w:rPr>
                    <w:t>90</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L</w:t>
                  </w:r>
                  <w:r>
                    <w:rPr>
                      <w:rFonts w:hint="eastAsia"/>
                      <w:sz w:val="21"/>
                      <w:szCs w:val="21"/>
                      <w:vertAlign w:val="subscript"/>
                    </w:rPr>
                    <w:t>eq</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L</w:t>
                  </w:r>
                  <w:r>
                    <w:rPr>
                      <w:sz w:val="21"/>
                      <w:szCs w:val="21"/>
                      <w:vertAlign w:val="subscript"/>
                    </w:rPr>
                    <w:t>10</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L</w:t>
                  </w:r>
                  <w:r>
                    <w:rPr>
                      <w:sz w:val="21"/>
                      <w:szCs w:val="21"/>
                      <w:vertAlign w:val="subscript"/>
                    </w:rPr>
                    <w:t>50</w:t>
                  </w:r>
                </w:p>
              </w:tc>
              <w:tc>
                <w:tcPr>
                  <w:tcW w:w="887" w:type="dxa"/>
                  <w:vAlign w:val="center"/>
                </w:tcPr>
                <w:p>
                  <w:pPr>
                    <w:pStyle w:val="144"/>
                    <w:snapToGrid/>
                    <w:spacing w:before="0" w:after="0" w:line="240" w:lineRule="auto"/>
                    <w:ind w:firstLine="0" w:firstLineChars="0"/>
                    <w:jc w:val="center"/>
                    <w:rPr>
                      <w:sz w:val="21"/>
                      <w:szCs w:val="21"/>
                    </w:rPr>
                  </w:pPr>
                  <w:r>
                    <w:rPr>
                      <w:rFonts w:hint="eastAsia"/>
                      <w:sz w:val="21"/>
                      <w:szCs w:val="21"/>
                    </w:rPr>
                    <w:t>L</w:t>
                  </w:r>
                  <w:r>
                    <w:rPr>
                      <w:sz w:val="21"/>
                      <w:szCs w:val="21"/>
                      <w:vertAlign w:val="subscript"/>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9" w:type="dxa"/>
                  <w:vMerge w:val="restart"/>
                  <w:vAlign w:val="center"/>
                </w:tcPr>
                <w:p>
                  <w:pPr>
                    <w:pStyle w:val="144"/>
                    <w:snapToGrid/>
                    <w:spacing w:before="0" w:after="0" w:line="240" w:lineRule="auto"/>
                    <w:ind w:firstLine="0" w:firstLineChars="0"/>
                    <w:jc w:val="center"/>
                    <w:rPr>
                      <w:sz w:val="21"/>
                      <w:szCs w:val="21"/>
                    </w:rPr>
                  </w:pPr>
                  <w:r>
                    <w:rPr>
                      <w:rFonts w:hint="eastAsia"/>
                      <w:sz w:val="21"/>
                      <w:szCs w:val="21"/>
                    </w:rPr>
                    <w:t>2</w:t>
                  </w:r>
                  <w:r>
                    <w:rPr>
                      <w:sz w:val="21"/>
                      <w:szCs w:val="21"/>
                    </w:rPr>
                    <w:t>020.4.30</w:t>
                  </w:r>
                </w:p>
              </w:tc>
              <w:tc>
                <w:tcPr>
                  <w:tcW w:w="851" w:type="dxa"/>
                  <w:vAlign w:val="center"/>
                </w:tcPr>
                <w:p>
                  <w:pPr>
                    <w:pStyle w:val="144"/>
                    <w:snapToGrid/>
                    <w:spacing w:before="0" w:after="0" w:line="240" w:lineRule="auto"/>
                    <w:ind w:firstLine="0" w:firstLineChars="0"/>
                    <w:jc w:val="center"/>
                    <w:rPr>
                      <w:sz w:val="21"/>
                      <w:szCs w:val="21"/>
                    </w:rPr>
                  </w:pPr>
                  <w:r>
                    <w:rPr>
                      <w:rFonts w:hint="eastAsia"/>
                      <w:sz w:val="21"/>
                      <w:szCs w:val="21"/>
                    </w:rPr>
                    <w:t>1#</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8.2</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6</w:t>
                  </w:r>
                  <w:r>
                    <w:rPr>
                      <w:sz w:val="21"/>
                      <w:szCs w:val="21"/>
                    </w:rPr>
                    <w:t>0.0</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7.6</w:t>
                  </w:r>
                </w:p>
              </w:tc>
              <w:tc>
                <w:tcPr>
                  <w:tcW w:w="887"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6.9</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8.9</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0.3</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8.3</w:t>
                  </w:r>
                </w:p>
              </w:tc>
              <w:tc>
                <w:tcPr>
                  <w:tcW w:w="887"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9" w:type="dxa"/>
                  <w:vMerge w:val="continue"/>
                  <w:vAlign w:val="center"/>
                </w:tcPr>
                <w:p>
                  <w:pPr>
                    <w:pStyle w:val="144"/>
                    <w:snapToGrid/>
                    <w:spacing w:before="0" w:after="0" w:line="240" w:lineRule="auto"/>
                    <w:ind w:firstLine="0" w:firstLineChars="0"/>
                    <w:jc w:val="center"/>
                    <w:rPr>
                      <w:sz w:val="21"/>
                      <w:szCs w:val="21"/>
                    </w:rPr>
                  </w:pPr>
                </w:p>
              </w:tc>
              <w:tc>
                <w:tcPr>
                  <w:tcW w:w="851" w:type="dxa"/>
                  <w:vAlign w:val="center"/>
                </w:tcPr>
                <w:p>
                  <w:pPr>
                    <w:pStyle w:val="144"/>
                    <w:snapToGrid/>
                    <w:spacing w:before="0" w:after="0" w:line="240" w:lineRule="auto"/>
                    <w:ind w:firstLine="0" w:firstLineChars="0"/>
                    <w:jc w:val="center"/>
                    <w:rPr>
                      <w:sz w:val="21"/>
                      <w:szCs w:val="21"/>
                    </w:rPr>
                  </w:pPr>
                  <w:r>
                    <w:rPr>
                      <w:rFonts w:hint="eastAsia"/>
                      <w:sz w:val="21"/>
                      <w:szCs w:val="21"/>
                    </w:rPr>
                    <w:t>2#</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8.3</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9.6</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7.4</w:t>
                  </w:r>
                </w:p>
              </w:tc>
              <w:tc>
                <w:tcPr>
                  <w:tcW w:w="887"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6.9</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9.5</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1.1</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8.8</w:t>
                  </w:r>
                </w:p>
              </w:tc>
              <w:tc>
                <w:tcPr>
                  <w:tcW w:w="887"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9" w:type="dxa"/>
                  <w:vMerge w:val="continue"/>
                  <w:vAlign w:val="center"/>
                </w:tcPr>
                <w:p>
                  <w:pPr>
                    <w:pStyle w:val="144"/>
                    <w:snapToGrid/>
                    <w:spacing w:before="0" w:after="0" w:line="240" w:lineRule="auto"/>
                    <w:ind w:firstLine="0" w:firstLineChars="0"/>
                    <w:jc w:val="center"/>
                    <w:rPr>
                      <w:sz w:val="21"/>
                      <w:szCs w:val="21"/>
                    </w:rPr>
                  </w:pPr>
                </w:p>
              </w:tc>
              <w:tc>
                <w:tcPr>
                  <w:tcW w:w="851" w:type="dxa"/>
                  <w:vAlign w:val="center"/>
                </w:tcPr>
                <w:p>
                  <w:pPr>
                    <w:pStyle w:val="144"/>
                    <w:snapToGrid/>
                    <w:spacing w:before="0" w:after="0" w:line="240" w:lineRule="auto"/>
                    <w:ind w:firstLine="0" w:firstLineChars="0"/>
                    <w:jc w:val="center"/>
                    <w:rPr>
                      <w:sz w:val="21"/>
                      <w:szCs w:val="21"/>
                    </w:rPr>
                  </w:pPr>
                  <w:r>
                    <w:rPr>
                      <w:rFonts w:hint="eastAsia"/>
                      <w:sz w:val="21"/>
                      <w:szCs w:val="21"/>
                    </w:rPr>
                    <w:t>3#</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6.6</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8.0</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5.6</w:t>
                  </w:r>
                </w:p>
              </w:tc>
              <w:tc>
                <w:tcPr>
                  <w:tcW w:w="887"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5.1</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9.6</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1.3</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8.5</w:t>
                  </w:r>
                </w:p>
              </w:tc>
              <w:tc>
                <w:tcPr>
                  <w:tcW w:w="887"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9" w:type="dxa"/>
                  <w:vMerge w:val="continue"/>
                  <w:vAlign w:val="center"/>
                </w:tcPr>
                <w:p>
                  <w:pPr>
                    <w:pStyle w:val="144"/>
                    <w:snapToGrid/>
                    <w:spacing w:before="0" w:after="0" w:line="240" w:lineRule="auto"/>
                    <w:ind w:firstLine="0" w:firstLineChars="0"/>
                    <w:jc w:val="center"/>
                    <w:rPr>
                      <w:sz w:val="21"/>
                      <w:szCs w:val="21"/>
                    </w:rPr>
                  </w:pPr>
                </w:p>
              </w:tc>
              <w:tc>
                <w:tcPr>
                  <w:tcW w:w="851" w:type="dxa"/>
                  <w:vAlign w:val="center"/>
                </w:tcPr>
                <w:p>
                  <w:pPr>
                    <w:pStyle w:val="144"/>
                    <w:snapToGrid/>
                    <w:spacing w:before="0" w:after="0" w:line="240" w:lineRule="auto"/>
                    <w:ind w:firstLine="0" w:firstLineChars="0"/>
                    <w:jc w:val="center"/>
                    <w:rPr>
                      <w:sz w:val="21"/>
                      <w:szCs w:val="21"/>
                    </w:rPr>
                  </w:pPr>
                  <w:r>
                    <w:rPr>
                      <w:rFonts w:hint="eastAsia"/>
                      <w:sz w:val="21"/>
                      <w:szCs w:val="21"/>
                    </w:rPr>
                    <w:t>4#</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6.6</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8.1</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5.9</w:t>
                  </w:r>
                </w:p>
              </w:tc>
              <w:tc>
                <w:tcPr>
                  <w:tcW w:w="887"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5.2</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6.6</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8.4</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5.7</w:t>
                  </w:r>
                </w:p>
              </w:tc>
              <w:tc>
                <w:tcPr>
                  <w:tcW w:w="887"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9" w:type="dxa"/>
                  <w:vMerge w:val="restart"/>
                  <w:vAlign w:val="center"/>
                </w:tcPr>
                <w:p>
                  <w:pPr>
                    <w:pStyle w:val="144"/>
                    <w:snapToGrid/>
                    <w:spacing w:before="0" w:after="0" w:line="240" w:lineRule="auto"/>
                    <w:ind w:firstLine="0" w:firstLineChars="0"/>
                    <w:jc w:val="center"/>
                    <w:rPr>
                      <w:sz w:val="21"/>
                      <w:szCs w:val="21"/>
                    </w:rPr>
                  </w:pPr>
                  <w:r>
                    <w:rPr>
                      <w:rFonts w:hint="eastAsia"/>
                      <w:sz w:val="21"/>
                      <w:szCs w:val="21"/>
                    </w:rPr>
                    <w:t>2</w:t>
                  </w:r>
                  <w:r>
                    <w:rPr>
                      <w:sz w:val="21"/>
                      <w:szCs w:val="21"/>
                    </w:rPr>
                    <w:t>020.5.1</w:t>
                  </w:r>
                </w:p>
              </w:tc>
              <w:tc>
                <w:tcPr>
                  <w:tcW w:w="851" w:type="dxa"/>
                  <w:vAlign w:val="center"/>
                </w:tcPr>
                <w:p>
                  <w:pPr>
                    <w:pStyle w:val="144"/>
                    <w:snapToGrid/>
                    <w:spacing w:before="0" w:after="0" w:line="240" w:lineRule="auto"/>
                    <w:ind w:firstLine="0" w:firstLineChars="0"/>
                    <w:jc w:val="center"/>
                    <w:rPr>
                      <w:sz w:val="21"/>
                      <w:szCs w:val="21"/>
                    </w:rPr>
                  </w:pPr>
                  <w:r>
                    <w:rPr>
                      <w:rFonts w:hint="eastAsia"/>
                      <w:sz w:val="21"/>
                      <w:szCs w:val="21"/>
                    </w:rPr>
                    <w:t>1#</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8.5</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6</w:t>
                  </w:r>
                  <w:r>
                    <w:rPr>
                      <w:sz w:val="21"/>
                      <w:szCs w:val="21"/>
                    </w:rPr>
                    <w:t>0.0</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7.7</w:t>
                  </w:r>
                </w:p>
              </w:tc>
              <w:tc>
                <w:tcPr>
                  <w:tcW w:w="887"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7.0</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9.7</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1.5</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8.8</w:t>
                  </w:r>
                </w:p>
              </w:tc>
              <w:tc>
                <w:tcPr>
                  <w:tcW w:w="887"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9" w:type="dxa"/>
                  <w:vMerge w:val="continue"/>
                  <w:vAlign w:val="center"/>
                </w:tcPr>
                <w:p>
                  <w:pPr>
                    <w:pStyle w:val="144"/>
                    <w:snapToGrid/>
                    <w:spacing w:before="0" w:after="0" w:line="240" w:lineRule="auto"/>
                    <w:ind w:firstLine="0" w:firstLineChars="0"/>
                    <w:jc w:val="center"/>
                    <w:rPr>
                      <w:sz w:val="21"/>
                      <w:szCs w:val="21"/>
                    </w:rPr>
                  </w:pPr>
                </w:p>
              </w:tc>
              <w:tc>
                <w:tcPr>
                  <w:tcW w:w="851" w:type="dxa"/>
                  <w:vAlign w:val="center"/>
                </w:tcPr>
                <w:p>
                  <w:pPr>
                    <w:pStyle w:val="144"/>
                    <w:snapToGrid/>
                    <w:spacing w:before="0" w:after="0" w:line="240" w:lineRule="auto"/>
                    <w:ind w:firstLine="0" w:firstLineChars="0"/>
                    <w:jc w:val="center"/>
                    <w:rPr>
                      <w:sz w:val="21"/>
                      <w:szCs w:val="21"/>
                    </w:rPr>
                  </w:pPr>
                  <w:r>
                    <w:rPr>
                      <w:rFonts w:hint="eastAsia"/>
                      <w:sz w:val="21"/>
                      <w:szCs w:val="21"/>
                    </w:rPr>
                    <w:t>2#</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8.0</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8.9</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7.0</w:t>
                  </w:r>
                </w:p>
              </w:tc>
              <w:tc>
                <w:tcPr>
                  <w:tcW w:w="887"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6.1</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7.6</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9.4</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6.5</w:t>
                  </w:r>
                </w:p>
              </w:tc>
              <w:tc>
                <w:tcPr>
                  <w:tcW w:w="887"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9" w:type="dxa"/>
                  <w:vMerge w:val="continue"/>
                  <w:vAlign w:val="center"/>
                </w:tcPr>
                <w:p>
                  <w:pPr>
                    <w:pStyle w:val="144"/>
                    <w:snapToGrid/>
                    <w:spacing w:before="0" w:after="0" w:line="240" w:lineRule="auto"/>
                    <w:ind w:firstLine="0" w:firstLineChars="0"/>
                    <w:jc w:val="center"/>
                    <w:rPr>
                      <w:sz w:val="21"/>
                      <w:szCs w:val="21"/>
                    </w:rPr>
                  </w:pPr>
                </w:p>
              </w:tc>
              <w:tc>
                <w:tcPr>
                  <w:tcW w:w="851" w:type="dxa"/>
                  <w:vAlign w:val="center"/>
                </w:tcPr>
                <w:p>
                  <w:pPr>
                    <w:pStyle w:val="144"/>
                    <w:snapToGrid/>
                    <w:spacing w:before="0" w:after="0" w:line="240" w:lineRule="auto"/>
                    <w:ind w:firstLine="0" w:firstLineChars="0"/>
                    <w:jc w:val="center"/>
                    <w:rPr>
                      <w:sz w:val="21"/>
                      <w:szCs w:val="21"/>
                    </w:rPr>
                  </w:pPr>
                  <w:r>
                    <w:rPr>
                      <w:rFonts w:hint="eastAsia"/>
                      <w:sz w:val="21"/>
                      <w:szCs w:val="21"/>
                    </w:rPr>
                    <w:t>3#</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8.6</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6</w:t>
                  </w:r>
                  <w:r>
                    <w:rPr>
                      <w:sz w:val="21"/>
                      <w:szCs w:val="21"/>
                    </w:rPr>
                    <w:t>0.2</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8.1</w:t>
                  </w:r>
                </w:p>
              </w:tc>
              <w:tc>
                <w:tcPr>
                  <w:tcW w:w="887"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7.0</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8.3</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9.9</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7.4</w:t>
                  </w:r>
                </w:p>
              </w:tc>
              <w:tc>
                <w:tcPr>
                  <w:tcW w:w="887"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9" w:type="dxa"/>
                  <w:vMerge w:val="continue"/>
                  <w:vAlign w:val="center"/>
                </w:tcPr>
                <w:p>
                  <w:pPr>
                    <w:pStyle w:val="144"/>
                    <w:snapToGrid/>
                    <w:spacing w:before="0" w:after="0" w:line="240" w:lineRule="auto"/>
                    <w:ind w:firstLine="0" w:firstLineChars="0"/>
                    <w:jc w:val="center"/>
                    <w:rPr>
                      <w:sz w:val="21"/>
                      <w:szCs w:val="21"/>
                    </w:rPr>
                  </w:pPr>
                </w:p>
              </w:tc>
              <w:tc>
                <w:tcPr>
                  <w:tcW w:w="851" w:type="dxa"/>
                  <w:vAlign w:val="center"/>
                </w:tcPr>
                <w:p>
                  <w:pPr>
                    <w:pStyle w:val="144"/>
                    <w:snapToGrid/>
                    <w:spacing w:before="0" w:after="0" w:line="240" w:lineRule="auto"/>
                    <w:ind w:firstLine="0" w:firstLineChars="0"/>
                    <w:jc w:val="center"/>
                    <w:rPr>
                      <w:sz w:val="21"/>
                      <w:szCs w:val="21"/>
                    </w:rPr>
                  </w:pPr>
                  <w:r>
                    <w:rPr>
                      <w:rFonts w:hint="eastAsia"/>
                      <w:sz w:val="21"/>
                      <w:szCs w:val="21"/>
                    </w:rPr>
                    <w:t>4#</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6.6</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8.2</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5.9</w:t>
                  </w:r>
                </w:p>
              </w:tc>
              <w:tc>
                <w:tcPr>
                  <w:tcW w:w="887" w:type="dxa"/>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4.8</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6.8</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8.0</w:t>
                  </w:r>
                </w:p>
              </w:tc>
              <w:tc>
                <w:tcPr>
                  <w:tcW w:w="886"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5.9</w:t>
                  </w:r>
                </w:p>
              </w:tc>
              <w:tc>
                <w:tcPr>
                  <w:tcW w:w="887" w:type="dxa"/>
                  <w:vAlign w:val="center"/>
                </w:tcPr>
                <w:p>
                  <w:pPr>
                    <w:pStyle w:val="144"/>
                    <w:snapToGrid/>
                    <w:spacing w:before="0" w:after="0" w:line="240" w:lineRule="auto"/>
                    <w:ind w:firstLine="0" w:firstLineChars="0"/>
                    <w:jc w:val="center"/>
                    <w:rPr>
                      <w:sz w:val="21"/>
                      <w:szCs w:val="21"/>
                    </w:rPr>
                  </w:pPr>
                  <w:r>
                    <w:rPr>
                      <w:rFonts w:hint="eastAsia"/>
                      <w:sz w:val="21"/>
                      <w:szCs w:val="21"/>
                    </w:rPr>
                    <w:t>4</w:t>
                  </w:r>
                  <w:r>
                    <w:rPr>
                      <w:sz w:val="21"/>
                      <w:szCs w:val="21"/>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40" w:type="dxa"/>
                  <w:gridSpan w:val="2"/>
                  <w:vAlign w:val="center"/>
                </w:tcPr>
                <w:p>
                  <w:pPr>
                    <w:pStyle w:val="144"/>
                    <w:snapToGrid/>
                    <w:spacing w:before="0" w:after="0" w:line="240" w:lineRule="auto"/>
                    <w:ind w:firstLine="0" w:firstLineChars="0"/>
                    <w:jc w:val="center"/>
                    <w:rPr>
                      <w:sz w:val="21"/>
                      <w:szCs w:val="21"/>
                    </w:rPr>
                  </w:pPr>
                  <w:r>
                    <w:rPr>
                      <w:rFonts w:hint="eastAsia"/>
                      <w:sz w:val="21"/>
                      <w:szCs w:val="21"/>
                    </w:rPr>
                    <w:t>标准</w:t>
                  </w:r>
                </w:p>
              </w:tc>
              <w:tc>
                <w:tcPr>
                  <w:tcW w:w="3545" w:type="dxa"/>
                  <w:gridSpan w:val="4"/>
                  <w:vAlign w:val="center"/>
                </w:tcPr>
                <w:p>
                  <w:pPr>
                    <w:pStyle w:val="144"/>
                    <w:snapToGrid/>
                    <w:spacing w:before="0" w:after="0" w:line="240" w:lineRule="auto"/>
                    <w:ind w:firstLine="0" w:firstLineChars="0"/>
                    <w:jc w:val="center"/>
                    <w:rPr>
                      <w:sz w:val="21"/>
                      <w:szCs w:val="21"/>
                    </w:rPr>
                  </w:pPr>
                  <w:r>
                    <w:rPr>
                      <w:rFonts w:hint="eastAsia"/>
                      <w:sz w:val="21"/>
                      <w:szCs w:val="21"/>
                    </w:rPr>
                    <w:t>6</w:t>
                  </w:r>
                  <w:r>
                    <w:rPr>
                      <w:sz w:val="21"/>
                      <w:szCs w:val="21"/>
                    </w:rPr>
                    <w:t>0</w:t>
                  </w:r>
                </w:p>
              </w:tc>
              <w:tc>
                <w:tcPr>
                  <w:tcW w:w="3545" w:type="dxa"/>
                  <w:gridSpan w:val="4"/>
                  <w:vAlign w:val="center"/>
                </w:tcPr>
                <w:p>
                  <w:pPr>
                    <w:pStyle w:val="144"/>
                    <w:snapToGrid/>
                    <w:spacing w:before="0" w:after="0" w:line="240" w:lineRule="auto"/>
                    <w:ind w:firstLine="0" w:firstLineChars="0"/>
                    <w:jc w:val="center"/>
                    <w:rPr>
                      <w:sz w:val="21"/>
                      <w:szCs w:val="21"/>
                    </w:rPr>
                  </w:pPr>
                  <w:r>
                    <w:rPr>
                      <w:rFonts w:hint="eastAsia"/>
                      <w:sz w:val="21"/>
                      <w:szCs w:val="21"/>
                    </w:rPr>
                    <w:t>5</w:t>
                  </w:r>
                  <w:r>
                    <w:rPr>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40" w:type="dxa"/>
                  <w:gridSpan w:val="2"/>
                  <w:vAlign w:val="center"/>
                </w:tcPr>
                <w:p>
                  <w:pPr>
                    <w:pStyle w:val="144"/>
                    <w:snapToGrid/>
                    <w:spacing w:before="0" w:after="0" w:line="240" w:lineRule="auto"/>
                    <w:ind w:firstLine="0" w:firstLineChars="0"/>
                    <w:jc w:val="center"/>
                    <w:rPr>
                      <w:sz w:val="21"/>
                      <w:szCs w:val="21"/>
                    </w:rPr>
                  </w:pPr>
                  <w:r>
                    <w:rPr>
                      <w:rFonts w:hint="eastAsia"/>
                      <w:sz w:val="21"/>
                      <w:szCs w:val="21"/>
                    </w:rPr>
                    <w:t>达标情况</w:t>
                  </w:r>
                </w:p>
              </w:tc>
              <w:tc>
                <w:tcPr>
                  <w:tcW w:w="3545" w:type="dxa"/>
                  <w:gridSpan w:val="4"/>
                  <w:vAlign w:val="center"/>
                </w:tcPr>
                <w:p>
                  <w:pPr>
                    <w:pStyle w:val="144"/>
                    <w:snapToGrid/>
                    <w:spacing w:before="0" w:after="0" w:line="240" w:lineRule="auto"/>
                    <w:ind w:firstLine="0" w:firstLineChars="0"/>
                    <w:jc w:val="center"/>
                    <w:rPr>
                      <w:sz w:val="21"/>
                      <w:szCs w:val="21"/>
                    </w:rPr>
                  </w:pPr>
                  <w:r>
                    <w:rPr>
                      <w:rFonts w:hint="eastAsia"/>
                      <w:sz w:val="21"/>
                      <w:szCs w:val="21"/>
                    </w:rPr>
                    <w:t>达标</w:t>
                  </w:r>
                </w:p>
              </w:tc>
              <w:tc>
                <w:tcPr>
                  <w:tcW w:w="3545" w:type="dxa"/>
                  <w:gridSpan w:val="4"/>
                  <w:vAlign w:val="center"/>
                </w:tcPr>
                <w:p>
                  <w:pPr>
                    <w:pStyle w:val="144"/>
                    <w:snapToGrid/>
                    <w:spacing w:before="0" w:after="0" w:line="240" w:lineRule="auto"/>
                    <w:ind w:firstLine="0" w:firstLineChars="0"/>
                    <w:jc w:val="center"/>
                    <w:rPr>
                      <w:sz w:val="21"/>
                      <w:szCs w:val="21"/>
                    </w:rPr>
                  </w:pPr>
                  <w:r>
                    <w:rPr>
                      <w:rFonts w:hint="eastAsia"/>
                      <w:sz w:val="21"/>
                      <w:szCs w:val="21"/>
                    </w:rPr>
                    <w:t>达标</w:t>
                  </w:r>
                </w:p>
              </w:tc>
            </w:tr>
          </w:tbl>
          <w:p>
            <w:pPr>
              <w:pStyle w:val="144"/>
              <w:spacing w:before="0" w:after="0"/>
              <w:ind w:firstLine="480"/>
            </w:pPr>
            <w:r>
              <w:rPr>
                <w:rFonts w:hint="eastAsia"/>
              </w:rPr>
              <w:t>由上表可知，本项目颚式破碎机配套除尘器外排浓度、厂界外排浓度满足《大气污染物综合排放标准》（G</w:t>
            </w:r>
            <w:r>
              <w:t>B16297-1996</w:t>
            </w:r>
            <w:r>
              <w:rPr>
                <w:rFonts w:hint="eastAsia"/>
              </w:rPr>
              <w:t>）二级标准的要求；厂界声环境满足《工业企业厂界环境噪声排放标准》（</w:t>
            </w:r>
            <w:r>
              <w:t>GB12</w:t>
            </w:r>
            <w:r>
              <w:rPr>
                <w:rFonts w:hint="eastAsia"/>
              </w:rPr>
              <w:t>348</w:t>
            </w:r>
            <w:r>
              <w:t>-20</w:t>
            </w:r>
            <w:r>
              <w:rPr>
                <w:rFonts w:hint="eastAsia"/>
              </w:rPr>
              <w:t>08）</w:t>
            </w:r>
            <w:r>
              <w:t>2</w:t>
            </w:r>
            <w:r>
              <w:rPr>
                <w:rFonts w:hint="eastAsia"/>
              </w:rPr>
              <w:t>类声功能区标准要求。</w:t>
            </w:r>
          </w:p>
          <w:p>
            <w:pPr>
              <w:pStyle w:val="144"/>
              <w:spacing w:before="0" w:after="0"/>
              <w:ind w:firstLine="0" w:firstLineChars="0"/>
              <w:rPr>
                <w:b/>
                <w:bCs/>
              </w:rPr>
            </w:pPr>
            <w:r>
              <w:rPr>
                <w:b/>
                <w:bCs/>
              </w:rPr>
              <w:t>7</w:t>
            </w:r>
            <w:r>
              <w:rPr>
                <w:rFonts w:hint="eastAsia"/>
                <w:b/>
                <w:bCs/>
              </w:rPr>
              <w:t>、现有工程存在的环境问题及整改措施</w:t>
            </w:r>
          </w:p>
          <w:p>
            <w:pPr>
              <w:pStyle w:val="144"/>
              <w:spacing w:before="0" w:after="0"/>
              <w:ind w:firstLine="480"/>
            </w:pPr>
            <w:r>
              <w:rPr>
                <w:rFonts w:hint="eastAsia"/>
              </w:rPr>
              <w:t>交城县西冶兴威矿石加工厂“年产1</w:t>
            </w:r>
            <w:r>
              <w:t>0</w:t>
            </w:r>
            <w:r>
              <w:rPr>
                <w:rFonts w:hint="eastAsia"/>
              </w:rPr>
              <w:t>万吨铁精矿粉项目”验收时，建设单位于2</w:t>
            </w:r>
            <w:r>
              <w:t>020</w:t>
            </w:r>
            <w:r>
              <w:rPr>
                <w:rFonts w:hint="eastAsia"/>
              </w:rPr>
              <w:t>年4月委托山西清朗环保科技有限公司对项目竣工验收进行监测。山西清朗环保科技有限公司于2</w:t>
            </w:r>
            <w:r>
              <w:t>020</w:t>
            </w:r>
            <w:r>
              <w:rPr>
                <w:rFonts w:hint="eastAsia"/>
              </w:rPr>
              <w:t>年4月3</w:t>
            </w:r>
            <w:r>
              <w:t>0</w:t>
            </w:r>
            <w:r>
              <w:rPr>
                <w:rFonts w:hint="eastAsia"/>
              </w:rPr>
              <w:t>日、5月1日对项目污染源及厂界无组织废气、噪声进行了监测。由监测结果可知，现有工程颚式破碎机配套除尘器外排浓度、厂界外排浓度满足《大气污染物综合排放标准》（G</w:t>
            </w:r>
            <w:r>
              <w:t>B16297-1996</w:t>
            </w:r>
            <w:r>
              <w:rPr>
                <w:rFonts w:hint="eastAsia"/>
              </w:rPr>
              <w:t>）二级标准的要求；厂界声环境满足《工业企业厂界环境噪声排放标准》（</w:t>
            </w:r>
            <w:r>
              <w:t>GB12</w:t>
            </w:r>
            <w:r>
              <w:rPr>
                <w:rFonts w:hint="eastAsia"/>
              </w:rPr>
              <w:t>348</w:t>
            </w:r>
            <w:r>
              <w:t>-20</w:t>
            </w:r>
            <w:r>
              <w:rPr>
                <w:rFonts w:hint="eastAsia"/>
              </w:rPr>
              <w:t>08）</w:t>
            </w:r>
            <w:r>
              <w:t>2</w:t>
            </w:r>
            <w:r>
              <w:rPr>
                <w:rFonts w:hint="eastAsia"/>
              </w:rPr>
              <w:t>类声功能区标准要求。建设单位于2</w:t>
            </w:r>
            <w:r>
              <w:t>020</w:t>
            </w:r>
            <w:r>
              <w:rPr>
                <w:rFonts w:hint="eastAsia"/>
              </w:rPr>
              <w:t>年5月2</w:t>
            </w:r>
            <w:r>
              <w:t>0</w:t>
            </w:r>
            <w:r>
              <w:rPr>
                <w:rFonts w:hint="eastAsia"/>
              </w:rPr>
              <w:t>日组织了该项目竣工环境保护验收并通过环保验收。</w:t>
            </w:r>
          </w:p>
          <w:p>
            <w:pPr>
              <w:pStyle w:val="144"/>
              <w:spacing w:before="0" w:after="0"/>
              <w:ind w:firstLine="480"/>
            </w:pPr>
            <w:r>
              <w:rPr>
                <w:rFonts w:hint="eastAsia"/>
              </w:rPr>
              <w:t>经现场调查，现有工程环保设施齐全，污染物可以达标排放，满足现行环保要求；因此，不存在与本项目有关的原有污染情况及主要环境问题。</w:t>
            </w:r>
          </w:p>
          <w:p>
            <w:pPr>
              <w:pStyle w:val="144"/>
              <w:spacing w:before="0" w:after="0"/>
              <w:ind w:firstLine="480"/>
            </w:pPr>
          </w:p>
          <w:p>
            <w:pPr>
              <w:pStyle w:val="144"/>
              <w:spacing w:before="0" w:after="0"/>
              <w:ind w:firstLine="480"/>
            </w:pPr>
          </w:p>
          <w:p>
            <w:pPr>
              <w:pStyle w:val="144"/>
              <w:spacing w:before="0" w:after="0"/>
              <w:ind w:firstLine="480"/>
            </w:pPr>
          </w:p>
        </w:tc>
      </w:tr>
    </w:tbl>
    <w:p>
      <w:pPr>
        <w:pStyle w:val="186"/>
      </w:pPr>
      <w:r>
        <w:br w:type="page"/>
      </w:r>
      <w:r>
        <w:t>建设项目所在地自然环境社会环境简况</w:t>
      </w:r>
    </w:p>
    <w:tbl>
      <w:tblPr>
        <w:tblStyle w:val="7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947" w:type="dxa"/>
          </w:tcPr>
          <w:p>
            <w:pPr>
              <w:ind w:firstLine="0" w:firstLineChars="0"/>
              <w:rPr>
                <w:b/>
                <w:bCs/>
              </w:rPr>
            </w:pPr>
            <w:r>
              <w:rPr>
                <w:rFonts w:hAnsi="宋体"/>
                <w:b/>
                <w:bCs/>
              </w:rPr>
              <w:t>自然环境简况（地形、地貌、地质、气候、气象、水文、植被、生物多样性等）：</w:t>
            </w:r>
          </w:p>
          <w:p>
            <w:pPr>
              <w:ind w:firstLine="0" w:firstLineChars="0"/>
              <w:rPr>
                <w:b/>
              </w:rPr>
            </w:pPr>
            <w:r>
              <w:rPr>
                <w:rFonts w:hAnsi="宋体"/>
                <w:b/>
              </w:rPr>
              <w:t>一、地理位置</w:t>
            </w:r>
          </w:p>
          <w:p>
            <w:pPr>
              <w:ind w:firstLine="480"/>
            </w:pPr>
            <w:r>
              <w:rPr>
                <w:rFonts w:hint="eastAsia"/>
              </w:rPr>
              <w:t>交城县地处山西省中部吕梁山东麓，太原盆地西缘。大地构造位置在祁吕贺山字型构造体系的东翼中部。介于北纬</w:t>
            </w:r>
            <w:r>
              <w:t>37°28′~37°54′</w:t>
            </w:r>
            <w:r>
              <w:rPr>
                <w:rFonts w:hint="eastAsia"/>
              </w:rPr>
              <w:t>，东经</w:t>
            </w:r>
            <w:r>
              <w:t>111°24′~112°17′</w:t>
            </w:r>
            <w:r>
              <w:rPr>
                <w:rFonts w:hint="eastAsia"/>
              </w:rPr>
              <w:t>之间。全县国土面积为</w:t>
            </w:r>
            <w:r>
              <w:t>1822.11km</w:t>
            </w:r>
            <w:r>
              <w:rPr>
                <w:vertAlign w:val="superscript"/>
              </w:rPr>
              <w:t>2</w:t>
            </w:r>
            <w:r>
              <w:rPr>
                <w:rFonts w:hint="eastAsia"/>
              </w:rPr>
              <w:t>，地势由西北向东南倾斜，最高点为西北边陲孝文山，海拔</w:t>
            </w:r>
            <w:r>
              <w:t>2830.07m</w:t>
            </w:r>
            <w:r>
              <w:rPr>
                <w:rFonts w:hint="eastAsia"/>
              </w:rPr>
              <w:t>；最低点为县西南西营镇磁窑河河川，海拔</w:t>
            </w:r>
            <w:r>
              <w:t>748m</w:t>
            </w:r>
            <w:r>
              <w:rPr>
                <w:rFonts w:hint="eastAsia"/>
              </w:rPr>
              <w:t>，高低差为</w:t>
            </w:r>
            <w:r>
              <w:t>2082.7m</w:t>
            </w:r>
            <w:r>
              <w:rPr>
                <w:rFonts w:hint="eastAsia"/>
              </w:rPr>
              <w:t>。</w:t>
            </w:r>
          </w:p>
          <w:p>
            <w:pPr>
              <w:ind w:firstLine="480"/>
            </w:pPr>
            <w:r>
              <w:rPr>
                <w:rFonts w:hint="eastAsia"/>
              </w:rPr>
              <w:t>水峪贯隶属山西交城县。1961年建水峪贯公社，1984年设镇。位于县境东部山区，面积142平方公里，现有人口13180人，42个行政村。</w:t>
            </w:r>
          </w:p>
          <w:p>
            <w:pPr>
              <w:ind w:firstLine="480"/>
            </w:pPr>
            <w:r>
              <w:rPr>
                <w:rFonts w:hint="eastAsia"/>
              </w:rPr>
              <w:t>本项目拟建厂址位于交城县水峪贯镇西冶村东南约4</w:t>
            </w:r>
            <w:r>
              <w:t>00m</w:t>
            </w:r>
            <w:r>
              <w:rPr>
                <w:rFonts w:hint="eastAsia"/>
              </w:rPr>
              <w:t>处，总占地面积约3</w:t>
            </w:r>
            <w:r>
              <w:t>7500</w:t>
            </w:r>
            <w:r>
              <w:rPr>
                <w:rFonts w:hint="eastAsia"/>
              </w:rPr>
              <w:t>平方米，中心点坐标为；E</w:t>
            </w:r>
            <w:r>
              <w:t>111.921354</w:t>
            </w:r>
            <w:r>
              <w:rPr>
                <w:rFonts w:hint="eastAsia"/>
              </w:rPr>
              <w:t>°，N</w:t>
            </w:r>
            <w:r>
              <w:t>37.669642</w:t>
            </w:r>
            <w:r>
              <w:rPr>
                <w:rFonts w:hint="eastAsia"/>
              </w:rPr>
              <w:t>°；本项目拟建场地利用废弃洗煤厂场地，场地现存原煤库、精煤库、办公生活设施、地磅等可供利用。拟建厂址东侧1</w:t>
            </w:r>
            <w:r>
              <w:t>40</w:t>
            </w:r>
            <w:r>
              <w:rPr>
                <w:rFonts w:hint="eastAsia"/>
              </w:rPr>
              <w:t>m为古离线，交通便利。</w:t>
            </w:r>
          </w:p>
          <w:p>
            <w:pPr>
              <w:ind w:firstLine="480"/>
            </w:pPr>
            <w:r>
              <w:rPr>
                <w:rFonts w:hint="eastAsia"/>
              </w:rPr>
              <w:t>厂址地理位置见附图1，四邻关系</w:t>
            </w:r>
            <w:r>
              <w:t>见附图</w:t>
            </w:r>
            <w:r>
              <w:rPr>
                <w:rFonts w:hint="eastAsia"/>
              </w:rPr>
              <w:t>4</w:t>
            </w:r>
            <w:r>
              <w:t>。</w:t>
            </w:r>
          </w:p>
          <w:p>
            <w:pPr>
              <w:ind w:firstLine="0" w:firstLineChars="0"/>
              <w:rPr>
                <w:b/>
              </w:rPr>
            </w:pPr>
            <w:r>
              <w:rPr>
                <w:rFonts w:hAnsi="宋体"/>
                <w:b/>
              </w:rPr>
              <w:t>二、自然物理环境</w:t>
            </w:r>
          </w:p>
          <w:p>
            <w:pPr>
              <w:ind w:firstLine="0" w:firstLineChars="0"/>
              <w:rPr>
                <w:b/>
              </w:rPr>
            </w:pPr>
            <w:r>
              <w:rPr>
                <w:b/>
              </w:rPr>
              <w:t>1</w:t>
            </w:r>
            <w:r>
              <w:rPr>
                <w:rFonts w:hAnsi="宋体"/>
                <w:b/>
              </w:rPr>
              <w:t>、地形地貌</w:t>
            </w:r>
          </w:p>
          <w:p>
            <w:pPr>
              <w:pStyle w:val="144"/>
              <w:spacing w:before="0" w:after="0"/>
              <w:ind w:firstLine="480"/>
            </w:pPr>
            <w:r>
              <w:rPr>
                <w:rFonts w:hint="eastAsia"/>
              </w:rPr>
              <w:t>交城县地处吕梁山中段东麓，境内总体地形西北高东南低。最高山峰为县境西北与娄烦县界处的关帝山主峰南阳山（孝文山），海拔</w:t>
            </w:r>
            <w:r>
              <w:t>2830.7m</w:t>
            </w:r>
            <w:r>
              <w:rPr>
                <w:rFonts w:hint="eastAsia"/>
              </w:rPr>
              <w:t>；最低处位于东南平川西石侯一带，海拔</w:t>
            </w:r>
            <w:r>
              <w:t>748m</w:t>
            </w:r>
            <w:r>
              <w:rPr>
                <w:rFonts w:hint="eastAsia"/>
              </w:rPr>
              <w:t>。相对高差</w:t>
            </w:r>
            <w:r>
              <w:t>2082.7m</w:t>
            </w:r>
            <w:r>
              <w:rPr>
                <w:rFonts w:hint="eastAsia"/>
              </w:rPr>
              <w:t>。</w:t>
            </w:r>
          </w:p>
          <w:p>
            <w:pPr>
              <w:pStyle w:val="144"/>
              <w:spacing w:before="0" w:after="0"/>
              <w:ind w:firstLine="480"/>
            </w:pPr>
            <w:r>
              <w:rPr>
                <w:rFonts w:hint="eastAsia"/>
              </w:rPr>
              <w:t>根据地貌形态，境内地貌分四个大类九个类型：</w:t>
            </w:r>
          </w:p>
          <w:p>
            <w:pPr>
              <w:pStyle w:val="144"/>
              <w:spacing w:before="0" w:after="0"/>
              <w:ind w:firstLine="480"/>
            </w:pPr>
            <w:r>
              <w:rPr>
                <w:rFonts w:hint="eastAsia"/>
              </w:rPr>
              <w:t>（</w:t>
            </w:r>
            <w:r>
              <w:t>1</w:t>
            </w:r>
            <w:r>
              <w:rPr>
                <w:rFonts w:hint="eastAsia"/>
              </w:rPr>
              <w:t>）高中山区</w:t>
            </w:r>
          </w:p>
          <w:p>
            <w:pPr>
              <w:pStyle w:val="144"/>
              <w:spacing w:before="0" w:after="0"/>
              <w:ind w:firstLine="480"/>
            </w:pPr>
            <w:r>
              <w:rPr>
                <w:rFonts w:hint="eastAsia"/>
              </w:rPr>
              <w:t>分为岩浆岩剥露、变质岩浆、上覆石灰岩及岩浆岩剥露等类型的穹窿高中山，主要分布县境西北及马鞍山地带。</w:t>
            </w:r>
          </w:p>
          <w:p>
            <w:pPr>
              <w:pStyle w:val="144"/>
              <w:spacing w:before="0" w:after="0"/>
              <w:ind w:firstLine="480"/>
            </w:pPr>
            <w:r>
              <w:rPr>
                <w:rFonts w:hint="eastAsia"/>
              </w:rPr>
              <w:t>（</w:t>
            </w:r>
            <w:r>
              <w:t>2</w:t>
            </w:r>
            <w:r>
              <w:rPr>
                <w:rFonts w:hint="eastAsia"/>
              </w:rPr>
              <w:t>）土石山沟坡区</w:t>
            </w:r>
          </w:p>
          <w:p>
            <w:pPr>
              <w:pStyle w:val="144"/>
              <w:spacing w:before="0" w:after="0"/>
              <w:ind w:firstLine="480"/>
            </w:pPr>
            <w:r>
              <w:rPr>
                <w:rFonts w:hint="eastAsia"/>
              </w:rPr>
              <w:t>本县主要为砂页岩剥蚀中山类。分布于马鞍前山地区及县境东北山区。本区由二迭、三迭和侏罗系砂页岩组成，山体低矮，一般不足</w:t>
            </w:r>
            <w:r>
              <w:t>2000m</w:t>
            </w:r>
            <w:r>
              <w:rPr>
                <w:rFonts w:hint="eastAsia"/>
              </w:rPr>
              <w:t>，具宽梁状山脊和宽浅沟谷，沟谷中多见急流、跌水，地面由残积黄土覆盖。</w:t>
            </w:r>
          </w:p>
          <w:p>
            <w:pPr>
              <w:pStyle w:val="144"/>
              <w:spacing w:before="0" w:after="0"/>
              <w:ind w:firstLine="480"/>
            </w:pPr>
            <w:r>
              <w:rPr>
                <w:rFonts w:hint="eastAsia"/>
              </w:rPr>
              <w:t>（</w:t>
            </w:r>
            <w:r>
              <w:t>3</w:t>
            </w:r>
            <w:r>
              <w:rPr>
                <w:rFonts w:hint="eastAsia"/>
              </w:rPr>
              <w:t>）山间黄土丘陵区</w:t>
            </w:r>
          </w:p>
          <w:p>
            <w:pPr>
              <w:pStyle w:val="144"/>
              <w:spacing w:before="0" w:after="0"/>
              <w:ind w:firstLine="480"/>
            </w:pPr>
            <w:r>
              <w:rPr>
                <w:rFonts w:hint="eastAsia"/>
              </w:rPr>
              <w:t>主要分布于中西川中庄地区沿川一带，四周山地环绕，松散堆积物较厚，文峪河从中穿过，发育有一、二级台地。</w:t>
            </w:r>
          </w:p>
          <w:p>
            <w:pPr>
              <w:pStyle w:val="144"/>
              <w:spacing w:before="0" w:after="0"/>
              <w:ind w:firstLine="480"/>
            </w:pPr>
            <w:r>
              <w:rPr>
                <w:rFonts w:hint="eastAsia"/>
              </w:rPr>
              <w:t>（</w:t>
            </w:r>
            <w:r>
              <w:t>4</w:t>
            </w:r>
            <w:r>
              <w:rPr>
                <w:rFonts w:hint="eastAsia"/>
              </w:rPr>
              <w:t>）山前洪积缓坡区</w:t>
            </w:r>
          </w:p>
          <w:p>
            <w:pPr>
              <w:pStyle w:val="144"/>
              <w:spacing w:before="0" w:after="0"/>
              <w:ind w:firstLine="480"/>
            </w:pPr>
            <w:r>
              <w:rPr>
                <w:rFonts w:hint="eastAsia"/>
              </w:rPr>
              <w:t>①洪积倾斜平原：分布于城关镇、洪相乡平川地区及义望乡北部地区。组成物质以砂砾石和亚砂土为主，岩性为灰岩和变质岩类，并夹有黄土类物质。南缘带以黄土类物质为主，夹有亚粘土、亚砂土。本区地形较为平坦，河沟及冲沟较发育，但切割一般较浅。边山河沟出口处普遍发育规模不等的洪积扇。</w:t>
            </w:r>
          </w:p>
          <w:p>
            <w:pPr>
              <w:pStyle w:val="144"/>
              <w:spacing w:before="0" w:after="0"/>
              <w:ind w:firstLine="480"/>
            </w:pPr>
            <w:r>
              <w:rPr>
                <w:rFonts w:hint="eastAsia"/>
              </w:rPr>
              <w:t>②冲积平原：分布于平川西营地区及义望乡南境与段村镇地区。本区由第四系松散沉积物组成，沉积物质达千米以上，区内地势平坦，为晋中盆地组成部分。</w:t>
            </w:r>
          </w:p>
          <w:p>
            <w:pPr>
              <w:ind w:firstLine="480"/>
            </w:pPr>
            <w:r>
              <w:rPr>
                <w:rFonts w:hint="eastAsia"/>
              </w:rPr>
              <w:t>③山间基岩谷地：分布于本县文峪河穿行之基岩山区。区内坡陡谷深，时宽时窄，宽阔处堆积着松散的沙砾石及黄土状物质，大部分地段草灌丛生。局部地区辟为农田。</w:t>
            </w:r>
          </w:p>
          <w:p>
            <w:pPr>
              <w:snapToGrid w:val="0"/>
              <w:ind w:firstLine="480"/>
            </w:pPr>
            <w:r>
              <w:rPr>
                <w:rFonts w:hint="eastAsia"/>
              </w:rPr>
              <w:t>本项目建设厂址位于交城县水峪贯镇西冶村，属于山间基岩谷地。</w:t>
            </w:r>
          </w:p>
          <w:p>
            <w:pPr>
              <w:ind w:firstLine="0" w:firstLineChars="0"/>
              <w:rPr>
                <w:b/>
              </w:rPr>
            </w:pPr>
            <w:r>
              <w:rPr>
                <w:rFonts w:hint="eastAsia"/>
                <w:b/>
              </w:rPr>
              <w:t>2</w:t>
            </w:r>
            <w:r>
              <w:rPr>
                <w:rFonts w:hAnsi="宋体"/>
                <w:b/>
              </w:rPr>
              <w:t>、</w:t>
            </w:r>
            <w:r>
              <w:rPr>
                <w:rFonts w:hint="eastAsia" w:hAnsi="宋体"/>
                <w:b/>
              </w:rPr>
              <w:t>地质构造</w:t>
            </w:r>
          </w:p>
          <w:p>
            <w:pPr>
              <w:pStyle w:val="144"/>
              <w:snapToGrid/>
              <w:spacing w:before="0" w:after="0"/>
              <w:ind w:firstLine="480"/>
              <w:rPr>
                <w:bCs/>
              </w:rPr>
            </w:pPr>
            <w:r>
              <w:rPr>
                <w:rFonts w:hint="eastAsia"/>
                <w:bCs/>
              </w:rPr>
              <w:t>交城县处于吕梁山中段，</w:t>
            </w:r>
            <w:r>
              <w:rPr>
                <w:bCs/>
              </w:rPr>
              <w:t xml:space="preserve"> </w:t>
            </w:r>
            <w:r>
              <w:rPr>
                <w:rFonts w:hint="eastAsia"/>
                <w:bCs/>
              </w:rPr>
              <w:t>区内构造形迹以断裂和褶皱为主，</w:t>
            </w:r>
            <w:r>
              <w:rPr>
                <w:bCs/>
              </w:rPr>
              <w:t xml:space="preserve"> </w:t>
            </w:r>
            <w:r>
              <w:rPr>
                <w:rFonts w:hint="eastAsia"/>
                <w:bCs/>
              </w:rPr>
              <w:t>构造线走向以北西向、北东向为主，</w:t>
            </w:r>
            <w:r>
              <w:rPr>
                <w:bCs/>
              </w:rPr>
              <w:t xml:space="preserve"> </w:t>
            </w:r>
            <w:r>
              <w:rPr>
                <w:rFonts w:hint="eastAsia"/>
                <w:bCs/>
              </w:rPr>
              <w:t>其中山区北西向断层和褶皱控制了区内的地貌形态、地层分布及地下水的补径排途径，构成山区和盆地分界的北东向</w:t>
            </w:r>
            <w:r>
              <w:rPr>
                <w:bCs/>
              </w:rPr>
              <w:t>(</w:t>
            </w:r>
            <w:r>
              <w:rPr>
                <w:rFonts w:hint="eastAsia"/>
                <w:bCs/>
              </w:rPr>
              <w:t>清交</w:t>
            </w:r>
            <w:r>
              <w:rPr>
                <w:bCs/>
              </w:rPr>
              <w:t>)</w:t>
            </w:r>
            <w:r>
              <w:rPr>
                <w:rFonts w:hint="eastAsia"/>
                <w:bCs/>
              </w:rPr>
              <w:t>断裂，不仅对山区与盆地地下水的转换具有直接的控制作用，</w:t>
            </w:r>
            <w:r>
              <w:rPr>
                <w:bCs/>
              </w:rPr>
              <w:t xml:space="preserve"> </w:t>
            </w:r>
            <w:r>
              <w:rPr>
                <w:rFonts w:hint="eastAsia"/>
                <w:bCs/>
              </w:rPr>
              <w:t>而且清交断裂带本身就是地下水赋存及运移的有利场所和通道。</w:t>
            </w:r>
          </w:p>
          <w:p>
            <w:pPr>
              <w:pStyle w:val="144"/>
              <w:snapToGrid/>
              <w:spacing w:before="0" w:after="0"/>
              <w:ind w:firstLine="480"/>
              <w:rPr>
                <w:bCs/>
              </w:rPr>
            </w:pPr>
            <w:r>
              <w:rPr>
                <w:rFonts w:hint="eastAsia"/>
                <w:bCs/>
              </w:rPr>
              <w:t>本县大地构造位置处于祁吕贺山字型构造体系的东翼中部。主要构造简述如下：</w:t>
            </w:r>
          </w:p>
          <w:p>
            <w:pPr>
              <w:pStyle w:val="144"/>
              <w:snapToGrid/>
              <w:spacing w:before="0" w:after="0"/>
              <w:ind w:firstLine="480"/>
              <w:rPr>
                <w:bCs/>
              </w:rPr>
            </w:pPr>
            <w:r>
              <w:rPr>
                <w:rFonts w:hint="eastAsia"/>
                <w:bCs/>
              </w:rPr>
              <w:t>①褶皱构造：</w:t>
            </w:r>
          </w:p>
          <w:p>
            <w:pPr>
              <w:pStyle w:val="144"/>
              <w:snapToGrid/>
              <w:spacing w:before="0" w:after="0"/>
              <w:ind w:firstLine="480"/>
              <w:rPr>
                <w:bCs/>
              </w:rPr>
            </w:pPr>
            <w:r>
              <w:rPr>
                <w:rFonts w:hint="eastAsia"/>
                <w:bCs/>
              </w:rPr>
              <w:t>本区规模较大的褶皱构造主要包括：东部寨上——西岭大向斜，王文——古洞道向斜，鲁沿向斜，北塔——双龙向斜，长树山倒转向斜等。这些向斜构造一般均为近南北向展布，反映了东西向挤压的应力场作用。</w:t>
            </w:r>
          </w:p>
          <w:p>
            <w:pPr>
              <w:pStyle w:val="144"/>
              <w:snapToGrid/>
              <w:spacing w:before="0" w:after="0"/>
              <w:ind w:firstLine="480"/>
              <w:rPr>
                <w:bCs/>
              </w:rPr>
            </w:pPr>
            <w:r>
              <w:rPr>
                <w:rFonts w:hint="eastAsia" w:ascii="宋体" w:hAnsi="宋体" w:cs="宋体"/>
                <w:bCs/>
              </w:rPr>
              <w:t>②</w:t>
            </w:r>
            <w:r>
              <w:rPr>
                <w:rFonts w:hint="eastAsia"/>
                <w:bCs/>
              </w:rPr>
              <w:t>断裂构造：</w:t>
            </w:r>
          </w:p>
          <w:p>
            <w:pPr>
              <w:pStyle w:val="144"/>
              <w:snapToGrid/>
              <w:spacing w:before="0" w:after="0"/>
              <w:ind w:firstLine="480"/>
              <w:rPr>
                <w:bCs/>
              </w:rPr>
            </w:pPr>
            <w:r>
              <w:rPr>
                <w:rFonts w:hint="eastAsia"/>
                <w:bCs/>
              </w:rPr>
              <w:t>区内断裂构造主要发育有北西向、北东向、近南北向等三组断裂。一般来说北西向断裂规模较大，南北向断裂规模中常，北东向断裂规模较上述两组为小。</w:t>
            </w:r>
          </w:p>
          <w:p>
            <w:pPr>
              <w:pStyle w:val="144"/>
              <w:snapToGrid/>
              <w:spacing w:before="0" w:after="0"/>
              <w:ind w:firstLine="480"/>
              <w:rPr>
                <w:bCs/>
              </w:rPr>
            </w:pPr>
            <w:r>
              <w:rPr>
                <w:bCs/>
              </w:rPr>
              <w:t>A</w:t>
            </w:r>
            <w:r>
              <w:rPr>
                <w:rFonts w:hint="eastAsia"/>
                <w:bCs/>
              </w:rPr>
              <w:t>北西向断裂：有西孟、水峪贯、钟家沟</w:t>
            </w:r>
            <w:r>
              <w:rPr>
                <w:bCs/>
              </w:rPr>
              <w:t>-</w:t>
            </w:r>
            <w:r>
              <w:rPr>
                <w:rFonts w:hint="eastAsia"/>
                <w:bCs/>
              </w:rPr>
              <w:t>东社等断裂，其延伸一般在</w:t>
            </w:r>
            <w:r>
              <w:rPr>
                <w:bCs/>
              </w:rPr>
              <w:t>30km</w:t>
            </w:r>
            <w:r>
              <w:rPr>
                <w:rFonts w:hint="eastAsia"/>
                <w:bCs/>
              </w:rPr>
              <w:t>以上，断裂带宽大，在地表断续出露，多为性质不明活压扭性断裂。</w:t>
            </w:r>
          </w:p>
          <w:p>
            <w:pPr>
              <w:pStyle w:val="144"/>
              <w:snapToGrid/>
              <w:spacing w:before="0" w:after="0"/>
              <w:ind w:firstLine="480"/>
              <w:rPr>
                <w:bCs/>
              </w:rPr>
            </w:pPr>
            <w:r>
              <w:rPr>
                <w:bCs/>
              </w:rPr>
              <w:t>B</w:t>
            </w:r>
            <w:r>
              <w:rPr>
                <w:rFonts w:hint="eastAsia"/>
                <w:bCs/>
              </w:rPr>
              <w:t>北东向断裂：市境内发育最多分布最广的一组断裂。包括交城大断层</w:t>
            </w:r>
            <w:r>
              <w:rPr>
                <w:bCs/>
              </w:rPr>
              <w:t>(</w:t>
            </w:r>
            <w:r>
              <w:rPr>
                <w:rFonts w:hint="eastAsia"/>
                <w:bCs/>
              </w:rPr>
              <w:t>正断层</w:t>
            </w:r>
            <w:r>
              <w:rPr>
                <w:bCs/>
              </w:rPr>
              <w:t>)</w:t>
            </w:r>
            <w:r>
              <w:rPr>
                <w:rFonts w:hint="eastAsia"/>
                <w:bCs/>
              </w:rPr>
              <w:t>、岭底逆断层、圪垛正断层、南沟逆断层、横岭正断层等。其特点是，规模教小，一般在几公里至十几公里之间，短的仅几百米。为交城大断层规模大，北东至晋祠，南西至汾阳。</w:t>
            </w:r>
          </w:p>
          <w:p>
            <w:pPr>
              <w:pStyle w:val="144"/>
              <w:snapToGrid/>
              <w:spacing w:before="0" w:after="0"/>
              <w:ind w:firstLine="480"/>
              <w:rPr>
                <w:bCs/>
              </w:rPr>
            </w:pPr>
            <w:r>
              <w:rPr>
                <w:bCs/>
              </w:rPr>
              <w:t>C</w:t>
            </w:r>
            <w:r>
              <w:rPr>
                <w:rFonts w:hint="eastAsia"/>
                <w:bCs/>
              </w:rPr>
              <w:t>近南北向断裂：主要集中在中部，规模有大有小，延伸长的</w:t>
            </w:r>
            <w:r>
              <w:rPr>
                <w:bCs/>
              </w:rPr>
              <w:t>20</w:t>
            </w:r>
            <w:r>
              <w:rPr>
                <w:rFonts w:hint="eastAsia"/>
                <w:bCs/>
              </w:rPr>
              <w:t>余公里，短的几公里，主要由陈台山前大断裂</w:t>
            </w:r>
            <w:r>
              <w:rPr>
                <w:bCs/>
              </w:rPr>
              <w:t>(</w:t>
            </w:r>
            <w:r>
              <w:rPr>
                <w:rFonts w:hint="eastAsia"/>
                <w:bCs/>
              </w:rPr>
              <w:t>正断层</w:t>
            </w:r>
            <w:r>
              <w:rPr>
                <w:bCs/>
              </w:rPr>
              <w:t>)</w:t>
            </w:r>
            <w:r>
              <w:rPr>
                <w:rFonts w:hint="eastAsia"/>
                <w:bCs/>
              </w:rPr>
              <w:t>和寨立</w:t>
            </w:r>
            <w:r>
              <w:rPr>
                <w:bCs/>
              </w:rPr>
              <w:t>—</w:t>
            </w:r>
            <w:r>
              <w:rPr>
                <w:rFonts w:hint="eastAsia"/>
                <w:bCs/>
              </w:rPr>
              <w:t>北塔正断层、北塔西断裂，这几条断裂的次一级构造较发育，地表露头较好。</w:t>
            </w:r>
          </w:p>
          <w:p>
            <w:pPr>
              <w:ind w:firstLine="480"/>
            </w:pPr>
            <w:r>
              <w:rPr>
                <w:rFonts w:hint="eastAsia"/>
                <w:bCs/>
              </w:rPr>
              <w:t>本项目建设厂址不在上述断层上。</w:t>
            </w:r>
          </w:p>
          <w:p>
            <w:pPr>
              <w:ind w:firstLine="0" w:firstLineChars="0"/>
              <w:rPr>
                <w:b/>
              </w:rPr>
            </w:pPr>
            <w:r>
              <w:rPr>
                <w:rFonts w:hint="eastAsia"/>
                <w:b/>
              </w:rPr>
              <w:t>3</w:t>
            </w:r>
            <w:r>
              <w:rPr>
                <w:rFonts w:hAnsi="宋体"/>
                <w:b/>
              </w:rPr>
              <w:t>、</w:t>
            </w:r>
            <w:r>
              <w:rPr>
                <w:rFonts w:hint="eastAsia" w:hAnsi="宋体"/>
                <w:b/>
              </w:rPr>
              <w:t>气象特征</w:t>
            </w:r>
          </w:p>
          <w:p>
            <w:pPr>
              <w:ind w:firstLine="480"/>
              <w:rPr>
                <w:snapToGrid w:val="0"/>
                <w:kern w:val="0"/>
              </w:rPr>
            </w:pPr>
            <w:r>
              <w:rPr>
                <w:rFonts w:hint="eastAsia"/>
                <w:snapToGrid w:val="0"/>
                <w:kern w:val="0"/>
              </w:rPr>
              <w:t>交城县气候属于暖温带大陆性半干旱气候。境内地形西北高、东南低，相对高差</w:t>
            </w:r>
            <w:r>
              <w:rPr>
                <w:snapToGrid w:val="0"/>
                <w:kern w:val="0"/>
              </w:rPr>
              <w:t>2200.7m</w:t>
            </w:r>
            <w:r>
              <w:rPr>
                <w:rFonts w:hint="eastAsia"/>
                <w:snapToGrid w:val="0"/>
                <w:kern w:val="0"/>
              </w:rPr>
              <w:t>，气候垂直变化显著。县境西北部关帝山一带海拔</w:t>
            </w:r>
            <w:r>
              <w:rPr>
                <w:snapToGrid w:val="0"/>
                <w:kern w:val="0"/>
              </w:rPr>
              <w:t>2000~2830m</w:t>
            </w:r>
            <w:r>
              <w:rPr>
                <w:rFonts w:hint="eastAsia"/>
                <w:snapToGrid w:val="0"/>
                <w:kern w:val="0"/>
              </w:rPr>
              <w:t>的地区。区内冬长无夏、严寒、降雨繁多、空气湿润。冬季平均长约</w:t>
            </w:r>
            <w:r>
              <w:rPr>
                <w:snapToGrid w:val="0"/>
                <w:kern w:val="0"/>
              </w:rPr>
              <w:t>200</w:t>
            </w:r>
            <w:r>
              <w:rPr>
                <w:rFonts w:hint="eastAsia"/>
                <w:snapToGrid w:val="0"/>
                <w:kern w:val="0"/>
              </w:rPr>
              <w:t>天，最长达</w:t>
            </w:r>
            <w:r>
              <w:rPr>
                <w:snapToGrid w:val="0"/>
                <w:kern w:val="0"/>
              </w:rPr>
              <w:t>239</w:t>
            </w:r>
            <w:r>
              <w:rPr>
                <w:rFonts w:hint="eastAsia"/>
                <w:snapToGrid w:val="0"/>
                <w:kern w:val="0"/>
              </w:rPr>
              <w:t>天，占全年天数的</w:t>
            </w:r>
            <w:r>
              <w:rPr>
                <w:snapToGrid w:val="0"/>
                <w:kern w:val="0"/>
              </w:rPr>
              <w:t>65.48%</w:t>
            </w:r>
            <w:r>
              <w:rPr>
                <w:rFonts w:hint="eastAsia"/>
                <w:snapToGrid w:val="0"/>
                <w:kern w:val="0"/>
              </w:rPr>
              <w:t>，终年无夏；平均气温</w:t>
            </w:r>
            <w:r>
              <w:rPr>
                <w:snapToGrid w:val="0"/>
                <w:kern w:val="0"/>
              </w:rPr>
              <w:t>1~3</w:t>
            </w:r>
            <w:r>
              <w:rPr>
                <w:rFonts w:hint="eastAsia"/>
                <w:snapToGrid w:val="0"/>
                <w:kern w:val="0"/>
              </w:rPr>
              <w:t>℃，无霜期</w:t>
            </w:r>
            <w:r>
              <w:rPr>
                <w:snapToGrid w:val="0"/>
                <w:kern w:val="0"/>
              </w:rPr>
              <w:t>100</w:t>
            </w:r>
            <w:r>
              <w:rPr>
                <w:rFonts w:hint="eastAsia"/>
                <w:snapToGrid w:val="0"/>
                <w:kern w:val="0"/>
              </w:rPr>
              <w:t>天左右；年极端最低气温</w:t>
            </w:r>
            <w:r>
              <w:rPr>
                <w:snapToGrid w:val="0"/>
                <w:kern w:val="0"/>
              </w:rPr>
              <w:t>-32</w:t>
            </w:r>
            <w:r>
              <w:rPr>
                <w:rFonts w:hint="eastAsia"/>
                <w:snapToGrid w:val="0"/>
                <w:kern w:val="0"/>
              </w:rPr>
              <w:t>℃，极端最高气温</w:t>
            </w:r>
            <w:r>
              <w:rPr>
                <w:snapToGrid w:val="0"/>
                <w:kern w:val="0"/>
              </w:rPr>
              <w:t>29.8</w:t>
            </w:r>
            <w:r>
              <w:rPr>
                <w:rFonts w:hint="eastAsia"/>
                <w:snapToGrid w:val="0"/>
                <w:kern w:val="0"/>
              </w:rPr>
              <w:t>℃。县境北中部海拔</w:t>
            </w:r>
            <w:r>
              <w:rPr>
                <w:snapToGrid w:val="0"/>
                <w:kern w:val="0"/>
              </w:rPr>
              <w:t>1000m</w:t>
            </w:r>
            <w:r>
              <w:rPr>
                <w:rFonts w:hint="eastAsia"/>
                <w:snapToGrid w:val="0"/>
                <w:kern w:val="0"/>
              </w:rPr>
              <w:t>至</w:t>
            </w:r>
            <w:r>
              <w:rPr>
                <w:snapToGrid w:val="0"/>
                <w:kern w:val="0"/>
              </w:rPr>
              <w:t>2000m</w:t>
            </w:r>
            <w:r>
              <w:rPr>
                <w:rFonts w:hint="eastAsia"/>
                <w:snapToGrid w:val="0"/>
                <w:kern w:val="0"/>
              </w:rPr>
              <w:t>的西冶川北部、葫芦川南部、中西川中南部一带区域。区内地形复杂，山峦起伏，年均气温</w:t>
            </w:r>
            <w:r>
              <w:rPr>
                <w:snapToGrid w:val="0"/>
                <w:kern w:val="0"/>
              </w:rPr>
              <w:t>6.8</w:t>
            </w:r>
            <w:r>
              <w:rPr>
                <w:rFonts w:hint="eastAsia"/>
                <w:snapToGrid w:val="0"/>
                <w:kern w:val="0"/>
              </w:rPr>
              <w:t>℃。县境东南平川及近山一带海拔</w:t>
            </w:r>
            <w:r>
              <w:rPr>
                <w:snapToGrid w:val="0"/>
                <w:kern w:val="0"/>
              </w:rPr>
              <w:t>700~1000m</w:t>
            </w:r>
            <w:r>
              <w:rPr>
                <w:rFonts w:hint="eastAsia"/>
                <w:snapToGrid w:val="0"/>
                <w:kern w:val="0"/>
              </w:rPr>
              <w:t>的地区。区内全年四季分明，春季</w:t>
            </w:r>
            <w:r>
              <w:rPr>
                <w:snapToGrid w:val="0"/>
                <w:kern w:val="0"/>
              </w:rPr>
              <w:t>63</w:t>
            </w:r>
            <w:r>
              <w:rPr>
                <w:rFonts w:hint="eastAsia"/>
                <w:snapToGrid w:val="0"/>
                <w:kern w:val="0"/>
              </w:rPr>
              <w:t>天，夏季</w:t>
            </w:r>
            <w:r>
              <w:rPr>
                <w:snapToGrid w:val="0"/>
                <w:kern w:val="0"/>
              </w:rPr>
              <w:t>69</w:t>
            </w:r>
            <w:r>
              <w:rPr>
                <w:rFonts w:hint="eastAsia"/>
                <w:snapToGrid w:val="0"/>
                <w:kern w:val="0"/>
              </w:rPr>
              <w:t>天，秋季</w:t>
            </w:r>
            <w:r>
              <w:rPr>
                <w:snapToGrid w:val="0"/>
                <w:kern w:val="0"/>
              </w:rPr>
              <w:t>62</w:t>
            </w:r>
            <w:r>
              <w:rPr>
                <w:rFonts w:hint="eastAsia"/>
                <w:snapToGrid w:val="0"/>
                <w:kern w:val="0"/>
              </w:rPr>
              <w:t>天，冬季</w:t>
            </w:r>
            <w:r>
              <w:rPr>
                <w:snapToGrid w:val="0"/>
                <w:kern w:val="0"/>
              </w:rPr>
              <w:t>171</w:t>
            </w:r>
            <w:r>
              <w:rPr>
                <w:rFonts w:hint="eastAsia"/>
                <w:snapToGrid w:val="0"/>
                <w:kern w:val="0"/>
              </w:rPr>
              <w:t>天，年均气温</w:t>
            </w:r>
            <w:r>
              <w:rPr>
                <w:snapToGrid w:val="0"/>
                <w:kern w:val="0"/>
              </w:rPr>
              <w:t>10.1</w:t>
            </w:r>
            <w:r>
              <w:rPr>
                <w:rFonts w:hint="eastAsia"/>
                <w:snapToGrid w:val="0"/>
                <w:kern w:val="0"/>
              </w:rPr>
              <w:t>℃。日照较充足，全境年平均日照总时数</w:t>
            </w:r>
            <w:r>
              <w:rPr>
                <w:snapToGrid w:val="0"/>
                <w:kern w:val="0"/>
              </w:rPr>
              <w:t>2743</w:t>
            </w:r>
            <w:r>
              <w:rPr>
                <w:rFonts w:hint="eastAsia"/>
                <w:snapToGrid w:val="0"/>
                <w:kern w:val="0"/>
              </w:rPr>
              <w:t>小时，占可照时数的</w:t>
            </w:r>
            <w:r>
              <w:rPr>
                <w:snapToGrid w:val="0"/>
                <w:kern w:val="0"/>
              </w:rPr>
              <w:t>62%</w:t>
            </w:r>
            <w:r>
              <w:rPr>
                <w:rFonts w:hint="eastAsia"/>
                <w:snapToGrid w:val="0"/>
                <w:kern w:val="0"/>
              </w:rPr>
              <w:t>。</w:t>
            </w:r>
          </w:p>
          <w:p>
            <w:pPr>
              <w:ind w:firstLine="480"/>
            </w:pPr>
            <w:r>
              <w:rPr>
                <w:rFonts w:hint="eastAsia"/>
                <w:snapToGrid w:val="0"/>
                <w:kern w:val="0"/>
              </w:rPr>
              <w:t>本县气温较低，多年均气温为</w:t>
            </w:r>
            <w:r>
              <w:rPr>
                <w:snapToGrid w:val="0"/>
                <w:kern w:val="0"/>
              </w:rPr>
              <w:t>7</w:t>
            </w:r>
            <w:r>
              <w:rPr>
                <w:rFonts w:hint="eastAsia"/>
                <w:snapToGrid w:val="0"/>
                <w:kern w:val="0"/>
              </w:rPr>
              <w:t>℃。由于境内地形复杂，年平均气温由东南向西北递减。年均气温最高的平川西营一带为</w:t>
            </w:r>
            <w:r>
              <w:rPr>
                <w:snapToGrid w:val="0"/>
                <w:kern w:val="0"/>
              </w:rPr>
              <w:t>10.5</w:t>
            </w:r>
            <w:r>
              <w:rPr>
                <w:rFonts w:hint="eastAsia"/>
                <w:snapToGrid w:val="0"/>
                <w:kern w:val="0"/>
              </w:rPr>
              <w:t>℃；年均气温最低的西北山区横尖一带仅为</w:t>
            </w:r>
            <w:r>
              <w:rPr>
                <w:snapToGrid w:val="0"/>
                <w:kern w:val="0"/>
              </w:rPr>
              <w:t>1~3</w:t>
            </w:r>
            <w:r>
              <w:rPr>
                <w:rFonts w:hint="eastAsia"/>
                <w:snapToGrid w:val="0"/>
                <w:kern w:val="0"/>
              </w:rPr>
              <w:t>℃。本县降水自东南向西北递增。年降水量变化在</w:t>
            </w:r>
            <w:r>
              <w:rPr>
                <w:snapToGrid w:val="0"/>
                <w:kern w:val="0"/>
              </w:rPr>
              <w:t>440~700mm</w:t>
            </w:r>
            <w:r>
              <w:rPr>
                <w:rFonts w:hint="eastAsia"/>
                <w:snapToGrid w:val="0"/>
                <w:kern w:val="0"/>
              </w:rPr>
              <w:t>之间。全县多年蒸发量平均为</w:t>
            </w:r>
            <w:r>
              <w:rPr>
                <w:snapToGrid w:val="0"/>
                <w:kern w:val="0"/>
              </w:rPr>
              <w:t>1562.1mm</w:t>
            </w:r>
            <w:r>
              <w:rPr>
                <w:rFonts w:hint="eastAsia"/>
                <w:snapToGrid w:val="0"/>
                <w:kern w:val="0"/>
              </w:rPr>
              <w:t>，年平均相对湿度</w:t>
            </w:r>
            <w:r>
              <w:rPr>
                <w:snapToGrid w:val="0"/>
                <w:kern w:val="0"/>
              </w:rPr>
              <w:t>62%</w:t>
            </w:r>
            <w:r>
              <w:rPr>
                <w:rFonts w:hint="eastAsia"/>
                <w:snapToGrid w:val="0"/>
                <w:kern w:val="0"/>
              </w:rPr>
              <w:t>。根据交城县多年气象资料，可知交城的主导风向为西南风，次主导风向为东北风。年平均风速</w:t>
            </w:r>
            <w:r>
              <w:rPr>
                <w:snapToGrid w:val="0"/>
                <w:kern w:val="0"/>
              </w:rPr>
              <w:t>1.3m/s</w:t>
            </w:r>
            <w:r>
              <w:rPr>
                <w:rFonts w:hint="eastAsia"/>
                <w:snapToGrid w:val="0"/>
                <w:kern w:val="0"/>
              </w:rPr>
              <w:t>，静风频率为</w:t>
            </w:r>
            <w:r>
              <w:rPr>
                <w:snapToGrid w:val="0"/>
                <w:kern w:val="0"/>
              </w:rPr>
              <w:t>50%</w:t>
            </w:r>
            <w:r>
              <w:rPr>
                <w:rFonts w:hint="eastAsia"/>
                <w:snapToGrid w:val="0"/>
                <w:kern w:val="0"/>
              </w:rPr>
              <w:t>。</w:t>
            </w:r>
          </w:p>
          <w:p>
            <w:pPr>
              <w:ind w:firstLine="0" w:firstLineChars="0"/>
              <w:rPr>
                <w:b/>
              </w:rPr>
            </w:pPr>
            <w:r>
              <w:rPr>
                <w:rFonts w:hint="eastAsia"/>
                <w:b/>
              </w:rPr>
              <w:t>4</w:t>
            </w:r>
            <w:r>
              <w:rPr>
                <w:rFonts w:hAnsi="宋体"/>
                <w:b/>
              </w:rPr>
              <w:t>、</w:t>
            </w:r>
            <w:r>
              <w:rPr>
                <w:rFonts w:hint="eastAsia" w:hAnsi="宋体"/>
                <w:b/>
              </w:rPr>
              <w:t>地表水</w:t>
            </w:r>
          </w:p>
          <w:p>
            <w:pPr>
              <w:ind w:firstLine="480"/>
              <w:rPr>
                <w:rFonts w:hAnsi="宋体"/>
              </w:rPr>
            </w:pPr>
            <w:r>
              <w:rPr>
                <w:rFonts w:hint="eastAsia" w:hAnsi="宋体"/>
              </w:rPr>
              <w:t>本区的河流属于黄河水系，汾河支流，主要有汾河、文峪河、磁窑河、白石南河等。</w:t>
            </w:r>
          </w:p>
          <w:p>
            <w:pPr>
              <w:ind w:firstLine="480"/>
              <w:rPr>
                <w:rFonts w:hAnsi="宋体"/>
              </w:rPr>
            </w:pPr>
            <w:r>
              <w:rPr>
                <w:rFonts w:hint="eastAsia" w:hAnsi="宋体"/>
              </w:rPr>
              <w:t>汾河：山西省境内最大的河流，是黄河主要支流之一。本市东部平川开渠引汾灌溉至今。汾河在本市境内共有东、西两条干渠。</w:t>
            </w:r>
          </w:p>
          <w:p>
            <w:pPr>
              <w:ind w:firstLine="480"/>
              <w:rPr>
                <w:rFonts w:hAnsi="宋体"/>
              </w:rPr>
            </w:pPr>
            <w:r>
              <w:rPr>
                <w:rFonts w:hint="eastAsia" w:hAnsi="宋体"/>
              </w:rPr>
              <w:t>文峪河：源于县境西北关帝山一带</w:t>
            </w:r>
            <w:r>
              <w:rPr>
                <w:rFonts w:hAnsi="宋体"/>
              </w:rPr>
              <w:t>27</w:t>
            </w:r>
            <w:r>
              <w:rPr>
                <w:rFonts w:hint="eastAsia" w:hAnsi="宋体"/>
              </w:rPr>
              <w:t>条河沟，为汾河支流。沿途有葫芦河、西谷水、二道川、三道川水，西冶河汇入。至西社镇南保村东即入文水县境，最终汇入汾河。河全长</w:t>
            </w:r>
            <w:r>
              <w:rPr>
                <w:rFonts w:hAnsi="宋体"/>
              </w:rPr>
              <w:t>155km</w:t>
            </w:r>
            <w:r>
              <w:rPr>
                <w:rFonts w:hint="eastAsia" w:hAnsi="宋体"/>
              </w:rPr>
              <w:t>，本县境内</w:t>
            </w:r>
            <w:r>
              <w:rPr>
                <w:rFonts w:hAnsi="宋体"/>
              </w:rPr>
              <w:t>91km</w:t>
            </w:r>
            <w:r>
              <w:rPr>
                <w:rFonts w:hint="eastAsia" w:hAnsi="宋体"/>
              </w:rPr>
              <w:t>，流域面积</w:t>
            </w:r>
            <w:r>
              <w:rPr>
                <w:rFonts w:hAnsi="宋体"/>
              </w:rPr>
              <w:t>709km</w:t>
            </w:r>
            <w:r>
              <w:rPr>
                <w:rFonts w:hAnsi="宋体"/>
                <w:vertAlign w:val="superscript"/>
              </w:rPr>
              <w:t>2</w:t>
            </w:r>
            <w:r>
              <w:rPr>
                <w:rFonts w:hint="eastAsia" w:hAnsi="宋体"/>
              </w:rPr>
              <w:t>。</w:t>
            </w:r>
          </w:p>
          <w:p>
            <w:pPr>
              <w:ind w:firstLine="480"/>
              <w:rPr>
                <w:rFonts w:hAnsi="宋体"/>
              </w:rPr>
            </w:pPr>
            <w:r>
              <w:rPr>
                <w:rFonts w:hint="eastAsia" w:hAnsi="宋体"/>
              </w:rPr>
              <w:t>磁窑河：属汾河支流，为季节性河流。县境内河长约</w:t>
            </w:r>
            <w:r>
              <w:rPr>
                <w:rFonts w:hAnsi="宋体"/>
              </w:rPr>
              <w:t>32.5km</w:t>
            </w:r>
            <w:r>
              <w:rPr>
                <w:rFonts w:hint="eastAsia" w:hAnsi="宋体"/>
              </w:rPr>
              <w:t>，流合</w:t>
            </w:r>
            <w:r>
              <w:rPr>
                <w:rFonts w:hAnsi="宋体"/>
              </w:rPr>
              <w:t>12</w:t>
            </w:r>
            <w:r>
              <w:rPr>
                <w:rFonts w:hint="eastAsia" w:hAnsi="宋体"/>
              </w:rPr>
              <w:t>条河沟之水，经寨上、岭底、城关、西营西南至石侯村合瓦窑水入文水境，孝义汇入汾河。</w:t>
            </w:r>
          </w:p>
          <w:p>
            <w:pPr>
              <w:ind w:firstLine="480"/>
              <w:rPr>
                <w:rFonts w:hAnsi="宋体"/>
              </w:rPr>
            </w:pPr>
            <w:r>
              <w:rPr>
                <w:rFonts w:hint="eastAsia" w:hAnsi="宋体"/>
              </w:rPr>
              <w:t>瓦窑河：发源于狐突山南部浑谷，在出境处汇入磁窑河。</w:t>
            </w:r>
          </w:p>
          <w:p>
            <w:pPr>
              <w:ind w:firstLine="480"/>
              <w:rPr>
                <w:rFonts w:hAnsi="宋体"/>
              </w:rPr>
            </w:pPr>
            <w:r>
              <w:rPr>
                <w:rFonts w:hint="eastAsia" w:hAnsi="宋体"/>
              </w:rPr>
              <w:t>白石南河：源于清徐县白石山，经仁义村出山分流西南，河流至县域王明寨村北合境内火山河，经郭家寨西，大辛、贾家寨中，至石候村南汇入磁窑河。河长</w:t>
            </w:r>
            <w:r>
              <w:rPr>
                <w:rFonts w:hAnsi="宋体"/>
              </w:rPr>
              <w:t>22km</w:t>
            </w:r>
            <w:r>
              <w:rPr>
                <w:rFonts w:hint="eastAsia" w:hAnsi="宋体"/>
              </w:rPr>
              <w:t>，县境内</w:t>
            </w:r>
            <w:r>
              <w:rPr>
                <w:rFonts w:hAnsi="宋体"/>
              </w:rPr>
              <w:t>13.787km</w:t>
            </w:r>
            <w:r>
              <w:rPr>
                <w:rFonts w:hint="eastAsia" w:hAnsi="宋体"/>
              </w:rPr>
              <w:t>。</w:t>
            </w:r>
          </w:p>
          <w:p>
            <w:pPr>
              <w:ind w:firstLine="480"/>
              <w:rPr>
                <w:spacing w:val="4"/>
              </w:rPr>
            </w:pPr>
            <w:r>
              <w:rPr>
                <w:rFonts w:hint="eastAsia" w:hAnsi="宋体"/>
              </w:rPr>
              <w:t>本项目拟建厂址所在区域经所在沟谷（</w:t>
            </w:r>
            <w:r>
              <w:rPr>
                <w:rFonts w:hint="eastAsia"/>
              </w:rPr>
              <w:t>西冶川河</w:t>
            </w:r>
            <w:r>
              <w:rPr>
                <w:rFonts w:hint="eastAsia" w:hAnsi="宋体"/>
              </w:rPr>
              <w:t>）汇入文峪河的距离约为</w:t>
            </w:r>
            <w:r>
              <w:rPr>
                <w:rFonts w:hAnsi="宋体"/>
              </w:rPr>
              <w:t>1</w:t>
            </w:r>
            <w:r>
              <w:rPr>
                <w:rFonts w:hint="eastAsia" w:hAnsi="宋体"/>
              </w:rPr>
              <w:t>7km，本项目与交城县地表水系关系图见附图6。</w:t>
            </w:r>
          </w:p>
          <w:p>
            <w:pPr>
              <w:ind w:firstLine="0" w:firstLineChars="0"/>
              <w:rPr>
                <w:b/>
              </w:rPr>
            </w:pPr>
            <w:r>
              <w:rPr>
                <w:rFonts w:hint="eastAsia"/>
                <w:b/>
              </w:rPr>
              <w:t>5</w:t>
            </w:r>
            <w:r>
              <w:rPr>
                <w:rFonts w:hAnsi="宋体"/>
                <w:b/>
              </w:rPr>
              <w:t>、</w:t>
            </w:r>
            <w:r>
              <w:rPr>
                <w:rFonts w:hint="eastAsia" w:hAnsi="宋体"/>
                <w:b/>
              </w:rPr>
              <w:t>地下水</w:t>
            </w:r>
          </w:p>
          <w:p>
            <w:pPr>
              <w:pStyle w:val="144"/>
              <w:spacing w:before="0" w:after="0"/>
              <w:ind w:firstLine="480"/>
            </w:pPr>
            <w:r>
              <w:rPr>
                <w:rFonts w:hint="eastAsia"/>
              </w:rPr>
              <w:t>交城县地下水类型根据含水层岩型和地下水水力特征可划分为：变质岩、岩浆岩类裂隙水，碳酸盐类裂隙岩溶水，碎屑岩类裂隙水和松散岩类孔隙水。</w:t>
            </w:r>
          </w:p>
          <w:p>
            <w:pPr>
              <w:pStyle w:val="144"/>
              <w:spacing w:before="0" w:after="0"/>
              <w:ind w:firstLine="480"/>
            </w:pPr>
            <w:r>
              <w:rPr>
                <w:rFonts w:hint="eastAsia"/>
              </w:rPr>
              <w:t>（一）变质岩、岩浆岩类裂隙水</w:t>
            </w:r>
          </w:p>
          <w:p>
            <w:pPr>
              <w:pStyle w:val="144"/>
              <w:spacing w:before="0" w:after="0"/>
              <w:ind w:firstLine="480"/>
            </w:pPr>
            <w:r>
              <w:rPr>
                <w:rFonts w:hint="eastAsia"/>
              </w:rPr>
              <w:t>变质岩、岩浆岩类裂隙水主要分布在县境西北部广大山区，岩性为太古界变质岩、花岗岩、中生界二长岩类，地下水主要赋存于风化裂隙之中，在局部构造裂隙发育部位是地下水有利储存场所。地下水接受大气降水入渗补给，主要受地形的控制，沿风化裂隙由高处向低处径流和运动，在有利的低洼地段以泉的形式排泄。具有含水层分布面积广泛、埋藏浅、厚度薄、富水性较差，但水资源总量较丰富的特点，是当地居民良好的饮用水源，也是文峪河基流的主要来源。区内植被发育，有利于大气降水的入渗补给。</w:t>
            </w:r>
          </w:p>
          <w:p>
            <w:pPr>
              <w:pStyle w:val="144"/>
              <w:spacing w:before="0" w:after="0"/>
              <w:ind w:firstLine="480"/>
            </w:pPr>
            <w:r>
              <w:rPr>
                <w:rFonts w:hint="eastAsia"/>
              </w:rPr>
              <w:t>分布于关帝山主峰南、东南侧，属文峪河水系的中西、东西葫芦川。由太古代混合花岗岩与斜长角闪片麻岩组成，海拔高程</w:t>
            </w:r>
            <w:r>
              <w:t>1200~2350m</w:t>
            </w:r>
            <w:r>
              <w:rPr>
                <w:rFonts w:hint="eastAsia"/>
              </w:rPr>
              <w:t>。</w:t>
            </w:r>
          </w:p>
          <w:p>
            <w:pPr>
              <w:pStyle w:val="144"/>
              <w:spacing w:before="0" w:after="0"/>
              <w:ind w:firstLine="480"/>
            </w:pPr>
            <w:r>
              <w:rPr>
                <w:rFonts w:hint="eastAsia"/>
              </w:rPr>
              <w:t>（二）碳酸盐岩类裂隙岩溶水</w:t>
            </w:r>
          </w:p>
          <w:p>
            <w:pPr>
              <w:pStyle w:val="144"/>
              <w:spacing w:before="0" w:after="0"/>
              <w:ind w:firstLine="480"/>
            </w:pPr>
            <w:r>
              <w:rPr>
                <w:rFonts w:hint="eastAsia"/>
              </w:rPr>
              <w:t>碳酸盐岩类裂隙岩溶水，主要分布于西冶河上游及西部近分水岭地带，在瓦窑河以东的边山断裂西北侧呈埋藏型。含水层岩型为寒武、奥陶系竹叶状灰岩、细状灰岩、中厚层灰岩、白云质灰岩等。其中，奥陶系上、下马家沟组中、上部厚层灰岩为主要含水层。在西冶河流域，地下水接受大气降水入渗补给和地表水渗漏补给，受构造控制，沿层间裂隙、构造裂隙及溶隙溶孔径流和运动，排流较为集中，排泄途径一是排向西冶泉，多年平均流量</w:t>
            </w:r>
            <w:r>
              <w:t>270L/S (</w:t>
            </w:r>
            <w:r>
              <w:rPr>
                <w:rFonts w:hint="eastAsia"/>
              </w:rPr>
              <w:t>近年来排泄量明显减少，目前泉流量约</w:t>
            </w:r>
            <w:r>
              <w:t>60L/S )</w:t>
            </w:r>
            <w:r>
              <w:rPr>
                <w:rFonts w:hint="eastAsia"/>
              </w:rPr>
              <w:t>；二是通过地下径流沿边沟</w:t>
            </w:r>
            <w:r>
              <w:t>-</w:t>
            </w:r>
            <w:r>
              <w:rPr>
                <w:rFonts w:hint="eastAsia"/>
              </w:rPr>
              <w:t>陈台</w:t>
            </w:r>
            <w:r>
              <w:t>-</w:t>
            </w:r>
            <w:r>
              <w:rPr>
                <w:rFonts w:hint="eastAsia"/>
              </w:rPr>
              <w:t>米家庄一线排向文水县境内；三是人工开采，上世纪</w:t>
            </w:r>
            <w:r>
              <w:t xml:space="preserve">70 </w:t>
            </w:r>
            <w:r>
              <w:rPr>
                <w:rFonts w:hint="eastAsia"/>
              </w:rPr>
              <w:t>年代以来，在西冶河流域内先后施工了</w:t>
            </w:r>
            <w:r>
              <w:t xml:space="preserve">7 </w:t>
            </w:r>
            <w:r>
              <w:rPr>
                <w:rFonts w:hint="eastAsia"/>
              </w:rPr>
              <w:t>眼开采井</w:t>
            </w:r>
            <w:r>
              <w:t>(</w:t>
            </w:r>
            <w:r>
              <w:rPr>
                <w:rFonts w:hint="eastAsia"/>
              </w:rPr>
              <w:t>有眼已报废</w:t>
            </w:r>
            <w:r>
              <w:t>)</w:t>
            </w:r>
            <w:r>
              <w:rPr>
                <w:rFonts w:hint="eastAsia"/>
              </w:rPr>
              <w:t>供当地人蓄用水和工业企业用水；在山区与盆地分界处的边山断裂带，地下水主要来自境外地下水的径流补给，赋存在边山断裂及其影响带，径流滞缓，富水性强，并具有由北东向西南逐渐减弱的趋势。地下水水质很差，目前开发利用较少。排泄途径主要是通过边山断裂在有利渗透地段侧向补给盆地区松散岩类孔隙水和部分人工开采。</w:t>
            </w:r>
          </w:p>
          <w:p>
            <w:pPr>
              <w:pStyle w:val="144"/>
              <w:spacing w:before="0" w:after="0"/>
              <w:ind w:firstLine="480"/>
            </w:pPr>
            <w:r>
              <w:rPr>
                <w:rFonts w:hint="eastAsia"/>
              </w:rPr>
              <w:t>（三）碎屑岩类裂隙水</w:t>
            </w:r>
          </w:p>
          <w:p>
            <w:pPr>
              <w:pStyle w:val="144"/>
              <w:spacing w:before="0" w:after="0"/>
              <w:ind w:firstLine="480"/>
            </w:pPr>
            <w:r>
              <w:rPr>
                <w:rFonts w:hint="eastAsia"/>
              </w:rPr>
              <w:t>碎屑岩类裂隙水主要分布于西冶河以东的北部山区，含水岩纽由石炭系砂岩、泥岩互层夹数层灰岩及煤层和二叠系、三叠系砂岩泥页岩互为夹层组成。砂岩、灰岩为含水层，泥岩、页岩为隔水层，石炭系底部泥页岩及铁铝岩为区域隔水层，形成了由含水层和相对隔水层互为夹层状多元含水结构。地下水接受大气降水补给，主要受构造的控制，沿层问裂隙和构造裂隙径流，地下水富水性一般较弱，地下水的排泄主要受构造和地形的控制，天然泉水一般出露于沟谷底部，构造破碎带往往是地下水有利储存场所和径流通道。该类地下水除供当地居民的饮用外，最终通过山前断裂补给平原区松散岩类孔隙水。</w:t>
            </w:r>
          </w:p>
          <w:p>
            <w:pPr>
              <w:pStyle w:val="144"/>
              <w:spacing w:before="0" w:after="0"/>
              <w:ind w:firstLine="480"/>
            </w:pPr>
            <w:r>
              <w:rPr>
                <w:rFonts w:hint="eastAsia"/>
              </w:rPr>
              <w:t>（四）松散岩类孔隙水</w:t>
            </w:r>
          </w:p>
          <w:p>
            <w:pPr>
              <w:pStyle w:val="144"/>
              <w:spacing w:before="0" w:after="0"/>
              <w:ind w:firstLine="480"/>
            </w:pPr>
            <w:r>
              <w:rPr>
                <w:rFonts w:hint="eastAsia"/>
              </w:rPr>
              <w:t>松散岩类孔隙水主要分布于盆地区，在山区较大的沟谷及现代河谷区呈条带状分布。</w:t>
            </w:r>
          </w:p>
          <w:p>
            <w:pPr>
              <w:pStyle w:val="144"/>
              <w:spacing w:before="0" w:after="0"/>
              <w:ind w:firstLine="480"/>
            </w:pPr>
            <w:r>
              <w:rPr>
                <w:rFonts w:hint="eastAsia"/>
              </w:rPr>
              <w:t>盆地区含水层岩性为第四系中、上更新统及全新统细、中、粗砂和砂砾石，由山前向盆地中心含水层颗粒逐渐变细，厚度变薄。地下水接受大气降水入渗补给，山区及境外地下水的侧向径流补给、地表水渗漏补给、灌溉回归补给；排泄途径主要是人工开采和侧向径流排泄。富水性具有由山前向盆地中心逐渐减弱的趋势。在山前倾斜平原区水质良好，冲积平原区水质较差。</w:t>
            </w:r>
          </w:p>
          <w:p>
            <w:pPr>
              <w:pStyle w:val="144"/>
              <w:spacing w:before="0" w:after="0"/>
              <w:ind w:firstLine="480"/>
            </w:pPr>
            <w:r>
              <w:rPr>
                <w:rFonts w:hint="eastAsia"/>
              </w:rPr>
              <w:t>山区河</w:t>
            </w:r>
            <w:r>
              <w:t>(</w:t>
            </w:r>
            <w:r>
              <w:rPr>
                <w:rFonts w:hint="eastAsia"/>
              </w:rPr>
              <w:t>沟</w:t>
            </w:r>
            <w:r>
              <w:t>)</w:t>
            </w:r>
            <w:r>
              <w:rPr>
                <w:rFonts w:hint="eastAsia"/>
              </w:rPr>
              <w:t>谷区含水层为第四系全新统和上更新统砂砾石，补给来源主要是基岩地下水侧向径流补给、地表水渗漏补给和大气降水入渗补给，排泄途径为侧向径流和人工开采。地下水富水性一般由河</w:t>
            </w:r>
            <w:r>
              <w:t>(</w:t>
            </w:r>
            <w:r>
              <w:rPr>
                <w:rFonts w:hint="eastAsia"/>
              </w:rPr>
              <w:t>沟</w:t>
            </w:r>
            <w:r>
              <w:t>)</w:t>
            </w:r>
            <w:r>
              <w:rPr>
                <w:rFonts w:hint="eastAsia"/>
              </w:rPr>
              <w:t>谷上游向下游逐渐增强，在未受地表水污染的情况下，水质良好。</w:t>
            </w:r>
          </w:p>
          <w:p>
            <w:pPr>
              <w:ind w:firstLine="480"/>
            </w:pPr>
            <w:r>
              <w:rPr>
                <w:rFonts w:hint="eastAsia"/>
              </w:rPr>
              <w:t>本项目建设厂址位于交城县水峪贯镇西冶村，所在地属于变质岩、岩浆岩类裂隙水。</w:t>
            </w:r>
          </w:p>
          <w:p>
            <w:pPr>
              <w:ind w:firstLine="0" w:firstLineChars="0"/>
              <w:rPr>
                <w:b/>
              </w:rPr>
            </w:pPr>
            <w:r>
              <w:rPr>
                <w:rFonts w:hint="eastAsia"/>
                <w:b/>
              </w:rPr>
              <w:t>6</w:t>
            </w:r>
            <w:r>
              <w:rPr>
                <w:rFonts w:hAnsi="宋体"/>
                <w:b/>
              </w:rPr>
              <w:t>、</w:t>
            </w:r>
            <w:r>
              <w:rPr>
                <w:rFonts w:hint="eastAsia" w:hAnsi="宋体"/>
                <w:b/>
              </w:rPr>
              <w:t>水源地</w:t>
            </w:r>
          </w:p>
          <w:p>
            <w:pPr>
              <w:ind w:firstLine="480"/>
              <w:rPr>
                <w:rFonts w:hAnsi="宋体"/>
              </w:rPr>
            </w:pPr>
            <w:r>
              <w:rPr>
                <w:rFonts w:hint="eastAsia" w:hAnsi="宋体"/>
              </w:rPr>
              <w:t>（</w:t>
            </w:r>
            <w:r>
              <w:rPr>
                <w:rFonts w:hAnsi="宋体"/>
              </w:rPr>
              <w:t>1</w:t>
            </w:r>
            <w:r>
              <w:rPr>
                <w:rFonts w:hint="eastAsia" w:hAnsi="宋体"/>
              </w:rPr>
              <w:t>）城镇水源地</w:t>
            </w:r>
          </w:p>
          <w:p>
            <w:pPr>
              <w:ind w:firstLine="480"/>
              <w:rPr>
                <w:rFonts w:hAnsi="宋体"/>
              </w:rPr>
            </w:pPr>
            <w:r>
              <w:rPr>
                <w:rFonts w:hint="eastAsia" w:hAnsi="宋体"/>
              </w:rPr>
              <w:t>交城县水资源较为缺乏，县域内生产、生活用水主要依靠地下水。交城县城供水由水厂和大营村深井供应，同时部分单位设有自备水井。一水厂位于县城西北</w:t>
            </w:r>
            <w:r>
              <w:rPr>
                <w:rFonts w:hAnsi="宋体"/>
              </w:rPr>
              <w:t>1.5km</w:t>
            </w:r>
            <w:r>
              <w:rPr>
                <w:rFonts w:hint="eastAsia" w:hAnsi="宋体"/>
              </w:rPr>
              <w:t>处的瓦窑村东瓦窑河洪积扇，有水井</w:t>
            </w:r>
            <w:r>
              <w:rPr>
                <w:rFonts w:hAnsi="宋体"/>
              </w:rPr>
              <w:t>3</w:t>
            </w:r>
            <w:r>
              <w:rPr>
                <w:rFonts w:hint="eastAsia" w:hAnsi="宋体"/>
              </w:rPr>
              <w:t>眼，井深</w:t>
            </w:r>
            <w:r>
              <w:rPr>
                <w:rFonts w:hAnsi="宋体"/>
              </w:rPr>
              <w:t>300-400m</w:t>
            </w:r>
            <w:r>
              <w:rPr>
                <w:rFonts w:hint="eastAsia" w:hAnsi="宋体"/>
              </w:rPr>
              <w:t>，出水量</w:t>
            </w:r>
            <w:r>
              <w:rPr>
                <w:rFonts w:hAnsi="宋体"/>
              </w:rPr>
              <w:t>600t/h</w:t>
            </w:r>
            <w:r>
              <w:rPr>
                <w:rFonts w:hint="eastAsia" w:hAnsi="宋体"/>
              </w:rPr>
              <w:t>；二水厂位于县城城区东北，有水井</w:t>
            </w:r>
            <w:r>
              <w:rPr>
                <w:rFonts w:hAnsi="宋体"/>
              </w:rPr>
              <w:t>1</w:t>
            </w:r>
            <w:r>
              <w:rPr>
                <w:rFonts w:hint="eastAsia" w:hAnsi="宋体"/>
              </w:rPr>
              <w:t>眼，井深</w:t>
            </w:r>
            <w:r>
              <w:rPr>
                <w:rFonts w:hAnsi="宋体"/>
              </w:rPr>
              <w:t>300-400m</w:t>
            </w:r>
            <w:r>
              <w:rPr>
                <w:rFonts w:hint="eastAsia" w:hAnsi="宋体"/>
              </w:rPr>
              <w:t>，出水量</w:t>
            </w:r>
            <w:r>
              <w:rPr>
                <w:rFonts w:hAnsi="宋体"/>
              </w:rPr>
              <w:t>40t/h</w:t>
            </w:r>
            <w:r>
              <w:rPr>
                <w:rFonts w:hint="eastAsia" w:hAnsi="宋体"/>
              </w:rPr>
              <w:t>。由于地表径流补给不足、地下水超采严重，地下水位急剧下降，水厂供水能力降低。</w:t>
            </w:r>
          </w:p>
          <w:p>
            <w:pPr>
              <w:ind w:firstLine="480"/>
              <w:rPr>
                <w:rFonts w:hAnsi="宋体"/>
              </w:rPr>
            </w:pPr>
            <w:r>
              <w:rPr>
                <w:rFonts w:hint="eastAsia" w:hAnsi="宋体"/>
              </w:rPr>
              <w:t>县城水源地主要为瓦窑河洪积扇水源地和大营水源地（文峪河洪积扇），供应大部分城市生活用水。</w:t>
            </w:r>
          </w:p>
          <w:p>
            <w:pPr>
              <w:ind w:firstLine="480"/>
              <w:rPr>
                <w:rFonts w:hAnsi="宋体"/>
              </w:rPr>
            </w:pPr>
            <w:r>
              <w:rPr>
                <w:rFonts w:hint="eastAsia" w:hAnsi="宋体"/>
              </w:rPr>
              <w:t>①瓦窑水源地：根据现有区域地质水文资料分析，该地地下水位深层水，主要靠地表径流（附近沟谷流水）及大气降水补给，地下水流向由北向南。水源井位于交城县城西边山地带瓦窑村东。本工程厂址位于瓦窑水源西北方向约31</w:t>
            </w:r>
            <w:r>
              <w:rPr>
                <w:rFonts w:hAnsi="宋体"/>
              </w:rPr>
              <w:t>km</w:t>
            </w:r>
            <w:r>
              <w:rPr>
                <w:rFonts w:hint="eastAsia" w:hAnsi="宋体"/>
              </w:rPr>
              <w:t>处，不在其保护区范围内。</w:t>
            </w:r>
          </w:p>
          <w:p>
            <w:pPr>
              <w:ind w:firstLine="480"/>
              <w:rPr>
                <w:rFonts w:hAnsi="宋体"/>
              </w:rPr>
            </w:pPr>
            <w:r>
              <w:rPr>
                <w:rFonts w:hint="eastAsia" w:hAnsi="宋体"/>
              </w:rPr>
              <w:t>②大营水源地：根据山西省地质工程勘察院</w:t>
            </w:r>
            <w:r>
              <w:rPr>
                <w:rFonts w:hAnsi="宋体"/>
              </w:rPr>
              <w:t>2004</w:t>
            </w:r>
            <w:r>
              <w:rPr>
                <w:rFonts w:hint="eastAsia" w:hAnsi="宋体"/>
              </w:rPr>
              <w:t>年《山西省交城县城市供水大营水源水文地质勘察报告》，大营水源地属于文峪河洪积扇，位于交城县城西南，主要靠地表径流及大气降水补给，水量较为充分，打有四眼深井供应城市用水。本工程厂址位于大营水源地西北侧约35</w:t>
            </w:r>
            <w:r>
              <w:rPr>
                <w:rFonts w:hAnsi="宋体"/>
              </w:rPr>
              <w:t>km</w:t>
            </w:r>
            <w:r>
              <w:rPr>
                <w:rFonts w:hint="eastAsia" w:hAnsi="宋体"/>
              </w:rPr>
              <w:t>处，不在其保护区范围内。</w:t>
            </w:r>
          </w:p>
          <w:p>
            <w:pPr>
              <w:ind w:firstLine="480"/>
            </w:pPr>
            <w:r>
              <w:rPr>
                <w:rFonts w:hint="eastAsia" w:hAnsi="宋体"/>
              </w:rPr>
              <w:t>③规划用水源：根据《山西省交城县县城总体规划》（</w:t>
            </w:r>
            <w:r>
              <w:rPr>
                <w:rFonts w:hAnsi="宋体"/>
              </w:rPr>
              <w:t>2004-2020</w:t>
            </w:r>
            <w:r>
              <w:rPr>
                <w:rFonts w:hint="eastAsia" w:hAnsi="宋体"/>
              </w:rPr>
              <w:t>），交城县将在岭底乡（位于交城县城西北约</w:t>
            </w:r>
            <w:r>
              <w:rPr>
                <w:rFonts w:hAnsi="宋体"/>
              </w:rPr>
              <w:t>3.6km</w:t>
            </w:r>
            <w:r>
              <w:rPr>
                <w:rFonts w:hint="eastAsia" w:hAnsi="宋体"/>
              </w:rPr>
              <w:t>）磁窑河上游修建水库一座，库容</w:t>
            </w:r>
            <w:r>
              <w:rPr>
                <w:rFonts w:hAnsi="宋体"/>
              </w:rPr>
              <w:t>1000</w:t>
            </w:r>
            <w:r>
              <w:rPr>
                <w:rFonts w:hint="eastAsia" w:hAnsi="宋体"/>
              </w:rPr>
              <w:t>万</w:t>
            </w:r>
            <w:r>
              <w:rPr>
                <w:rFonts w:hAnsi="宋体"/>
              </w:rPr>
              <w:t>m</w:t>
            </w:r>
            <w:r>
              <w:rPr>
                <w:rFonts w:hAnsi="宋体"/>
                <w:vertAlign w:val="superscript"/>
              </w:rPr>
              <w:t>3</w:t>
            </w:r>
            <w:r>
              <w:rPr>
                <w:rFonts w:hint="eastAsia" w:hAnsi="宋体"/>
              </w:rPr>
              <w:t>，作为城市供水规划水源。该水库建成后位于本工程厂址北东南方向约30</w:t>
            </w:r>
            <w:r>
              <w:rPr>
                <w:rFonts w:hAnsi="宋体"/>
              </w:rPr>
              <w:t>km</w:t>
            </w:r>
            <w:r>
              <w:rPr>
                <w:rFonts w:hint="eastAsia" w:hAnsi="宋体"/>
              </w:rPr>
              <w:t>，不在其保护区范围内。</w:t>
            </w:r>
          </w:p>
          <w:p>
            <w:pPr>
              <w:ind w:firstLine="480"/>
            </w:pPr>
            <w:r>
              <w:rPr>
                <w:rFonts w:hint="eastAsia"/>
              </w:rPr>
              <w:t>（</w:t>
            </w:r>
            <w:r>
              <w:t>2</w:t>
            </w:r>
            <w:r>
              <w:rPr>
                <w:rFonts w:hint="eastAsia"/>
              </w:rPr>
              <w:t>）乡镇水源地</w:t>
            </w:r>
          </w:p>
          <w:p>
            <w:pPr>
              <w:ind w:firstLine="480"/>
            </w:pPr>
            <w:r>
              <w:rPr>
                <w:rFonts w:hint="eastAsia"/>
              </w:rPr>
              <w:t>交城县现辖</w:t>
            </w:r>
            <w:r>
              <w:t>6</w:t>
            </w:r>
            <w:r>
              <w:rPr>
                <w:rFonts w:hint="eastAsia"/>
              </w:rPr>
              <w:t>镇</w:t>
            </w:r>
            <w:r>
              <w:t>4</w:t>
            </w:r>
            <w:r>
              <w:rPr>
                <w:rFonts w:hint="eastAsia"/>
              </w:rPr>
              <w:t>乡，乡镇集中式供水水源均为地下水型水源，供水井地下水类型为第四系孔隙水、裂隙水、承压孔隙水、松散岩类孔隙水、变质岩裂隙水。距离本项目较近的为水峪贯镇集中供水水源地。</w:t>
            </w:r>
          </w:p>
          <w:p>
            <w:pPr>
              <w:ind w:firstLine="480"/>
            </w:pPr>
            <w:r>
              <w:rPr>
                <w:rFonts w:hint="eastAsia"/>
              </w:rPr>
              <w:t>水峪贯镇集中供水水源地：水峪贯镇水源地供水井座落于水峪贯村西端西冶川河东岸的第四系河谷阶地上，地面标高1114m。水文地质单元为黄土高原丘陵地带，地下水流向由北向南，和地表河流流向基本一致，含水层属第四系砂土、砂、砾（含水层岩性大都为粗沙）孔隙潜水型。依据供水井钻孔柱状图得知，井深55m，静水位20m，动水位25m。一级保护区边界范围，以供水井为中心，半径R1为80m的圆形区域；二级保护区边界范围，以供水井为中心，半径R1为800m的圆形区域。</w:t>
            </w:r>
          </w:p>
          <w:p>
            <w:pPr>
              <w:ind w:firstLine="480"/>
            </w:pPr>
            <w:r>
              <w:rPr>
                <w:rFonts w:hint="eastAsia"/>
              </w:rPr>
              <w:t>本项目厂址距离水峪贯镇水源地二级保护区边界约</w:t>
            </w:r>
            <w:r>
              <w:t>2</w:t>
            </w:r>
            <w:r>
              <w:rPr>
                <w:rFonts w:hint="eastAsia"/>
              </w:rPr>
              <w:t>k</w:t>
            </w:r>
            <w:r>
              <w:t>m</w:t>
            </w:r>
            <w:r>
              <w:rPr>
                <w:rFonts w:hint="eastAsia"/>
              </w:rPr>
              <w:t>，位于水源地上游西北方向；本项目</w:t>
            </w:r>
            <w:r>
              <w:rPr>
                <w:rFonts w:hint="eastAsia" w:hAnsi="宋体"/>
              </w:rPr>
              <w:t>食堂餐余物及废水（0.24</w:t>
            </w:r>
            <w:r>
              <w:rPr>
                <w:bCs/>
              </w:rPr>
              <w:t>m</w:t>
            </w:r>
            <w:r>
              <w:rPr>
                <w:bCs/>
                <w:vertAlign w:val="superscript"/>
              </w:rPr>
              <w:t>3</w:t>
            </w:r>
            <w:r>
              <w:rPr>
                <w:bCs/>
              </w:rPr>
              <w:t>/d</w:t>
            </w:r>
            <w:r>
              <w:rPr>
                <w:rFonts w:hint="eastAsia" w:hAnsi="宋体"/>
              </w:rPr>
              <w:t>）经收集后外运处置；本项目无废水外排，对</w:t>
            </w:r>
            <w:r>
              <w:rPr>
                <w:rFonts w:hint="eastAsia"/>
              </w:rPr>
              <w:t>水峪贯镇水源地的影响较小。</w:t>
            </w:r>
          </w:p>
          <w:p>
            <w:pPr>
              <w:ind w:firstLine="480"/>
            </w:pPr>
            <w:r>
              <w:rPr>
                <w:rFonts w:hint="eastAsia"/>
              </w:rPr>
              <w:t>本项目与交城县水源地相对位置见附图7，水峪贯镇水源地保护区图见附图8。</w:t>
            </w:r>
          </w:p>
          <w:p>
            <w:pPr>
              <w:ind w:firstLine="0" w:firstLineChars="0"/>
              <w:rPr>
                <w:b/>
              </w:rPr>
            </w:pPr>
            <w:bookmarkStart w:id="6" w:name="_Toc271386605"/>
            <w:r>
              <w:rPr>
                <w:rFonts w:hint="eastAsia"/>
                <w:b/>
              </w:rPr>
              <w:t>7</w:t>
            </w:r>
            <w:r>
              <w:rPr>
                <w:rFonts w:hAnsi="宋体"/>
                <w:b/>
              </w:rPr>
              <w:t>、</w:t>
            </w:r>
            <w:r>
              <w:rPr>
                <w:rFonts w:hint="eastAsia" w:hAnsi="宋体"/>
                <w:b/>
              </w:rPr>
              <w:t>生态</w:t>
            </w:r>
          </w:p>
          <w:p>
            <w:pPr>
              <w:pStyle w:val="144"/>
              <w:spacing w:before="0" w:after="0"/>
              <w:ind w:firstLine="482"/>
              <w:rPr>
                <w:b/>
              </w:rPr>
            </w:pPr>
            <w:r>
              <w:rPr>
                <w:b/>
                <w:bCs/>
              </w:rPr>
              <w:t>（1）</w:t>
            </w:r>
            <w:r>
              <w:rPr>
                <w:rFonts w:hint="eastAsia"/>
                <w:b/>
                <w:bCs/>
              </w:rPr>
              <w:t>植物</w:t>
            </w:r>
          </w:p>
          <w:p>
            <w:pPr>
              <w:pStyle w:val="144"/>
              <w:spacing w:before="0" w:after="0"/>
              <w:ind w:firstLine="480"/>
            </w:pPr>
            <w:r>
              <w:rPr>
                <w:rFonts w:hint="eastAsia"/>
              </w:rPr>
              <w:t>交城县是全国重点生态保护地区，境内立体气候明显，植被覆盖率占全县面积的</w:t>
            </w:r>
            <w:r>
              <w:t>46</w:t>
            </w:r>
            <w:r>
              <w:rPr>
                <w:rFonts w:hint="eastAsia"/>
              </w:rPr>
              <w:t>％以上，拥有</w:t>
            </w:r>
            <w:r>
              <w:t>11.6</w:t>
            </w:r>
            <w:r>
              <w:rPr>
                <w:rFonts w:hint="eastAsia"/>
              </w:rPr>
              <w:t>万公顷宝贵的绿色资产和优越的自然生态环境，是山西省第二林业大县。全县珍稀物种荟萃，野生动植物资源丰富，寒性与温性草林齐全，落叶松、云杉集中，素以“华北落叶松之乡”而著称，生长有松、柏、杨、桦、槐、柳、枣、核桃等树种；党参、黄芪、猪苓、伏苓等野生药材</w:t>
            </w:r>
            <w:r>
              <w:t>200</w:t>
            </w:r>
            <w:r>
              <w:rPr>
                <w:rFonts w:hint="eastAsia"/>
              </w:rPr>
              <w:t>余种；灵芝、银盘、黑木耳、羊肚菌等罗生菌类</w:t>
            </w:r>
            <w:r>
              <w:t>10</w:t>
            </w:r>
            <w:r>
              <w:rPr>
                <w:rFonts w:hint="eastAsia"/>
              </w:rPr>
              <w:t>余种；沙棘、山桃、山杏等野生果类</w:t>
            </w:r>
            <w:r>
              <w:t>20</w:t>
            </w:r>
            <w:r>
              <w:rPr>
                <w:rFonts w:hint="eastAsia"/>
              </w:rPr>
              <w:t>余种生长其中。</w:t>
            </w:r>
          </w:p>
          <w:p>
            <w:pPr>
              <w:adjustRightInd w:val="0"/>
              <w:snapToGrid w:val="0"/>
              <w:ind w:firstLine="480"/>
              <w:rPr>
                <w:bCs/>
              </w:rPr>
            </w:pPr>
            <w:r>
              <w:rPr>
                <w:rFonts w:hint="eastAsia"/>
              </w:rPr>
              <w:t>评价区域内植被主要以人工种植的树木，未发现有国家保护级的植物分布。</w:t>
            </w:r>
          </w:p>
          <w:p>
            <w:pPr>
              <w:pStyle w:val="144"/>
              <w:spacing w:before="0" w:after="0"/>
              <w:ind w:firstLine="482"/>
              <w:rPr>
                <w:b/>
              </w:rPr>
            </w:pPr>
            <w:r>
              <w:rPr>
                <w:rFonts w:hint="eastAsia"/>
                <w:b/>
              </w:rPr>
              <w:t>（2）</w:t>
            </w:r>
            <w:bookmarkEnd w:id="6"/>
            <w:r>
              <w:rPr>
                <w:rFonts w:hint="eastAsia"/>
                <w:b/>
              </w:rPr>
              <w:t>动物</w:t>
            </w:r>
          </w:p>
          <w:p>
            <w:pPr>
              <w:pStyle w:val="144"/>
              <w:spacing w:before="0" w:after="0"/>
              <w:ind w:firstLine="480"/>
            </w:pPr>
            <w:r>
              <w:rPr>
                <w:rFonts w:hint="eastAsia"/>
              </w:rPr>
              <w:t>交城县西部山区庞泉沟一带是全国八大鸟类保护区之一，是世界珍禽、山西省省鸟褐马鸡及国家一二级保护动物黑颧、兔狲、金雕、猞猁、林麝、弥猴、金钱豹等数十种稀有动物繁衍栖息地。</w:t>
            </w:r>
          </w:p>
          <w:p>
            <w:pPr>
              <w:pStyle w:val="144"/>
              <w:spacing w:before="0" w:after="0"/>
              <w:ind w:firstLine="480"/>
            </w:pPr>
            <w:r>
              <w:rPr>
                <w:rFonts w:hint="eastAsia"/>
              </w:rPr>
              <w:t>厂址及周边区域只有一些常见的麻雀、喜鹊、野兔、山鸡、鼠类等，未见大型哺乳动物。</w:t>
            </w:r>
          </w:p>
          <w:p>
            <w:pPr>
              <w:pStyle w:val="144"/>
              <w:spacing w:before="0" w:after="0"/>
              <w:ind w:firstLine="482"/>
              <w:rPr>
                <w:b/>
              </w:rPr>
            </w:pPr>
            <w:r>
              <w:rPr>
                <w:rFonts w:hint="eastAsia"/>
                <w:b/>
              </w:rPr>
              <w:t>（3）土壤</w:t>
            </w:r>
          </w:p>
          <w:p>
            <w:pPr>
              <w:ind w:firstLine="480"/>
            </w:pPr>
            <w:r>
              <w:rPr>
                <w:rFonts w:hint="eastAsia"/>
              </w:rPr>
              <w:t>本县土壤总面积为</w:t>
            </w:r>
            <w:r>
              <w:t>2420395.4</w:t>
            </w:r>
            <w:r>
              <w:rPr>
                <w:rFonts w:hint="eastAsia"/>
              </w:rPr>
              <w:t>亩，占土地总面积的</w:t>
            </w:r>
            <w:r>
              <w:t>88.64%</w:t>
            </w:r>
            <w:r>
              <w:rPr>
                <w:rFonts w:hint="eastAsia"/>
              </w:rPr>
              <w:t>。按照土壤母质及构成的不同可分为</w:t>
            </w:r>
            <w:r>
              <w:t>4</w:t>
            </w:r>
            <w:r>
              <w:rPr>
                <w:rFonts w:hint="eastAsia"/>
              </w:rPr>
              <w:t>个土类、</w:t>
            </w:r>
            <w:r>
              <w:t>12</w:t>
            </w:r>
            <w:r>
              <w:rPr>
                <w:rFonts w:hint="eastAsia"/>
              </w:rPr>
              <w:t>个亚类、</w:t>
            </w:r>
            <w:r>
              <w:t>44</w:t>
            </w:r>
            <w:r>
              <w:rPr>
                <w:rFonts w:hint="eastAsia"/>
              </w:rPr>
              <w:t>个土属、</w:t>
            </w:r>
            <w:r>
              <w:t>97</w:t>
            </w:r>
            <w:r>
              <w:rPr>
                <w:rFonts w:hint="eastAsia"/>
              </w:rPr>
              <w:t>个土种。褐土类为县境主要土类，总面积为</w:t>
            </w:r>
            <w:r>
              <w:t>1834076.7</w:t>
            </w:r>
            <w:r>
              <w:rPr>
                <w:rFonts w:hint="eastAsia"/>
              </w:rPr>
              <w:t>亩，占总土地面积的</w:t>
            </w:r>
            <w:r>
              <w:t>75.776%</w:t>
            </w:r>
            <w:r>
              <w:rPr>
                <w:rFonts w:hint="eastAsia"/>
              </w:rPr>
              <w:t>；其次，山地棕壤类为</w:t>
            </w:r>
            <w:r>
              <w:t>447863.2</w:t>
            </w:r>
            <w:r>
              <w:rPr>
                <w:rFonts w:hint="eastAsia"/>
              </w:rPr>
              <w:t>亩，占总土地面积的</w:t>
            </w:r>
            <w:r>
              <w:t>18.5%</w:t>
            </w:r>
            <w:r>
              <w:rPr>
                <w:rFonts w:hint="eastAsia"/>
              </w:rPr>
              <w:t>；草甸土类为</w:t>
            </w:r>
            <w:r>
              <w:t>132686.8</w:t>
            </w:r>
            <w:r>
              <w:rPr>
                <w:rFonts w:hint="eastAsia"/>
              </w:rPr>
              <w:t>亩，占总土地面积的</w:t>
            </w:r>
            <w:r>
              <w:t>5.48%</w:t>
            </w:r>
            <w:r>
              <w:rPr>
                <w:rFonts w:hint="eastAsia"/>
              </w:rPr>
              <w:t>；山地草甸土最少，仅为</w:t>
            </w:r>
            <w:r>
              <w:t>5768.7</w:t>
            </w:r>
            <w:r>
              <w:rPr>
                <w:rFonts w:hint="eastAsia"/>
              </w:rPr>
              <w:t>亩，占总土地面积的</w:t>
            </w:r>
            <w:r>
              <w:t>0.24%</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0" w:hRule="atLeast"/>
        </w:trPr>
        <w:tc>
          <w:tcPr>
            <w:tcW w:w="8947" w:type="dxa"/>
          </w:tcPr>
          <w:p>
            <w:pPr>
              <w:ind w:firstLine="0" w:firstLineChars="0"/>
              <w:rPr>
                <w:b/>
                <w:bCs/>
              </w:rPr>
            </w:pPr>
            <w:r>
              <w:rPr>
                <w:rFonts w:hAnsi="宋体"/>
                <w:b/>
              </w:rPr>
              <w:t>区域发展规划和环境功能区划</w:t>
            </w:r>
            <w:r>
              <w:rPr>
                <w:rFonts w:hAnsi="宋体"/>
                <w:b/>
                <w:bCs/>
              </w:rPr>
              <w:t>：</w:t>
            </w:r>
          </w:p>
          <w:p>
            <w:pPr>
              <w:ind w:firstLine="0" w:firstLineChars="0"/>
              <w:rPr>
                <w:b/>
              </w:rPr>
            </w:pPr>
            <w:r>
              <w:rPr>
                <w:b/>
              </w:rPr>
              <w:t>1</w:t>
            </w:r>
            <w:r>
              <w:rPr>
                <w:rFonts w:hint="eastAsia" w:hAnsi="宋体"/>
                <w:b/>
              </w:rPr>
              <w:t>、交城县县城总体规划</w:t>
            </w:r>
          </w:p>
          <w:p>
            <w:pPr>
              <w:ind w:firstLine="480"/>
              <w:rPr>
                <w:szCs w:val="24"/>
              </w:rPr>
            </w:pPr>
            <w:r>
              <w:rPr>
                <w:rFonts w:hint="eastAsia"/>
                <w:szCs w:val="24"/>
              </w:rPr>
              <w:t>根据《山西省交城县城总体规划》（</w:t>
            </w:r>
            <w:r>
              <w:rPr>
                <w:szCs w:val="24"/>
              </w:rPr>
              <w:t>2004</w:t>
            </w:r>
            <w:r>
              <w:rPr>
                <w:rFonts w:hint="eastAsia"/>
                <w:szCs w:val="24"/>
              </w:rPr>
              <w:t>～</w:t>
            </w:r>
            <w:r>
              <w:rPr>
                <w:szCs w:val="24"/>
              </w:rPr>
              <w:t>2020</w:t>
            </w:r>
            <w:r>
              <w:rPr>
                <w:rFonts w:hint="eastAsia"/>
                <w:szCs w:val="24"/>
              </w:rPr>
              <w:t>），县城规划控制区包括天宁镇、夏家营镇、西营镇、洪相乡的大部分地区，总用地面积</w:t>
            </w:r>
            <w:r>
              <w:rPr>
                <w:szCs w:val="24"/>
              </w:rPr>
              <w:t>120km</w:t>
            </w:r>
            <w:r>
              <w:rPr>
                <w:szCs w:val="24"/>
                <w:vertAlign w:val="superscript"/>
              </w:rPr>
              <w:t>2</w:t>
            </w:r>
            <w:r>
              <w:rPr>
                <w:rFonts w:hint="eastAsia"/>
                <w:szCs w:val="24"/>
              </w:rPr>
              <w:t>，城市规划用地</w:t>
            </w:r>
            <w:r>
              <w:rPr>
                <w:szCs w:val="24"/>
              </w:rPr>
              <w:t>11.18km</w:t>
            </w:r>
            <w:r>
              <w:rPr>
                <w:szCs w:val="24"/>
                <w:vertAlign w:val="superscript"/>
              </w:rPr>
              <w:t>2</w:t>
            </w:r>
            <w:r>
              <w:rPr>
                <w:rFonts w:hint="eastAsia"/>
                <w:szCs w:val="24"/>
              </w:rPr>
              <w:t>。</w:t>
            </w:r>
          </w:p>
          <w:p>
            <w:pPr>
              <w:ind w:firstLine="480"/>
              <w:rPr>
                <w:szCs w:val="24"/>
              </w:rPr>
            </w:pPr>
            <w:r>
              <w:rPr>
                <w:rFonts w:hint="eastAsia"/>
                <w:szCs w:val="24"/>
              </w:rPr>
              <w:t>（</w:t>
            </w:r>
            <w:r>
              <w:rPr>
                <w:szCs w:val="24"/>
              </w:rPr>
              <w:t>1</w:t>
            </w:r>
            <w:r>
              <w:rPr>
                <w:rFonts w:hint="eastAsia"/>
                <w:szCs w:val="24"/>
              </w:rPr>
              <w:t>）发展方向：交城县总体发展方向为——调整第一产业，强化第二产业，积极发展第三产业，在发展效益型农业的基础上，以工业为主导，积极发展旅游产业。</w:t>
            </w:r>
          </w:p>
          <w:p>
            <w:pPr>
              <w:ind w:firstLine="480"/>
              <w:rPr>
                <w:szCs w:val="24"/>
              </w:rPr>
            </w:pPr>
            <w:r>
              <w:rPr>
                <w:rFonts w:hint="eastAsia"/>
                <w:szCs w:val="24"/>
              </w:rPr>
              <w:t>（</w:t>
            </w:r>
            <w:r>
              <w:rPr>
                <w:szCs w:val="24"/>
              </w:rPr>
              <w:t>2</w:t>
            </w:r>
            <w:r>
              <w:rPr>
                <w:rFonts w:hint="eastAsia"/>
                <w:szCs w:val="24"/>
              </w:rPr>
              <w:t>）产业空间布局：</w:t>
            </w:r>
          </w:p>
          <w:p>
            <w:pPr>
              <w:ind w:firstLine="480"/>
              <w:rPr>
                <w:szCs w:val="24"/>
              </w:rPr>
            </w:pPr>
            <w:r>
              <w:rPr>
                <w:szCs w:val="24"/>
              </w:rPr>
              <w:t>a.</w:t>
            </w:r>
            <w:r>
              <w:rPr>
                <w:rFonts w:hint="eastAsia"/>
                <w:szCs w:val="24"/>
              </w:rPr>
              <w:t>西北山区林牧经济区：包括庞泉沟镇、会立乡、东坡底乡，以畜牧业、林业为主，积极开发旅游资源；</w:t>
            </w:r>
          </w:p>
          <w:p>
            <w:pPr>
              <w:ind w:firstLine="480"/>
              <w:rPr>
                <w:szCs w:val="24"/>
              </w:rPr>
            </w:pPr>
            <w:r>
              <w:rPr>
                <w:szCs w:val="24"/>
              </w:rPr>
              <w:t>b.</w:t>
            </w:r>
            <w:r>
              <w:rPr>
                <w:rFonts w:hint="eastAsia"/>
                <w:szCs w:val="24"/>
              </w:rPr>
              <w:t>中部山区工矿经济区：包括水峪贯镇、西社镇，以铁、煤等资源的采掘加工及建材工业为主；</w:t>
            </w:r>
          </w:p>
          <w:p>
            <w:pPr>
              <w:ind w:firstLine="480"/>
              <w:rPr>
                <w:szCs w:val="24"/>
              </w:rPr>
            </w:pPr>
            <w:r>
              <w:rPr>
                <w:szCs w:val="24"/>
              </w:rPr>
              <w:t>c.</w:t>
            </w:r>
            <w:r>
              <w:rPr>
                <w:rFonts w:hint="eastAsia"/>
                <w:szCs w:val="24"/>
              </w:rPr>
              <w:t>东部山区林果牧经济区：岭底乡，以发展林业、牧业、经济林为主；</w:t>
            </w:r>
          </w:p>
          <w:p>
            <w:pPr>
              <w:ind w:firstLine="480"/>
              <w:rPr>
                <w:szCs w:val="24"/>
              </w:rPr>
            </w:pPr>
            <w:r>
              <w:rPr>
                <w:szCs w:val="24"/>
              </w:rPr>
              <w:t>d.</w:t>
            </w:r>
            <w:r>
              <w:rPr>
                <w:rFonts w:hint="eastAsia"/>
                <w:szCs w:val="24"/>
              </w:rPr>
              <w:t>平川综合经济区：包括洪相乡、西营镇、天宁镇、夏家营镇，以城镇工矿业、颓郊都市型农业及旅游业为主。</w:t>
            </w:r>
          </w:p>
          <w:p>
            <w:pPr>
              <w:ind w:firstLine="480"/>
              <w:rPr>
                <w:szCs w:val="24"/>
              </w:rPr>
            </w:pPr>
            <w:r>
              <w:rPr>
                <w:rFonts w:hint="eastAsia"/>
                <w:szCs w:val="24"/>
              </w:rPr>
              <w:t>（</w:t>
            </w:r>
            <w:r>
              <w:rPr>
                <w:szCs w:val="24"/>
              </w:rPr>
              <w:t>3</w:t>
            </w:r>
            <w:r>
              <w:rPr>
                <w:rFonts w:hint="eastAsia"/>
                <w:szCs w:val="24"/>
              </w:rPr>
              <w:t>）城镇职能规划：</w:t>
            </w:r>
          </w:p>
          <w:p>
            <w:pPr>
              <w:ind w:firstLine="480"/>
              <w:rPr>
                <w:szCs w:val="24"/>
              </w:rPr>
            </w:pPr>
            <w:r>
              <w:rPr>
                <w:rFonts w:hint="eastAsia"/>
                <w:szCs w:val="24"/>
              </w:rPr>
              <w:t>天宁镇：以商贸服务也为主，具有旅游服务功能的综合性城镇；</w:t>
            </w:r>
          </w:p>
          <w:p>
            <w:pPr>
              <w:ind w:firstLine="480"/>
              <w:rPr>
                <w:szCs w:val="24"/>
              </w:rPr>
            </w:pPr>
            <w:r>
              <w:rPr>
                <w:rFonts w:hint="eastAsia"/>
                <w:szCs w:val="24"/>
              </w:rPr>
              <w:t>夏家营镇：以煤化工、冶金、建材为主的工业型城镇；</w:t>
            </w:r>
          </w:p>
          <w:p>
            <w:pPr>
              <w:ind w:firstLine="480"/>
              <w:rPr>
                <w:szCs w:val="24"/>
              </w:rPr>
            </w:pPr>
            <w:r>
              <w:rPr>
                <w:rFonts w:hint="eastAsia"/>
                <w:szCs w:val="24"/>
              </w:rPr>
              <w:t>西社镇：以建材工业和商贸业为主的工业型城镇；</w:t>
            </w:r>
          </w:p>
          <w:p>
            <w:pPr>
              <w:ind w:firstLine="480"/>
              <w:rPr>
                <w:szCs w:val="24"/>
              </w:rPr>
            </w:pPr>
            <w:r>
              <w:rPr>
                <w:rFonts w:hint="eastAsia"/>
                <w:szCs w:val="24"/>
              </w:rPr>
              <w:t>西营镇：以农副产品加工为主的城镇；</w:t>
            </w:r>
          </w:p>
          <w:p>
            <w:pPr>
              <w:ind w:firstLine="480"/>
              <w:rPr>
                <w:szCs w:val="24"/>
              </w:rPr>
            </w:pPr>
            <w:r>
              <w:rPr>
                <w:rFonts w:hint="eastAsia"/>
                <w:szCs w:val="24"/>
              </w:rPr>
              <w:t>庞泉沟镇：以生态观光为主的城镇。</w:t>
            </w:r>
          </w:p>
          <w:p>
            <w:pPr>
              <w:ind w:firstLine="480"/>
              <w:rPr>
                <w:b/>
              </w:rPr>
            </w:pPr>
            <w:r>
              <w:rPr>
                <w:rFonts w:hint="eastAsia" w:ascii="华文中宋" w:hAnsi="华文中宋"/>
              </w:rPr>
              <w:t>本项目建设厂址位于</w:t>
            </w:r>
            <w:r>
              <w:rPr>
                <w:rFonts w:hint="eastAsia"/>
              </w:rPr>
              <w:t>交城县水峪贯镇西冶村，项目的建设与</w:t>
            </w:r>
            <w:r>
              <w:rPr>
                <w:rFonts w:hint="eastAsia"/>
                <w:szCs w:val="24"/>
              </w:rPr>
              <w:t>中部山区工矿经济区以铁、煤等资源的采掘加工及建材工业为主的产业空间布局相符</w:t>
            </w:r>
            <w:r>
              <w:rPr>
                <w:rFonts w:hint="eastAsia"/>
              </w:rPr>
              <w:t>。</w:t>
            </w:r>
          </w:p>
          <w:p>
            <w:pPr>
              <w:ind w:firstLine="0" w:firstLineChars="0"/>
              <w:rPr>
                <w:b/>
              </w:rPr>
            </w:pPr>
            <w:r>
              <w:rPr>
                <w:rFonts w:hint="eastAsia"/>
                <w:b/>
              </w:rPr>
              <w:t>2、环境功能区划</w:t>
            </w:r>
          </w:p>
          <w:p>
            <w:pPr>
              <w:ind w:firstLine="480"/>
              <w:rPr>
                <w:bCs/>
              </w:rPr>
            </w:pPr>
            <w:r>
              <w:rPr>
                <w:rFonts w:hint="eastAsia"/>
              </w:rPr>
              <w:t>本项目拟建厂址位于交城县水峪贯镇西冶村东南约4</w:t>
            </w:r>
            <w:r>
              <w:t>00m</w:t>
            </w:r>
            <w:r>
              <w:rPr>
                <w:rFonts w:hint="eastAsia"/>
              </w:rPr>
              <w:t>处，确定的环境功能区划为：</w:t>
            </w:r>
          </w:p>
          <w:p>
            <w:pPr>
              <w:ind w:firstLine="482"/>
              <w:rPr>
                <w:b/>
                <w:bCs/>
              </w:rPr>
            </w:pPr>
            <w:r>
              <w:rPr>
                <w:rFonts w:hint="eastAsia"/>
                <w:b/>
                <w:bCs/>
              </w:rPr>
              <w:t>（1）</w:t>
            </w:r>
            <w:r>
              <w:rPr>
                <w:b/>
                <w:bCs/>
              </w:rPr>
              <w:t>环境空气</w:t>
            </w:r>
          </w:p>
          <w:p>
            <w:pPr>
              <w:ind w:firstLine="480"/>
              <w:rPr>
                <w:bCs/>
              </w:rPr>
            </w:pPr>
            <w:r>
              <w:rPr>
                <w:rFonts w:hint="eastAsia"/>
                <w:bCs/>
              </w:rPr>
              <w:t>项目厂址处于工业、农业、商业、居住混合区，根据《环境空气质量标准》（GB3095-2012）中的环境空气质量功能区分类规定，评价区域属于二类区，结合本区域的具体情况，评价区域环境空气质量执行《环境空气质量标准》（GB3095-2012）中二级标准。</w:t>
            </w:r>
          </w:p>
          <w:p>
            <w:pPr>
              <w:ind w:firstLine="482"/>
              <w:rPr>
                <w:b/>
              </w:rPr>
            </w:pPr>
            <w:bookmarkStart w:id="7" w:name="_Toc105460700"/>
            <w:r>
              <w:rPr>
                <w:rFonts w:hint="eastAsia"/>
                <w:b/>
              </w:rPr>
              <w:t>（2）</w:t>
            </w:r>
            <w:bookmarkEnd w:id="7"/>
            <w:r>
              <w:rPr>
                <w:rFonts w:hint="eastAsia"/>
                <w:b/>
              </w:rPr>
              <w:t>地表水</w:t>
            </w:r>
          </w:p>
          <w:p>
            <w:pPr>
              <w:ind w:firstLine="480"/>
            </w:pPr>
            <w:r>
              <w:t>根据《山西省地表水水环境功能区划》（DB14/67-2019），</w:t>
            </w:r>
            <w:r>
              <w:rPr>
                <w:rFonts w:hint="eastAsia"/>
              </w:rPr>
              <w:t>文峪</w:t>
            </w:r>
            <w:r>
              <w:t>河（</w:t>
            </w:r>
            <w:r>
              <w:rPr>
                <w:rFonts w:hint="eastAsia"/>
              </w:rPr>
              <w:t>长立</w:t>
            </w:r>
            <w:r>
              <w:t>—</w:t>
            </w:r>
            <w:r>
              <w:rPr>
                <w:rFonts w:hint="eastAsia"/>
              </w:rPr>
              <w:t>文峪</w:t>
            </w:r>
            <w:r>
              <w:t>河</w:t>
            </w:r>
            <w:r>
              <w:rPr>
                <w:rFonts w:hint="eastAsia"/>
              </w:rPr>
              <w:t>水库入口</w:t>
            </w:r>
            <w:r>
              <w:t>段）水环境功能为</w:t>
            </w:r>
            <w:r>
              <w:rPr>
                <w:rFonts w:hint="eastAsia"/>
              </w:rPr>
              <w:t>保留区水源</w:t>
            </w:r>
            <w:r>
              <w:t>保护，执行《地表水环境质量标准》（GB3838-2002）中</w:t>
            </w:r>
            <w:r>
              <w:rPr>
                <w:rFonts w:hint="eastAsia"/>
                <w:szCs w:val="24"/>
              </w:rPr>
              <w:t>III</w:t>
            </w:r>
            <w:r>
              <w:t>类水质要求。</w:t>
            </w:r>
          </w:p>
          <w:p>
            <w:pPr>
              <w:ind w:firstLine="482"/>
              <w:rPr>
                <w:b/>
              </w:rPr>
            </w:pPr>
            <w:r>
              <w:rPr>
                <w:rFonts w:hint="eastAsia"/>
                <w:b/>
              </w:rPr>
              <w:t>（3）地下水</w:t>
            </w:r>
          </w:p>
          <w:p>
            <w:pPr>
              <w:ind w:firstLine="480"/>
            </w:pPr>
            <w:r>
              <w:rPr>
                <w:szCs w:val="24"/>
              </w:rPr>
              <w:t>根据</w:t>
            </w:r>
            <w:bookmarkStart w:id="8" w:name="_Hlk519066941"/>
            <w:r>
              <w:rPr>
                <w:rFonts w:hint="eastAsia"/>
                <w:szCs w:val="24"/>
              </w:rPr>
              <w:t>《地下水质量标准》（GB/T14848-2017）</w:t>
            </w:r>
            <w:bookmarkEnd w:id="8"/>
            <w:r>
              <w:rPr>
                <w:szCs w:val="24"/>
              </w:rPr>
              <w:t>中地下水的分类要求：</w:t>
            </w:r>
            <w:r>
              <w:rPr>
                <w:rFonts w:hint="eastAsia"/>
                <w:szCs w:val="24"/>
              </w:rPr>
              <w:t>“地下水化学组分含量中等，以G</w:t>
            </w:r>
            <w:r>
              <w:rPr>
                <w:szCs w:val="24"/>
              </w:rPr>
              <w:t>B5749-2006</w:t>
            </w:r>
            <w:r>
              <w:rPr>
                <w:rFonts w:hint="eastAsia"/>
                <w:szCs w:val="24"/>
              </w:rPr>
              <w:t>为依据，主要适用于集中式生活饮用水水源及工农业用水”</w:t>
            </w:r>
            <w:r>
              <w:rPr>
                <w:szCs w:val="24"/>
              </w:rPr>
              <w:t>，本区域地下水应执行</w:t>
            </w:r>
            <w:r>
              <w:rPr>
                <w:rFonts w:hint="eastAsia"/>
                <w:szCs w:val="24"/>
              </w:rPr>
              <w:t>III</w:t>
            </w:r>
            <w:r>
              <w:rPr>
                <w:szCs w:val="24"/>
              </w:rPr>
              <w:t>类标准。</w:t>
            </w:r>
          </w:p>
          <w:p>
            <w:pPr>
              <w:ind w:firstLine="482"/>
              <w:rPr>
                <w:b/>
              </w:rPr>
            </w:pPr>
            <w:bookmarkStart w:id="9" w:name="_Toc105460701"/>
            <w:r>
              <w:rPr>
                <w:rFonts w:hint="eastAsia"/>
                <w:b/>
              </w:rPr>
              <w:t>（4）</w:t>
            </w:r>
            <w:r>
              <w:rPr>
                <w:b/>
              </w:rPr>
              <w:t>声环境</w:t>
            </w:r>
            <w:bookmarkEnd w:id="9"/>
          </w:p>
          <w:p>
            <w:pPr>
              <w:ind w:firstLine="480"/>
              <w:rPr>
                <w:rFonts w:hAnsi="宋体"/>
              </w:rPr>
            </w:pPr>
            <w:r>
              <w:rPr>
                <w:szCs w:val="24"/>
              </w:rPr>
              <w:t>根据《声环境质量标准》（GB3096-2008）和《环境影响评价技术导则 声环境》（HJ2.4-2009）规定，本</w:t>
            </w:r>
            <w:r>
              <w:rPr>
                <w:rFonts w:hint="eastAsia"/>
                <w:szCs w:val="24"/>
              </w:rPr>
              <w:t>项目周边村庄</w:t>
            </w:r>
            <w:r>
              <w:rPr>
                <w:szCs w:val="24"/>
              </w:rPr>
              <w:t>属于</w:t>
            </w:r>
            <w:r>
              <w:rPr>
                <w:rFonts w:hint="eastAsia"/>
                <w:szCs w:val="24"/>
              </w:rPr>
              <w:t>1</w:t>
            </w:r>
            <w:r>
              <w:rPr>
                <w:szCs w:val="24"/>
              </w:rPr>
              <w:t>类</w:t>
            </w:r>
            <w:r>
              <w:rPr>
                <w:rFonts w:hint="eastAsia"/>
                <w:szCs w:val="24"/>
              </w:rPr>
              <w:t>声环境功能</w:t>
            </w:r>
            <w:r>
              <w:rPr>
                <w:szCs w:val="24"/>
              </w:rPr>
              <w:t>区，执行《声环境质量标准》（GB3096-2008）</w:t>
            </w:r>
            <w:r>
              <w:rPr>
                <w:rFonts w:hint="eastAsia"/>
                <w:szCs w:val="24"/>
              </w:rPr>
              <w:t>1</w:t>
            </w:r>
            <w:r>
              <w:rPr>
                <w:szCs w:val="24"/>
              </w:rPr>
              <w:t>类标准</w:t>
            </w:r>
            <w:r>
              <w:rPr>
                <w:rFonts w:hint="eastAsia"/>
                <w:szCs w:val="24"/>
              </w:rPr>
              <w:t>。</w:t>
            </w:r>
          </w:p>
          <w:p>
            <w:pPr>
              <w:ind w:firstLine="482"/>
              <w:rPr>
                <w:b/>
                <w:szCs w:val="24"/>
              </w:rPr>
            </w:pPr>
            <w:r>
              <w:rPr>
                <w:rFonts w:hint="eastAsia"/>
                <w:b/>
                <w:szCs w:val="24"/>
              </w:rPr>
              <w:t>（</w:t>
            </w:r>
            <w:r>
              <w:rPr>
                <w:b/>
                <w:szCs w:val="24"/>
              </w:rPr>
              <w:t>5</w:t>
            </w:r>
            <w:r>
              <w:rPr>
                <w:rFonts w:hint="eastAsia"/>
                <w:b/>
                <w:szCs w:val="24"/>
              </w:rPr>
              <w:t>）土壤</w:t>
            </w:r>
          </w:p>
          <w:p>
            <w:pPr>
              <w:ind w:firstLine="480"/>
            </w:pPr>
            <w:r>
              <w:rPr>
                <w:rFonts w:hint="eastAsia"/>
                <w:szCs w:val="24"/>
              </w:rPr>
              <w:t>根据《土壤环境质量</w:t>
            </w:r>
            <w:r>
              <w:rPr>
                <w:szCs w:val="24"/>
              </w:rPr>
              <w:t xml:space="preserve"> </w:t>
            </w:r>
            <w:r>
              <w:rPr>
                <w:rFonts w:hint="eastAsia"/>
                <w:szCs w:val="24"/>
              </w:rPr>
              <w:t>建设用地土壤污染风险管控标准》（试行）中建设用地分类，本项目属于第二类用地，执行第二类用地建设用地土壤污染风险筛选值和管制值。</w:t>
            </w: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pStyle w:val="142"/>
            </w:pPr>
          </w:p>
          <w:p>
            <w:pPr>
              <w:pStyle w:val="142"/>
            </w:pPr>
          </w:p>
          <w:p>
            <w:pPr>
              <w:pStyle w:val="142"/>
            </w:pPr>
          </w:p>
          <w:p>
            <w:pPr>
              <w:pStyle w:val="142"/>
            </w:pPr>
          </w:p>
          <w:p>
            <w:pPr>
              <w:pStyle w:val="142"/>
            </w:pPr>
          </w:p>
          <w:p>
            <w:pPr>
              <w:pStyle w:val="142"/>
            </w:pPr>
          </w:p>
        </w:tc>
      </w:tr>
    </w:tbl>
    <w:p>
      <w:pPr>
        <w:ind w:firstLine="480"/>
        <w:rPr>
          <w:bCs/>
        </w:rPr>
        <w:sectPr>
          <w:footerReference r:id="rId11" w:type="default"/>
          <w:pgSz w:w="11907" w:h="16840"/>
          <w:pgMar w:top="1418" w:right="1361" w:bottom="1418" w:left="1474" w:header="851" w:footer="992" w:gutter="0"/>
          <w:pgNumType w:start="1"/>
          <w:cols w:space="720" w:num="1"/>
          <w:docGrid w:linePitch="312" w:charSpace="0"/>
        </w:sectPr>
      </w:pPr>
    </w:p>
    <w:p>
      <w:pPr>
        <w:ind w:firstLine="0" w:firstLineChars="0"/>
        <w:rPr>
          <w:rFonts w:eastAsia="黑体"/>
          <w:bCs/>
        </w:rPr>
      </w:pPr>
      <w:r>
        <w:rPr>
          <w:rFonts w:eastAsia="黑体"/>
          <w:bCs/>
        </w:rPr>
        <w:t>环境质量状况</w:t>
      </w:r>
    </w:p>
    <w:tbl>
      <w:tblPr>
        <w:tblStyle w:val="7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9" w:hRule="atLeast"/>
        </w:trPr>
        <w:tc>
          <w:tcPr>
            <w:tcW w:w="8942" w:type="dxa"/>
          </w:tcPr>
          <w:p>
            <w:pPr>
              <w:ind w:firstLine="0" w:firstLineChars="0"/>
              <w:rPr>
                <w:b/>
                <w:bCs/>
              </w:rPr>
            </w:pPr>
            <w:r>
              <w:rPr>
                <w:rFonts w:hAnsi="宋体"/>
                <w:b/>
                <w:bCs/>
              </w:rPr>
              <w:t>建设项目所在地区域环境质量现状及主要环境问题（环境空气、地面水、地下水、声环境、生态环境等）</w:t>
            </w:r>
          </w:p>
          <w:p>
            <w:pPr>
              <w:ind w:firstLine="0" w:firstLineChars="0"/>
              <w:rPr>
                <w:b/>
              </w:rPr>
            </w:pPr>
            <w:r>
              <w:rPr>
                <w:rFonts w:hint="eastAsia" w:hAnsi="宋体"/>
                <w:b/>
              </w:rPr>
              <w:t>1</w:t>
            </w:r>
            <w:r>
              <w:rPr>
                <w:rFonts w:hAnsi="宋体"/>
                <w:b/>
              </w:rPr>
              <w:t>、环境空气质量现状</w:t>
            </w:r>
          </w:p>
          <w:p>
            <w:pPr>
              <w:spacing w:line="460" w:lineRule="exact"/>
              <w:ind w:firstLine="480"/>
              <w:rPr>
                <w:bCs/>
                <w:szCs w:val="24"/>
              </w:rPr>
            </w:pPr>
            <w:r>
              <w:rPr>
                <w:rFonts w:hint="eastAsia"/>
                <w:bCs/>
                <w:szCs w:val="24"/>
              </w:rPr>
              <w:t>（1）区域达标情况</w:t>
            </w:r>
          </w:p>
          <w:p>
            <w:pPr>
              <w:spacing w:line="460" w:lineRule="exact"/>
              <w:ind w:firstLine="480"/>
            </w:pPr>
            <w:r>
              <w:rPr>
                <w:rFonts w:hint="eastAsia"/>
                <w:bCs/>
                <w:szCs w:val="24"/>
              </w:rPr>
              <w:t>根据山西省大气污染防治工作领导组办公室发布的《2</w:t>
            </w:r>
            <w:r>
              <w:rPr>
                <w:bCs/>
                <w:szCs w:val="24"/>
              </w:rPr>
              <w:t>019</w:t>
            </w:r>
            <w:r>
              <w:rPr>
                <w:rFonts w:hint="eastAsia"/>
                <w:bCs/>
                <w:szCs w:val="24"/>
              </w:rPr>
              <w:t>年县（市、区）环境空气质量状况通报》（2</w:t>
            </w:r>
            <w:r>
              <w:rPr>
                <w:bCs/>
                <w:szCs w:val="24"/>
              </w:rPr>
              <w:t>020</w:t>
            </w:r>
            <w:r>
              <w:rPr>
                <w:rFonts w:hint="eastAsia"/>
                <w:bCs/>
                <w:szCs w:val="24"/>
              </w:rPr>
              <w:t>年1月2</w:t>
            </w:r>
            <w:r>
              <w:rPr>
                <w:bCs/>
                <w:szCs w:val="24"/>
              </w:rPr>
              <w:t>0</w:t>
            </w:r>
            <w:r>
              <w:rPr>
                <w:rFonts w:hint="eastAsia"/>
                <w:bCs/>
                <w:szCs w:val="24"/>
              </w:rPr>
              <w:t>日），交城县2</w:t>
            </w:r>
            <w:r>
              <w:rPr>
                <w:bCs/>
                <w:szCs w:val="24"/>
              </w:rPr>
              <w:t>019</w:t>
            </w:r>
            <w:r>
              <w:rPr>
                <w:rFonts w:hint="eastAsia"/>
                <w:bCs/>
                <w:szCs w:val="24"/>
              </w:rPr>
              <w:t>年度环境空气质量状况及同比变化情况见下表。</w:t>
            </w:r>
          </w:p>
          <w:p>
            <w:pPr>
              <w:ind w:firstLine="0" w:firstLineChars="0"/>
              <w:jc w:val="center"/>
              <w:rPr>
                <w:rFonts w:ascii="黑体" w:hAnsi="黑体" w:eastAsia="黑体"/>
                <w:bCs/>
              </w:rPr>
            </w:pPr>
            <w:r>
              <w:rPr>
                <w:rFonts w:hint="eastAsia" w:ascii="黑体" w:hAnsi="黑体" w:eastAsia="黑体"/>
                <w:bCs/>
              </w:rPr>
              <w:t>表</w:t>
            </w:r>
            <w:r>
              <w:rPr>
                <w:rFonts w:ascii="黑体" w:hAnsi="黑体" w:eastAsia="黑体"/>
                <w:bCs/>
              </w:rPr>
              <w:t>15</w:t>
            </w:r>
            <w:r>
              <w:rPr>
                <w:rFonts w:hint="eastAsia" w:ascii="黑体" w:hAnsi="黑体" w:eastAsia="黑体"/>
                <w:bCs/>
              </w:rPr>
              <w:t xml:space="preserve">  交城县201</w:t>
            </w:r>
            <w:r>
              <w:rPr>
                <w:rFonts w:ascii="黑体" w:hAnsi="黑体" w:eastAsia="黑体"/>
                <w:bCs/>
              </w:rPr>
              <w:t>9</w:t>
            </w:r>
            <w:r>
              <w:rPr>
                <w:rFonts w:hint="eastAsia" w:ascii="黑体" w:hAnsi="黑体" w:eastAsia="黑体"/>
                <w:bCs/>
              </w:rPr>
              <w:t>年环境空气质量例行监测统计结果</w:t>
            </w:r>
          </w:p>
          <w:tbl>
            <w:tblPr>
              <w:tblStyle w:val="70"/>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36"/>
              <w:gridCol w:w="1689"/>
              <w:gridCol w:w="1237"/>
              <w:gridCol w:w="1237"/>
              <w:gridCol w:w="1237"/>
              <w:gridCol w:w="1237"/>
              <w:gridCol w:w="123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0" w:type="pct"/>
                  <w:vAlign w:val="center"/>
                </w:tcPr>
                <w:p>
                  <w:pPr>
                    <w:spacing w:line="240" w:lineRule="auto"/>
                    <w:ind w:firstLine="0" w:firstLineChars="0"/>
                    <w:jc w:val="center"/>
                    <w:rPr>
                      <w:b/>
                      <w:sz w:val="21"/>
                      <w:szCs w:val="21"/>
                    </w:rPr>
                  </w:pPr>
                  <w:r>
                    <w:rPr>
                      <w:rFonts w:hint="eastAsia"/>
                      <w:b/>
                      <w:sz w:val="21"/>
                      <w:szCs w:val="21"/>
                    </w:rPr>
                    <w:t>污染物</w:t>
                  </w:r>
                </w:p>
              </w:tc>
              <w:tc>
                <w:tcPr>
                  <w:tcW w:w="969" w:type="pct"/>
                  <w:vAlign w:val="center"/>
                </w:tcPr>
                <w:p>
                  <w:pPr>
                    <w:spacing w:line="240" w:lineRule="auto"/>
                    <w:ind w:firstLine="0" w:firstLineChars="0"/>
                    <w:jc w:val="center"/>
                    <w:rPr>
                      <w:b/>
                      <w:sz w:val="21"/>
                      <w:szCs w:val="21"/>
                    </w:rPr>
                  </w:pPr>
                  <w:r>
                    <w:rPr>
                      <w:rFonts w:hint="eastAsia"/>
                      <w:b/>
                      <w:sz w:val="21"/>
                      <w:szCs w:val="21"/>
                    </w:rPr>
                    <w:t>年评价指标</w:t>
                  </w:r>
                </w:p>
              </w:tc>
              <w:tc>
                <w:tcPr>
                  <w:tcW w:w="710" w:type="pct"/>
                  <w:vAlign w:val="center"/>
                </w:tcPr>
                <w:p>
                  <w:pPr>
                    <w:spacing w:line="240" w:lineRule="auto"/>
                    <w:ind w:firstLine="0" w:firstLineChars="0"/>
                    <w:jc w:val="center"/>
                    <w:rPr>
                      <w:b/>
                      <w:sz w:val="21"/>
                      <w:szCs w:val="21"/>
                    </w:rPr>
                  </w:pPr>
                  <w:r>
                    <w:rPr>
                      <w:rFonts w:hint="eastAsia"/>
                      <w:b/>
                      <w:sz w:val="21"/>
                      <w:szCs w:val="21"/>
                    </w:rPr>
                    <w:t>年均浓度</w:t>
                  </w:r>
                  <w:r>
                    <w:rPr>
                      <w:b/>
                      <w:sz w:val="21"/>
                      <w:szCs w:val="21"/>
                    </w:rPr>
                    <w:t>/</w:t>
                  </w:r>
                  <w:r>
                    <w:rPr>
                      <w:rFonts w:hint="eastAsia"/>
                      <w:b/>
                      <w:sz w:val="21"/>
                      <w:szCs w:val="21"/>
                    </w:rPr>
                    <w:t>（</w:t>
                  </w:r>
                  <w:r>
                    <w:rPr>
                      <w:b/>
                      <w:sz w:val="21"/>
                      <w:szCs w:val="21"/>
                    </w:rPr>
                    <w:t>µg/m</w:t>
                  </w:r>
                  <w:r>
                    <w:rPr>
                      <w:b/>
                      <w:sz w:val="21"/>
                      <w:szCs w:val="21"/>
                      <w:vertAlign w:val="superscript"/>
                    </w:rPr>
                    <w:t>3</w:t>
                  </w:r>
                  <w:r>
                    <w:rPr>
                      <w:rFonts w:hint="eastAsia"/>
                      <w:b/>
                      <w:sz w:val="21"/>
                      <w:szCs w:val="21"/>
                    </w:rPr>
                    <w:t>）</w:t>
                  </w:r>
                </w:p>
              </w:tc>
              <w:tc>
                <w:tcPr>
                  <w:tcW w:w="710" w:type="pct"/>
                  <w:vAlign w:val="center"/>
                </w:tcPr>
                <w:p>
                  <w:pPr>
                    <w:spacing w:line="240" w:lineRule="auto"/>
                    <w:ind w:firstLine="0" w:firstLineChars="0"/>
                    <w:jc w:val="center"/>
                    <w:rPr>
                      <w:b/>
                      <w:sz w:val="21"/>
                      <w:szCs w:val="21"/>
                    </w:rPr>
                  </w:pPr>
                  <w:r>
                    <w:rPr>
                      <w:rFonts w:hint="eastAsia"/>
                      <w:b/>
                      <w:sz w:val="21"/>
                      <w:szCs w:val="21"/>
                    </w:rPr>
                    <w:t>标准值</w:t>
                  </w:r>
                  <w:r>
                    <w:rPr>
                      <w:b/>
                      <w:sz w:val="21"/>
                      <w:szCs w:val="21"/>
                    </w:rPr>
                    <w:t>/</w:t>
                  </w:r>
                  <w:r>
                    <w:rPr>
                      <w:rFonts w:hint="eastAsia"/>
                      <w:b/>
                      <w:sz w:val="21"/>
                      <w:szCs w:val="21"/>
                    </w:rPr>
                    <w:t>（</w:t>
                  </w:r>
                  <w:r>
                    <w:rPr>
                      <w:b/>
                      <w:sz w:val="21"/>
                      <w:szCs w:val="21"/>
                    </w:rPr>
                    <w:t>µg/m</w:t>
                  </w:r>
                  <w:r>
                    <w:rPr>
                      <w:b/>
                      <w:sz w:val="21"/>
                      <w:szCs w:val="21"/>
                      <w:vertAlign w:val="superscript"/>
                    </w:rPr>
                    <w:t>3</w:t>
                  </w:r>
                  <w:r>
                    <w:rPr>
                      <w:rFonts w:hint="eastAsia"/>
                      <w:b/>
                      <w:sz w:val="21"/>
                      <w:szCs w:val="21"/>
                    </w:rPr>
                    <w:t>）</w:t>
                  </w:r>
                </w:p>
              </w:tc>
              <w:tc>
                <w:tcPr>
                  <w:tcW w:w="710" w:type="pct"/>
                  <w:tcBorders>
                    <w:right w:val="single" w:color="auto" w:sz="4" w:space="0"/>
                  </w:tcBorders>
                  <w:vAlign w:val="center"/>
                </w:tcPr>
                <w:p>
                  <w:pPr>
                    <w:spacing w:line="240" w:lineRule="auto"/>
                    <w:ind w:firstLine="0" w:firstLineChars="0"/>
                    <w:jc w:val="center"/>
                    <w:rPr>
                      <w:b/>
                      <w:sz w:val="21"/>
                      <w:szCs w:val="21"/>
                    </w:rPr>
                  </w:pPr>
                  <w:r>
                    <w:rPr>
                      <w:rFonts w:hint="eastAsia"/>
                      <w:b/>
                      <w:sz w:val="21"/>
                      <w:szCs w:val="21"/>
                    </w:rPr>
                    <w:t>占标率</w:t>
                  </w:r>
                  <w:r>
                    <w:rPr>
                      <w:b/>
                      <w:sz w:val="21"/>
                      <w:szCs w:val="21"/>
                    </w:rPr>
                    <w:t>/%</w:t>
                  </w:r>
                </w:p>
              </w:tc>
              <w:tc>
                <w:tcPr>
                  <w:tcW w:w="710" w:type="pct"/>
                  <w:tcBorders>
                    <w:left w:val="single" w:color="auto" w:sz="4" w:space="0"/>
                  </w:tcBorders>
                  <w:vAlign w:val="center"/>
                </w:tcPr>
                <w:p>
                  <w:pPr>
                    <w:spacing w:line="240" w:lineRule="auto"/>
                    <w:ind w:firstLine="0" w:firstLineChars="0"/>
                    <w:jc w:val="center"/>
                    <w:rPr>
                      <w:b/>
                      <w:sz w:val="21"/>
                      <w:szCs w:val="21"/>
                    </w:rPr>
                  </w:pPr>
                  <w:r>
                    <w:rPr>
                      <w:rFonts w:hint="eastAsia"/>
                      <w:b/>
                      <w:sz w:val="21"/>
                      <w:szCs w:val="21"/>
                    </w:rPr>
                    <w:t>同比变化率</w:t>
                  </w:r>
                  <w:r>
                    <w:rPr>
                      <w:b/>
                      <w:sz w:val="21"/>
                      <w:szCs w:val="21"/>
                    </w:rPr>
                    <w:t>/%</w:t>
                  </w:r>
                </w:p>
              </w:tc>
              <w:tc>
                <w:tcPr>
                  <w:tcW w:w="710" w:type="pct"/>
                  <w:vAlign w:val="center"/>
                </w:tcPr>
                <w:p>
                  <w:pPr>
                    <w:spacing w:line="240" w:lineRule="auto"/>
                    <w:ind w:firstLine="0" w:firstLineChars="0"/>
                    <w:jc w:val="center"/>
                    <w:rPr>
                      <w:b/>
                      <w:sz w:val="21"/>
                      <w:szCs w:val="21"/>
                    </w:rPr>
                  </w:pPr>
                  <w:r>
                    <w:rPr>
                      <w:rFonts w:hint="eastAsia"/>
                      <w:b/>
                      <w:sz w:val="21"/>
                      <w:szCs w:val="21"/>
                    </w:rPr>
                    <w:t>达标情况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0" w:type="pct"/>
                  <w:vAlign w:val="center"/>
                </w:tcPr>
                <w:p>
                  <w:pPr>
                    <w:spacing w:line="240" w:lineRule="auto"/>
                    <w:ind w:firstLine="0" w:firstLineChars="0"/>
                    <w:jc w:val="center"/>
                    <w:rPr>
                      <w:sz w:val="21"/>
                      <w:szCs w:val="21"/>
                    </w:rPr>
                  </w:pPr>
                  <w:r>
                    <w:rPr>
                      <w:sz w:val="21"/>
                      <w:szCs w:val="21"/>
                    </w:rPr>
                    <w:t>SO</w:t>
                  </w:r>
                  <w:r>
                    <w:rPr>
                      <w:sz w:val="21"/>
                      <w:szCs w:val="21"/>
                      <w:vertAlign w:val="subscript"/>
                    </w:rPr>
                    <w:t>2</w:t>
                  </w:r>
                </w:p>
              </w:tc>
              <w:tc>
                <w:tcPr>
                  <w:tcW w:w="969" w:type="pct"/>
                  <w:vAlign w:val="center"/>
                </w:tcPr>
                <w:p>
                  <w:pPr>
                    <w:spacing w:line="240" w:lineRule="auto"/>
                    <w:ind w:firstLine="0" w:firstLineChars="0"/>
                    <w:jc w:val="center"/>
                    <w:rPr>
                      <w:sz w:val="21"/>
                      <w:szCs w:val="21"/>
                    </w:rPr>
                  </w:pPr>
                  <w:r>
                    <w:rPr>
                      <w:rFonts w:hint="eastAsia" w:hAnsi="宋体"/>
                      <w:sz w:val="21"/>
                      <w:szCs w:val="21"/>
                    </w:rPr>
                    <w:t>年平均质量浓度</w:t>
                  </w:r>
                </w:p>
              </w:tc>
              <w:tc>
                <w:tcPr>
                  <w:tcW w:w="710" w:type="pct"/>
                  <w:vAlign w:val="center"/>
                </w:tcPr>
                <w:p>
                  <w:pPr>
                    <w:spacing w:line="240" w:lineRule="auto"/>
                    <w:ind w:firstLine="0" w:firstLineChars="0"/>
                    <w:jc w:val="center"/>
                    <w:rPr>
                      <w:sz w:val="21"/>
                      <w:szCs w:val="21"/>
                    </w:rPr>
                  </w:pPr>
                  <w:r>
                    <w:rPr>
                      <w:rFonts w:hint="eastAsia"/>
                      <w:sz w:val="21"/>
                      <w:szCs w:val="21"/>
                    </w:rPr>
                    <w:t>4</w:t>
                  </w:r>
                  <w:r>
                    <w:rPr>
                      <w:sz w:val="21"/>
                      <w:szCs w:val="21"/>
                    </w:rPr>
                    <w:t>5</w:t>
                  </w:r>
                </w:p>
              </w:tc>
              <w:tc>
                <w:tcPr>
                  <w:tcW w:w="710" w:type="pct"/>
                  <w:vAlign w:val="center"/>
                </w:tcPr>
                <w:p>
                  <w:pPr>
                    <w:spacing w:line="240" w:lineRule="auto"/>
                    <w:ind w:firstLine="0" w:firstLineChars="0"/>
                    <w:jc w:val="center"/>
                    <w:rPr>
                      <w:sz w:val="21"/>
                      <w:szCs w:val="21"/>
                    </w:rPr>
                  </w:pPr>
                  <w:r>
                    <w:rPr>
                      <w:sz w:val="21"/>
                      <w:szCs w:val="21"/>
                    </w:rPr>
                    <w:t>60</w:t>
                  </w:r>
                </w:p>
              </w:tc>
              <w:tc>
                <w:tcPr>
                  <w:tcW w:w="710" w:type="pct"/>
                  <w:tcBorders>
                    <w:right w:val="single" w:color="auto" w:sz="4" w:space="0"/>
                  </w:tcBorders>
                  <w:vAlign w:val="center"/>
                </w:tcPr>
                <w:p>
                  <w:pPr>
                    <w:spacing w:line="240" w:lineRule="auto"/>
                    <w:ind w:firstLine="0" w:firstLineChars="0"/>
                    <w:jc w:val="center"/>
                    <w:rPr>
                      <w:sz w:val="21"/>
                      <w:szCs w:val="21"/>
                    </w:rPr>
                  </w:pPr>
                  <w:r>
                    <w:rPr>
                      <w:rFonts w:hint="eastAsia"/>
                      <w:sz w:val="21"/>
                      <w:szCs w:val="21"/>
                    </w:rPr>
                    <w:t>7</w:t>
                  </w:r>
                  <w:r>
                    <w:rPr>
                      <w:sz w:val="21"/>
                      <w:szCs w:val="21"/>
                    </w:rPr>
                    <w:t>5</w:t>
                  </w:r>
                </w:p>
              </w:tc>
              <w:tc>
                <w:tcPr>
                  <w:tcW w:w="710" w:type="pct"/>
                  <w:tcBorders>
                    <w:left w:val="single" w:color="auto" w:sz="4" w:space="0"/>
                  </w:tcBorders>
                  <w:vAlign w:val="center"/>
                </w:tcPr>
                <w:p>
                  <w:pPr>
                    <w:spacing w:line="240" w:lineRule="auto"/>
                    <w:ind w:firstLine="0" w:firstLineChars="0"/>
                    <w:jc w:val="center"/>
                    <w:rPr>
                      <w:sz w:val="21"/>
                      <w:szCs w:val="21"/>
                    </w:rPr>
                  </w:pPr>
                  <w:r>
                    <w:rPr>
                      <w:rFonts w:hint="eastAsia"/>
                      <w:sz w:val="21"/>
                      <w:szCs w:val="21"/>
                    </w:rPr>
                    <w:t>-</w:t>
                  </w:r>
                  <w:r>
                    <w:rPr>
                      <w:sz w:val="21"/>
                      <w:szCs w:val="21"/>
                    </w:rPr>
                    <w:t>26.2</w:t>
                  </w:r>
                </w:p>
              </w:tc>
              <w:tc>
                <w:tcPr>
                  <w:tcW w:w="710" w:type="pct"/>
                  <w:vAlign w:val="center"/>
                </w:tcPr>
                <w:p>
                  <w:pPr>
                    <w:spacing w:line="240" w:lineRule="auto"/>
                    <w:ind w:firstLine="0" w:firstLineChars="0"/>
                    <w:jc w:val="center"/>
                    <w:rPr>
                      <w:sz w:val="21"/>
                      <w:szCs w:val="21"/>
                    </w:rPr>
                  </w:pPr>
                  <w:r>
                    <w:rPr>
                      <w:rFonts w:hint="eastAsia"/>
                      <w:sz w:val="21"/>
                      <w:szCs w:val="21"/>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0" w:type="pct"/>
                  <w:vAlign w:val="center"/>
                </w:tcPr>
                <w:p>
                  <w:pPr>
                    <w:spacing w:line="240" w:lineRule="auto"/>
                    <w:ind w:firstLine="0" w:firstLineChars="0"/>
                    <w:jc w:val="center"/>
                    <w:rPr>
                      <w:sz w:val="21"/>
                      <w:szCs w:val="21"/>
                    </w:rPr>
                  </w:pPr>
                  <w:r>
                    <w:rPr>
                      <w:sz w:val="21"/>
                      <w:szCs w:val="21"/>
                    </w:rPr>
                    <w:t>NO</w:t>
                  </w:r>
                  <w:r>
                    <w:rPr>
                      <w:sz w:val="21"/>
                      <w:szCs w:val="21"/>
                      <w:vertAlign w:val="subscript"/>
                    </w:rPr>
                    <w:t>2</w:t>
                  </w:r>
                </w:p>
              </w:tc>
              <w:tc>
                <w:tcPr>
                  <w:tcW w:w="969" w:type="pct"/>
                  <w:vAlign w:val="center"/>
                </w:tcPr>
                <w:p>
                  <w:pPr>
                    <w:spacing w:line="240" w:lineRule="auto"/>
                    <w:ind w:firstLine="0" w:firstLineChars="0"/>
                    <w:jc w:val="center"/>
                    <w:rPr>
                      <w:sz w:val="21"/>
                      <w:szCs w:val="21"/>
                    </w:rPr>
                  </w:pPr>
                  <w:r>
                    <w:rPr>
                      <w:rFonts w:hint="eastAsia" w:hAnsi="宋体"/>
                      <w:sz w:val="21"/>
                      <w:szCs w:val="21"/>
                    </w:rPr>
                    <w:t>年平均质量浓度</w:t>
                  </w:r>
                </w:p>
              </w:tc>
              <w:tc>
                <w:tcPr>
                  <w:tcW w:w="710" w:type="pct"/>
                  <w:vAlign w:val="center"/>
                </w:tcPr>
                <w:p>
                  <w:pPr>
                    <w:spacing w:line="240" w:lineRule="auto"/>
                    <w:ind w:firstLine="0" w:firstLineChars="0"/>
                    <w:jc w:val="center"/>
                    <w:rPr>
                      <w:sz w:val="21"/>
                      <w:szCs w:val="21"/>
                    </w:rPr>
                  </w:pPr>
                  <w:r>
                    <w:rPr>
                      <w:rFonts w:hint="eastAsia"/>
                      <w:sz w:val="21"/>
                      <w:szCs w:val="21"/>
                    </w:rPr>
                    <w:t>3</w:t>
                  </w:r>
                  <w:r>
                    <w:rPr>
                      <w:sz w:val="21"/>
                      <w:szCs w:val="21"/>
                    </w:rPr>
                    <w:t>3</w:t>
                  </w:r>
                </w:p>
              </w:tc>
              <w:tc>
                <w:tcPr>
                  <w:tcW w:w="710" w:type="pct"/>
                  <w:vAlign w:val="center"/>
                </w:tcPr>
                <w:p>
                  <w:pPr>
                    <w:spacing w:line="240" w:lineRule="auto"/>
                    <w:ind w:firstLine="0" w:firstLineChars="0"/>
                    <w:jc w:val="center"/>
                    <w:rPr>
                      <w:sz w:val="21"/>
                      <w:szCs w:val="21"/>
                    </w:rPr>
                  </w:pPr>
                  <w:r>
                    <w:rPr>
                      <w:sz w:val="21"/>
                      <w:szCs w:val="21"/>
                    </w:rPr>
                    <w:t>40</w:t>
                  </w:r>
                </w:p>
              </w:tc>
              <w:tc>
                <w:tcPr>
                  <w:tcW w:w="710" w:type="pct"/>
                  <w:tcBorders>
                    <w:right w:val="single" w:color="auto" w:sz="4" w:space="0"/>
                  </w:tcBorders>
                  <w:vAlign w:val="center"/>
                </w:tcPr>
                <w:p>
                  <w:pPr>
                    <w:spacing w:line="240" w:lineRule="auto"/>
                    <w:ind w:firstLine="0" w:firstLineChars="0"/>
                    <w:jc w:val="center"/>
                    <w:rPr>
                      <w:sz w:val="21"/>
                      <w:szCs w:val="21"/>
                    </w:rPr>
                  </w:pPr>
                  <w:r>
                    <w:rPr>
                      <w:rFonts w:hint="eastAsia"/>
                      <w:sz w:val="21"/>
                      <w:szCs w:val="21"/>
                    </w:rPr>
                    <w:t>8</w:t>
                  </w:r>
                  <w:r>
                    <w:rPr>
                      <w:sz w:val="21"/>
                      <w:szCs w:val="21"/>
                    </w:rPr>
                    <w:t>2.5</w:t>
                  </w:r>
                </w:p>
              </w:tc>
              <w:tc>
                <w:tcPr>
                  <w:tcW w:w="710" w:type="pct"/>
                  <w:tcBorders>
                    <w:left w:val="single" w:color="auto" w:sz="4" w:space="0"/>
                  </w:tcBorders>
                  <w:vAlign w:val="center"/>
                </w:tcPr>
                <w:p>
                  <w:pPr>
                    <w:spacing w:line="240" w:lineRule="auto"/>
                    <w:ind w:firstLine="0" w:firstLineChars="0"/>
                    <w:jc w:val="center"/>
                    <w:rPr>
                      <w:sz w:val="21"/>
                      <w:szCs w:val="21"/>
                    </w:rPr>
                  </w:pPr>
                  <w:r>
                    <w:rPr>
                      <w:rFonts w:hint="eastAsia"/>
                      <w:sz w:val="21"/>
                      <w:szCs w:val="21"/>
                    </w:rPr>
                    <w:t>-</w:t>
                  </w:r>
                  <w:r>
                    <w:rPr>
                      <w:sz w:val="21"/>
                      <w:szCs w:val="21"/>
                    </w:rPr>
                    <w:t>5.7</w:t>
                  </w:r>
                </w:p>
              </w:tc>
              <w:tc>
                <w:tcPr>
                  <w:tcW w:w="710" w:type="pct"/>
                  <w:vAlign w:val="center"/>
                </w:tcPr>
                <w:p>
                  <w:pPr>
                    <w:spacing w:line="240" w:lineRule="auto"/>
                    <w:ind w:firstLine="0" w:firstLineChars="0"/>
                    <w:jc w:val="center"/>
                    <w:rPr>
                      <w:sz w:val="21"/>
                      <w:szCs w:val="21"/>
                    </w:rPr>
                  </w:pPr>
                  <w:r>
                    <w:rPr>
                      <w:rFonts w:hint="eastAsia"/>
                      <w:sz w:val="21"/>
                      <w:szCs w:val="21"/>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0" w:type="pct"/>
                  <w:vAlign w:val="center"/>
                </w:tcPr>
                <w:p>
                  <w:pPr>
                    <w:spacing w:line="240" w:lineRule="auto"/>
                    <w:ind w:firstLine="0" w:firstLineChars="0"/>
                    <w:jc w:val="center"/>
                    <w:rPr>
                      <w:sz w:val="21"/>
                      <w:szCs w:val="21"/>
                    </w:rPr>
                  </w:pPr>
                  <w:r>
                    <w:rPr>
                      <w:rFonts w:hint="eastAsia"/>
                      <w:sz w:val="21"/>
                      <w:szCs w:val="21"/>
                    </w:rPr>
                    <w:t>C</w:t>
                  </w:r>
                  <w:r>
                    <w:rPr>
                      <w:sz w:val="21"/>
                      <w:szCs w:val="21"/>
                    </w:rPr>
                    <w:t>O</w:t>
                  </w:r>
                </w:p>
              </w:tc>
              <w:tc>
                <w:tcPr>
                  <w:tcW w:w="969" w:type="pct"/>
                  <w:vAlign w:val="center"/>
                </w:tcPr>
                <w:p>
                  <w:pPr>
                    <w:spacing w:line="240" w:lineRule="auto"/>
                    <w:ind w:firstLine="0" w:firstLineChars="0"/>
                    <w:jc w:val="center"/>
                    <w:rPr>
                      <w:rFonts w:hAnsi="宋体"/>
                      <w:sz w:val="21"/>
                      <w:szCs w:val="21"/>
                    </w:rPr>
                  </w:pPr>
                  <w:r>
                    <w:rPr>
                      <w:rFonts w:hint="eastAsia" w:hAnsi="宋体"/>
                      <w:sz w:val="21"/>
                      <w:szCs w:val="21"/>
                    </w:rPr>
                    <w:t>2</w:t>
                  </w:r>
                  <w:r>
                    <w:rPr>
                      <w:rFonts w:hAnsi="宋体"/>
                      <w:sz w:val="21"/>
                      <w:szCs w:val="21"/>
                    </w:rPr>
                    <w:t>4</w:t>
                  </w:r>
                  <w:r>
                    <w:rPr>
                      <w:rFonts w:hint="eastAsia" w:hAnsi="宋体"/>
                      <w:sz w:val="21"/>
                      <w:szCs w:val="21"/>
                    </w:rPr>
                    <w:t>小时平均第9</w:t>
                  </w:r>
                  <w:r>
                    <w:rPr>
                      <w:rFonts w:hAnsi="宋体"/>
                      <w:sz w:val="21"/>
                      <w:szCs w:val="21"/>
                    </w:rPr>
                    <w:t>5</w:t>
                  </w:r>
                  <w:r>
                    <w:rPr>
                      <w:rFonts w:hint="eastAsia" w:hAnsi="宋体"/>
                      <w:sz w:val="21"/>
                      <w:szCs w:val="21"/>
                    </w:rPr>
                    <w:t>位百分位数</w:t>
                  </w:r>
                </w:p>
              </w:tc>
              <w:tc>
                <w:tcPr>
                  <w:tcW w:w="710" w:type="pct"/>
                  <w:vAlign w:val="center"/>
                </w:tcPr>
                <w:p>
                  <w:pPr>
                    <w:spacing w:line="240" w:lineRule="auto"/>
                    <w:ind w:firstLine="0" w:firstLineChars="0"/>
                    <w:jc w:val="center"/>
                    <w:rPr>
                      <w:sz w:val="21"/>
                      <w:szCs w:val="21"/>
                    </w:rPr>
                  </w:pPr>
                  <w:r>
                    <w:rPr>
                      <w:rFonts w:hint="eastAsia"/>
                      <w:sz w:val="21"/>
                      <w:szCs w:val="21"/>
                    </w:rPr>
                    <w:t>3</w:t>
                  </w:r>
                  <w:r>
                    <w:rPr>
                      <w:sz w:val="21"/>
                      <w:szCs w:val="21"/>
                    </w:rPr>
                    <w:t>000</w:t>
                  </w:r>
                </w:p>
              </w:tc>
              <w:tc>
                <w:tcPr>
                  <w:tcW w:w="710" w:type="pct"/>
                  <w:vAlign w:val="center"/>
                </w:tcPr>
                <w:p>
                  <w:pPr>
                    <w:spacing w:line="240" w:lineRule="auto"/>
                    <w:ind w:firstLine="0" w:firstLineChars="0"/>
                    <w:jc w:val="center"/>
                    <w:rPr>
                      <w:sz w:val="21"/>
                      <w:szCs w:val="21"/>
                    </w:rPr>
                  </w:pPr>
                  <w:r>
                    <w:rPr>
                      <w:rFonts w:hint="eastAsia"/>
                      <w:sz w:val="21"/>
                      <w:szCs w:val="21"/>
                    </w:rPr>
                    <w:t>4</w:t>
                  </w:r>
                  <w:r>
                    <w:rPr>
                      <w:sz w:val="21"/>
                      <w:szCs w:val="21"/>
                    </w:rPr>
                    <w:t>000</w:t>
                  </w:r>
                </w:p>
              </w:tc>
              <w:tc>
                <w:tcPr>
                  <w:tcW w:w="710" w:type="pct"/>
                  <w:tcBorders>
                    <w:right w:val="single" w:color="auto" w:sz="4" w:space="0"/>
                  </w:tcBorders>
                  <w:vAlign w:val="center"/>
                </w:tcPr>
                <w:p>
                  <w:pPr>
                    <w:spacing w:line="240" w:lineRule="auto"/>
                    <w:ind w:firstLine="0" w:firstLineChars="0"/>
                    <w:jc w:val="center"/>
                    <w:rPr>
                      <w:sz w:val="21"/>
                      <w:szCs w:val="21"/>
                    </w:rPr>
                  </w:pPr>
                  <w:r>
                    <w:rPr>
                      <w:rFonts w:hint="eastAsia"/>
                      <w:sz w:val="21"/>
                      <w:szCs w:val="21"/>
                    </w:rPr>
                    <w:t>7</w:t>
                  </w:r>
                  <w:r>
                    <w:rPr>
                      <w:sz w:val="21"/>
                      <w:szCs w:val="21"/>
                    </w:rPr>
                    <w:t>5</w:t>
                  </w:r>
                </w:p>
              </w:tc>
              <w:tc>
                <w:tcPr>
                  <w:tcW w:w="710" w:type="pct"/>
                  <w:tcBorders>
                    <w:left w:val="single" w:color="auto" w:sz="4" w:space="0"/>
                  </w:tcBorders>
                  <w:vAlign w:val="center"/>
                </w:tcPr>
                <w:p>
                  <w:pPr>
                    <w:spacing w:line="240" w:lineRule="auto"/>
                    <w:ind w:firstLine="0" w:firstLineChars="0"/>
                    <w:jc w:val="center"/>
                    <w:rPr>
                      <w:sz w:val="21"/>
                      <w:szCs w:val="21"/>
                    </w:rPr>
                  </w:pPr>
                  <w:r>
                    <w:rPr>
                      <w:rFonts w:hint="eastAsia"/>
                      <w:sz w:val="21"/>
                      <w:szCs w:val="21"/>
                    </w:rPr>
                    <w:t>-</w:t>
                  </w:r>
                  <w:r>
                    <w:rPr>
                      <w:sz w:val="21"/>
                      <w:szCs w:val="21"/>
                    </w:rPr>
                    <w:t>11.8</w:t>
                  </w:r>
                </w:p>
              </w:tc>
              <w:tc>
                <w:tcPr>
                  <w:tcW w:w="710" w:type="pct"/>
                  <w:vAlign w:val="center"/>
                </w:tcPr>
                <w:p>
                  <w:pPr>
                    <w:spacing w:line="240" w:lineRule="auto"/>
                    <w:ind w:firstLine="0" w:firstLineChars="0"/>
                    <w:jc w:val="center"/>
                    <w:rPr>
                      <w:sz w:val="21"/>
                      <w:szCs w:val="21"/>
                    </w:rPr>
                  </w:pPr>
                  <w:r>
                    <w:rPr>
                      <w:rFonts w:hint="eastAsia"/>
                      <w:sz w:val="21"/>
                      <w:szCs w:val="21"/>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0" w:type="pct"/>
                  <w:vAlign w:val="center"/>
                </w:tcPr>
                <w:p>
                  <w:pPr>
                    <w:spacing w:line="240" w:lineRule="auto"/>
                    <w:ind w:firstLine="0" w:firstLineChars="0"/>
                    <w:jc w:val="center"/>
                    <w:rPr>
                      <w:sz w:val="21"/>
                      <w:szCs w:val="21"/>
                    </w:rPr>
                  </w:pPr>
                  <w:r>
                    <w:rPr>
                      <w:rFonts w:hint="eastAsia"/>
                      <w:sz w:val="21"/>
                      <w:szCs w:val="21"/>
                    </w:rPr>
                    <w:t>O</w:t>
                  </w:r>
                  <w:r>
                    <w:rPr>
                      <w:sz w:val="21"/>
                      <w:szCs w:val="21"/>
                      <w:vertAlign w:val="subscript"/>
                    </w:rPr>
                    <w:t>3</w:t>
                  </w:r>
                </w:p>
              </w:tc>
              <w:tc>
                <w:tcPr>
                  <w:tcW w:w="969" w:type="pct"/>
                  <w:vAlign w:val="center"/>
                </w:tcPr>
                <w:p>
                  <w:pPr>
                    <w:spacing w:line="240" w:lineRule="auto"/>
                    <w:ind w:firstLine="0" w:firstLineChars="0"/>
                    <w:jc w:val="center"/>
                    <w:rPr>
                      <w:rFonts w:hAnsi="宋体"/>
                      <w:sz w:val="21"/>
                      <w:szCs w:val="21"/>
                    </w:rPr>
                  </w:pPr>
                  <w:r>
                    <w:rPr>
                      <w:rFonts w:hint="eastAsia" w:hAnsi="宋体"/>
                      <w:sz w:val="21"/>
                      <w:szCs w:val="21"/>
                    </w:rPr>
                    <w:t>日最大8小时滑动平均值的第9</w:t>
                  </w:r>
                  <w:r>
                    <w:rPr>
                      <w:rFonts w:hAnsi="宋体"/>
                      <w:sz w:val="21"/>
                      <w:szCs w:val="21"/>
                    </w:rPr>
                    <w:t>0</w:t>
                  </w:r>
                  <w:r>
                    <w:rPr>
                      <w:rFonts w:hint="eastAsia" w:hAnsi="宋体"/>
                      <w:sz w:val="21"/>
                      <w:szCs w:val="21"/>
                    </w:rPr>
                    <w:t>百分位数</w:t>
                  </w:r>
                </w:p>
              </w:tc>
              <w:tc>
                <w:tcPr>
                  <w:tcW w:w="710" w:type="pct"/>
                  <w:vAlign w:val="center"/>
                </w:tcPr>
                <w:p>
                  <w:pPr>
                    <w:spacing w:line="240" w:lineRule="auto"/>
                    <w:ind w:firstLine="0" w:firstLineChars="0"/>
                    <w:jc w:val="center"/>
                    <w:rPr>
                      <w:sz w:val="21"/>
                      <w:szCs w:val="21"/>
                    </w:rPr>
                  </w:pPr>
                  <w:r>
                    <w:rPr>
                      <w:rFonts w:hint="eastAsia"/>
                      <w:sz w:val="21"/>
                      <w:szCs w:val="21"/>
                    </w:rPr>
                    <w:t>1</w:t>
                  </w:r>
                  <w:r>
                    <w:rPr>
                      <w:sz w:val="21"/>
                      <w:szCs w:val="21"/>
                    </w:rPr>
                    <w:t>69</w:t>
                  </w:r>
                </w:p>
              </w:tc>
              <w:tc>
                <w:tcPr>
                  <w:tcW w:w="710" w:type="pct"/>
                  <w:vAlign w:val="center"/>
                </w:tcPr>
                <w:p>
                  <w:pPr>
                    <w:spacing w:line="240" w:lineRule="auto"/>
                    <w:ind w:firstLine="0" w:firstLineChars="0"/>
                    <w:jc w:val="center"/>
                    <w:rPr>
                      <w:sz w:val="21"/>
                      <w:szCs w:val="21"/>
                    </w:rPr>
                  </w:pPr>
                  <w:r>
                    <w:rPr>
                      <w:rFonts w:hint="eastAsia"/>
                      <w:sz w:val="21"/>
                      <w:szCs w:val="21"/>
                    </w:rPr>
                    <w:t>1</w:t>
                  </w:r>
                  <w:r>
                    <w:rPr>
                      <w:sz w:val="21"/>
                      <w:szCs w:val="21"/>
                    </w:rPr>
                    <w:t>60</w:t>
                  </w:r>
                </w:p>
              </w:tc>
              <w:tc>
                <w:tcPr>
                  <w:tcW w:w="710" w:type="pct"/>
                  <w:tcBorders>
                    <w:right w:val="single" w:color="auto" w:sz="4" w:space="0"/>
                  </w:tcBorders>
                  <w:vAlign w:val="center"/>
                </w:tcPr>
                <w:p>
                  <w:pPr>
                    <w:spacing w:line="240" w:lineRule="auto"/>
                    <w:ind w:firstLine="0" w:firstLineChars="0"/>
                    <w:jc w:val="center"/>
                    <w:rPr>
                      <w:sz w:val="21"/>
                      <w:szCs w:val="21"/>
                    </w:rPr>
                  </w:pPr>
                  <w:r>
                    <w:rPr>
                      <w:rFonts w:hint="eastAsia"/>
                      <w:sz w:val="21"/>
                      <w:szCs w:val="21"/>
                    </w:rPr>
                    <w:t>1</w:t>
                  </w:r>
                  <w:r>
                    <w:rPr>
                      <w:sz w:val="21"/>
                      <w:szCs w:val="21"/>
                    </w:rPr>
                    <w:t>05.6</w:t>
                  </w:r>
                </w:p>
              </w:tc>
              <w:tc>
                <w:tcPr>
                  <w:tcW w:w="710" w:type="pct"/>
                  <w:tcBorders>
                    <w:left w:val="single" w:color="auto" w:sz="4" w:space="0"/>
                  </w:tcBorders>
                  <w:vAlign w:val="center"/>
                </w:tcPr>
                <w:p>
                  <w:pPr>
                    <w:spacing w:line="240" w:lineRule="auto"/>
                    <w:ind w:firstLine="0" w:firstLineChars="0"/>
                    <w:jc w:val="center"/>
                    <w:rPr>
                      <w:sz w:val="21"/>
                      <w:szCs w:val="21"/>
                    </w:rPr>
                  </w:pPr>
                  <w:r>
                    <w:rPr>
                      <w:rFonts w:hint="eastAsia"/>
                      <w:sz w:val="21"/>
                      <w:szCs w:val="21"/>
                    </w:rPr>
                    <w:t>1</w:t>
                  </w:r>
                  <w:r>
                    <w:rPr>
                      <w:sz w:val="21"/>
                      <w:szCs w:val="21"/>
                    </w:rPr>
                    <w:t>2.7</w:t>
                  </w:r>
                </w:p>
              </w:tc>
              <w:tc>
                <w:tcPr>
                  <w:tcW w:w="710" w:type="pct"/>
                  <w:vAlign w:val="center"/>
                </w:tcPr>
                <w:p>
                  <w:pPr>
                    <w:spacing w:line="240" w:lineRule="auto"/>
                    <w:ind w:firstLine="0" w:firstLineChars="0"/>
                    <w:jc w:val="center"/>
                    <w:rPr>
                      <w:sz w:val="21"/>
                      <w:szCs w:val="21"/>
                    </w:rPr>
                  </w:pPr>
                  <w:r>
                    <w:rPr>
                      <w:rFonts w:hint="eastAsia"/>
                      <w:sz w:val="21"/>
                      <w:szCs w:val="21"/>
                    </w:rPr>
                    <w:t>超标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0" w:type="pct"/>
                  <w:vAlign w:val="center"/>
                </w:tcPr>
                <w:p>
                  <w:pPr>
                    <w:spacing w:line="240" w:lineRule="auto"/>
                    <w:ind w:firstLine="0" w:firstLineChars="0"/>
                    <w:jc w:val="center"/>
                    <w:rPr>
                      <w:sz w:val="21"/>
                      <w:szCs w:val="21"/>
                    </w:rPr>
                  </w:pPr>
                  <w:r>
                    <w:rPr>
                      <w:sz w:val="21"/>
                      <w:szCs w:val="21"/>
                    </w:rPr>
                    <w:t>PM</w:t>
                  </w:r>
                  <w:r>
                    <w:rPr>
                      <w:sz w:val="21"/>
                      <w:szCs w:val="21"/>
                      <w:vertAlign w:val="subscript"/>
                    </w:rPr>
                    <w:t>10</w:t>
                  </w:r>
                </w:p>
              </w:tc>
              <w:tc>
                <w:tcPr>
                  <w:tcW w:w="969" w:type="pct"/>
                  <w:vAlign w:val="center"/>
                </w:tcPr>
                <w:p>
                  <w:pPr>
                    <w:spacing w:line="240" w:lineRule="auto"/>
                    <w:ind w:firstLine="0" w:firstLineChars="0"/>
                    <w:jc w:val="center"/>
                    <w:rPr>
                      <w:sz w:val="21"/>
                      <w:szCs w:val="21"/>
                    </w:rPr>
                  </w:pPr>
                  <w:r>
                    <w:rPr>
                      <w:rFonts w:hint="eastAsia" w:hAnsi="宋体"/>
                      <w:sz w:val="21"/>
                      <w:szCs w:val="21"/>
                    </w:rPr>
                    <w:t>年平均质量浓度</w:t>
                  </w:r>
                </w:p>
              </w:tc>
              <w:tc>
                <w:tcPr>
                  <w:tcW w:w="710" w:type="pct"/>
                  <w:vAlign w:val="center"/>
                </w:tcPr>
                <w:p>
                  <w:pPr>
                    <w:spacing w:line="240" w:lineRule="auto"/>
                    <w:ind w:firstLine="0" w:firstLineChars="0"/>
                    <w:jc w:val="center"/>
                    <w:rPr>
                      <w:sz w:val="21"/>
                      <w:szCs w:val="21"/>
                    </w:rPr>
                  </w:pPr>
                  <w:r>
                    <w:rPr>
                      <w:rFonts w:hint="eastAsia"/>
                      <w:sz w:val="21"/>
                      <w:szCs w:val="21"/>
                    </w:rPr>
                    <w:t>1</w:t>
                  </w:r>
                  <w:r>
                    <w:rPr>
                      <w:sz w:val="21"/>
                      <w:szCs w:val="21"/>
                    </w:rPr>
                    <w:t>25</w:t>
                  </w:r>
                </w:p>
              </w:tc>
              <w:tc>
                <w:tcPr>
                  <w:tcW w:w="710" w:type="pct"/>
                  <w:vAlign w:val="center"/>
                </w:tcPr>
                <w:p>
                  <w:pPr>
                    <w:spacing w:line="240" w:lineRule="auto"/>
                    <w:ind w:firstLine="0" w:firstLineChars="0"/>
                    <w:jc w:val="center"/>
                    <w:rPr>
                      <w:sz w:val="21"/>
                      <w:szCs w:val="21"/>
                    </w:rPr>
                  </w:pPr>
                  <w:r>
                    <w:rPr>
                      <w:sz w:val="21"/>
                      <w:szCs w:val="21"/>
                    </w:rPr>
                    <w:t>70</w:t>
                  </w:r>
                </w:p>
              </w:tc>
              <w:tc>
                <w:tcPr>
                  <w:tcW w:w="710" w:type="pct"/>
                  <w:tcBorders>
                    <w:right w:val="single" w:color="auto" w:sz="4" w:space="0"/>
                  </w:tcBorders>
                  <w:vAlign w:val="center"/>
                </w:tcPr>
                <w:p>
                  <w:pPr>
                    <w:spacing w:line="240" w:lineRule="auto"/>
                    <w:ind w:firstLine="0" w:firstLineChars="0"/>
                    <w:jc w:val="center"/>
                    <w:rPr>
                      <w:sz w:val="21"/>
                      <w:szCs w:val="21"/>
                    </w:rPr>
                  </w:pPr>
                  <w:r>
                    <w:rPr>
                      <w:rFonts w:hint="eastAsia"/>
                      <w:sz w:val="21"/>
                      <w:szCs w:val="21"/>
                    </w:rPr>
                    <w:t>1</w:t>
                  </w:r>
                  <w:r>
                    <w:rPr>
                      <w:sz w:val="21"/>
                      <w:szCs w:val="21"/>
                    </w:rPr>
                    <w:t>78.6</w:t>
                  </w:r>
                </w:p>
              </w:tc>
              <w:tc>
                <w:tcPr>
                  <w:tcW w:w="710" w:type="pct"/>
                  <w:tcBorders>
                    <w:left w:val="single" w:color="auto" w:sz="4" w:space="0"/>
                  </w:tcBorders>
                  <w:vAlign w:val="center"/>
                </w:tcPr>
                <w:p>
                  <w:pPr>
                    <w:spacing w:line="240" w:lineRule="auto"/>
                    <w:ind w:firstLine="0" w:firstLineChars="0"/>
                    <w:jc w:val="center"/>
                    <w:rPr>
                      <w:sz w:val="21"/>
                      <w:szCs w:val="21"/>
                    </w:rPr>
                  </w:pPr>
                  <w:r>
                    <w:rPr>
                      <w:rFonts w:hint="eastAsia"/>
                      <w:sz w:val="21"/>
                      <w:szCs w:val="21"/>
                    </w:rPr>
                    <w:t>-</w:t>
                  </w:r>
                  <w:r>
                    <w:rPr>
                      <w:sz w:val="21"/>
                      <w:szCs w:val="21"/>
                    </w:rPr>
                    <w:t>6.7</w:t>
                  </w:r>
                </w:p>
              </w:tc>
              <w:tc>
                <w:tcPr>
                  <w:tcW w:w="710" w:type="pct"/>
                  <w:vAlign w:val="center"/>
                </w:tcPr>
                <w:p>
                  <w:pPr>
                    <w:spacing w:line="240" w:lineRule="auto"/>
                    <w:ind w:firstLine="0" w:firstLineChars="0"/>
                    <w:jc w:val="center"/>
                    <w:rPr>
                      <w:sz w:val="21"/>
                      <w:szCs w:val="21"/>
                    </w:rPr>
                  </w:pPr>
                  <w:r>
                    <w:rPr>
                      <w:rFonts w:hint="eastAsia"/>
                      <w:sz w:val="21"/>
                      <w:szCs w:val="21"/>
                    </w:rPr>
                    <w:t>超标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0" w:type="pct"/>
                  <w:vAlign w:val="center"/>
                </w:tcPr>
                <w:p>
                  <w:pPr>
                    <w:spacing w:line="240" w:lineRule="auto"/>
                    <w:ind w:firstLine="0" w:firstLineChars="0"/>
                    <w:jc w:val="center"/>
                    <w:rPr>
                      <w:sz w:val="21"/>
                      <w:szCs w:val="21"/>
                    </w:rPr>
                  </w:pPr>
                  <w:r>
                    <w:rPr>
                      <w:sz w:val="21"/>
                      <w:szCs w:val="21"/>
                    </w:rPr>
                    <w:t>PM</w:t>
                  </w:r>
                  <w:r>
                    <w:rPr>
                      <w:sz w:val="21"/>
                      <w:szCs w:val="21"/>
                      <w:vertAlign w:val="subscript"/>
                    </w:rPr>
                    <w:t>2.5</w:t>
                  </w:r>
                </w:p>
              </w:tc>
              <w:tc>
                <w:tcPr>
                  <w:tcW w:w="969" w:type="pct"/>
                  <w:vAlign w:val="center"/>
                </w:tcPr>
                <w:p>
                  <w:pPr>
                    <w:spacing w:line="240" w:lineRule="auto"/>
                    <w:ind w:firstLine="0" w:firstLineChars="0"/>
                    <w:jc w:val="center"/>
                    <w:rPr>
                      <w:sz w:val="21"/>
                      <w:szCs w:val="21"/>
                    </w:rPr>
                  </w:pPr>
                  <w:r>
                    <w:rPr>
                      <w:rFonts w:hint="eastAsia" w:hAnsi="宋体"/>
                      <w:sz w:val="21"/>
                      <w:szCs w:val="21"/>
                    </w:rPr>
                    <w:t>年平均质量浓度</w:t>
                  </w:r>
                </w:p>
              </w:tc>
              <w:tc>
                <w:tcPr>
                  <w:tcW w:w="710" w:type="pct"/>
                  <w:vAlign w:val="center"/>
                </w:tcPr>
                <w:p>
                  <w:pPr>
                    <w:spacing w:line="240" w:lineRule="auto"/>
                    <w:ind w:firstLine="0" w:firstLineChars="0"/>
                    <w:jc w:val="center"/>
                    <w:rPr>
                      <w:sz w:val="21"/>
                      <w:szCs w:val="21"/>
                    </w:rPr>
                  </w:pPr>
                  <w:r>
                    <w:rPr>
                      <w:rFonts w:hint="eastAsia"/>
                      <w:sz w:val="21"/>
                      <w:szCs w:val="21"/>
                    </w:rPr>
                    <w:t>6</w:t>
                  </w:r>
                  <w:r>
                    <w:rPr>
                      <w:sz w:val="21"/>
                      <w:szCs w:val="21"/>
                    </w:rPr>
                    <w:t>0</w:t>
                  </w:r>
                </w:p>
              </w:tc>
              <w:tc>
                <w:tcPr>
                  <w:tcW w:w="710" w:type="pct"/>
                  <w:vAlign w:val="center"/>
                </w:tcPr>
                <w:p>
                  <w:pPr>
                    <w:spacing w:line="240" w:lineRule="auto"/>
                    <w:ind w:firstLine="0" w:firstLineChars="0"/>
                    <w:jc w:val="center"/>
                    <w:rPr>
                      <w:sz w:val="21"/>
                      <w:szCs w:val="21"/>
                    </w:rPr>
                  </w:pPr>
                  <w:r>
                    <w:rPr>
                      <w:sz w:val="21"/>
                      <w:szCs w:val="21"/>
                    </w:rPr>
                    <w:t>35</w:t>
                  </w:r>
                </w:p>
              </w:tc>
              <w:tc>
                <w:tcPr>
                  <w:tcW w:w="710" w:type="pct"/>
                  <w:tcBorders>
                    <w:right w:val="single" w:color="auto" w:sz="4" w:space="0"/>
                  </w:tcBorders>
                  <w:vAlign w:val="center"/>
                </w:tcPr>
                <w:p>
                  <w:pPr>
                    <w:spacing w:line="240" w:lineRule="auto"/>
                    <w:ind w:firstLine="0" w:firstLineChars="0"/>
                    <w:jc w:val="center"/>
                    <w:rPr>
                      <w:sz w:val="21"/>
                      <w:szCs w:val="21"/>
                    </w:rPr>
                  </w:pPr>
                  <w:r>
                    <w:rPr>
                      <w:rFonts w:hint="eastAsia"/>
                      <w:sz w:val="21"/>
                      <w:szCs w:val="21"/>
                    </w:rPr>
                    <w:t>1</w:t>
                  </w:r>
                  <w:r>
                    <w:rPr>
                      <w:sz w:val="21"/>
                      <w:szCs w:val="21"/>
                    </w:rPr>
                    <w:t>71.4</w:t>
                  </w:r>
                </w:p>
              </w:tc>
              <w:tc>
                <w:tcPr>
                  <w:tcW w:w="710" w:type="pct"/>
                  <w:tcBorders>
                    <w:left w:val="single" w:color="auto" w:sz="4" w:space="0"/>
                  </w:tcBorders>
                  <w:vAlign w:val="center"/>
                </w:tcPr>
                <w:p>
                  <w:pPr>
                    <w:spacing w:line="240" w:lineRule="auto"/>
                    <w:ind w:firstLine="0" w:firstLineChars="0"/>
                    <w:jc w:val="center"/>
                    <w:rPr>
                      <w:sz w:val="21"/>
                      <w:szCs w:val="21"/>
                    </w:rPr>
                  </w:pPr>
                  <w:r>
                    <w:rPr>
                      <w:rFonts w:hint="eastAsia"/>
                      <w:sz w:val="21"/>
                      <w:szCs w:val="21"/>
                    </w:rPr>
                    <w:t>3</w:t>
                  </w:r>
                  <w:r>
                    <w:rPr>
                      <w:sz w:val="21"/>
                      <w:szCs w:val="21"/>
                    </w:rPr>
                    <w:t>.4</w:t>
                  </w:r>
                </w:p>
              </w:tc>
              <w:tc>
                <w:tcPr>
                  <w:tcW w:w="710" w:type="pct"/>
                  <w:vAlign w:val="center"/>
                </w:tcPr>
                <w:p>
                  <w:pPr>
                    <w:spacing w:line="240" w:lineRule="auto"/>
                    <w:ind w:firstLine="0" w:firstLineChars="0"/>
                    <w:jc w:val="center"/>
                    <w:rPr>
                      <w:sz w:val="21"/>
                      <w:szCs w:val="21"/>
                    </w:rPr>
                  </w:pPr>
                  <w:r>
                    <w:rPr>
                      <w:rFonts w:hint="eastAsia"/>
                      <w:sz w:val="21"/>
                      <w:szCs w:val="21"/>
                    </w:rPr>
                    <w:t>超标</w:t>
                  </w:r>
                </w:p>
              </w:tc>
            </w:tr>
          </w:tbl>
          <w:p>
            <w:pPr>
              <w:ind w:firstLine="480"/>
            </w:pPr>
            <w:r>
              <w:t>由以上分析可知，</w:t>
            </w:r>
            <w:r>
              <w:rPr>
                <w:rFonts w:hint="eastAsia"/>
                <w:bCs/>
                <w:szCs w:val="24"/>
              </w:rPr>
              <w:t>交城县201</w:t>
            </w:r>
            <w:r>
              <w:rPr>
                <w:bCs/>
                <w:szCs w:val="24"/>
              </w:rPr>
              <w:t>9</w:t>
            </w:r>
            <w:r>
              <w:rPr>
                <w:rFonts w:hint="eastAsia"/>
                <w:bCs/>
                <w:szCs w:val="24"/>
              </w:rPr>
              <w:t>年</w:t>
            </w:r>
            <w:r>
              <w:rPr>
                <w:bCs/>
                <w:szCs w:val="24"/>
              </w:rPr>
              <w:t>O</w:t>
            </w:r>
            <w:r>
              <w:rPr>
                <w:bCs/>
                <w:szCs w:val="24"/>
                <w:vertAlign w:val="subscript"/>
              </w:rPr>
              <w:t>3</w:t>
            </w:r>
            <w:r>
              <w:rPr>
                <w:rFonts w:hint="eastAsia"/>
                <w:bCs/>
                <w:szCs w:val="24"/>
              </w:rPr>
              <w:t>、PM</w:t>
            </w:r>
            <w:r>
              <w:rPr>
                <w:rFonts w:hint="eastAsia"/>
                <w:bCs/>
                <w:szCs w:val="24"/>
                <w:vertAlign w:val="subscript"/>
              </w:rPr>
              <w:t>10</w:t>
            </w:r>
            <w:r>
              <w:rPr>
                <w:rFonts w:hint="eastAsia"/>
                <w:bCs/>
                <w:szCs w:val="24"/>
              </w:rPr>
              <w:t>和PM</w:t>
            </w:r>
            <w:r>
              <w:rPr>
                <w:rFonts w:hint="eastAsia"/>
                <w:bCs/>
                <w:szCs w:val="24"/>
                <w:vertAlign w:val="subscript"/>
              </w:rPr>
              <w:t>2.5</w:t>
            </w:r>
            <w:r>
              <w:rPr>
                <w:rFonts w:hint="eastAsia"/>
                <w:bCs/>
                <w:szCs w:val="24"/>
              </w:rPr>
              <w:t>年平均质量浓度均超标，为不达标区</w:t>
            </w:r>
            <w:r>
              <w:rPr>
                <w:rFonts w:hint="eastAsia"/>
              </w:rPr>
              <w:t>。超标原因主要是地表裸露在大风天气产生的扬尘，同时工矿企业排放的颗粒物也是超标的原因之一。</w:t>
            </w:r>
          </w:p>
          <w:p>
            <w:pPr>
              <w:ind w:firstLine="480"/>
            </w:pPr>
            <w:r>
              <w:rPr>
                <w:rFonts w:hint="eastAsia"/>
              </w:rPr>
              <w:t>（2）区域污染物质量现状</w:t>
            </w:r>
          </w:p>
          <w:p>
            <w:pPr>
              <w:ind w:firstLine="480"/>
              <w:rPr>
                <w:rFonts w:ascii="宋体" w:hAnsi="宋体"/>
              </w:rPr>
            </w:pPr>
            <w:r>
              <w:rPr>
                <w:rFonts w:hint="eastAsia" w:ascii="宋体" w:hAnsi="宋体"/>
                <w:kern w:val="0"/>
              </w:rPr>
              <w:t>本次环评时</w:t>
            </w:r>
            <w:r>
              <w:rPr>
                <w:rFonts w:ascii="宋体" w:hAnsi="宋体"/>
              </w:rPr>
              <w:t>建设单位委托</w:t>
            </w:r>
            <w:r>
              <w:rPr>
                <w:rFonts w:hint="eastAsia"/>
              </w:rPr>
              <w:t>山西清朗环保科技有限公司</w:t>
            </w:r>
            <w:r>
              <w:rPr>
                <w:rFonts w:hint="eastAsia" w:ascii="宋体" w:hAnsi="宋体"/>
              </w:rPr>
              <w:t>对</w:t>
            </w:r>
            <w:r>
              <w:rPr>
                <w:rFonts w:ascii="宋体" w:hAnsi="宋体"/>
              </w:rPr>
              <w:t>本项目</w:t>
            </w:r>
            <w:r>
              <w:rPr>
                <w:rFonts w:hint="eastAsia" w:ascii="宋体" w:hAnsi="宋体"/>
              </w:rPr>
              <w:t>厂界东南侧长树村进行了特征污染物补充监测。</w:t>
            </w:r>
          </w:p>
          <w:p>
            <w:pPr>
              <w:ind w:firstLine="480"/>
            </w:pPr>
            <w:r>
              <w:rPr>
                <w:rFonts w:hint="eastAsia"/>
              </w:rPr>
              <w:t>监测点位、内容及采用的分析方法见表1</w:t>
            </w:r>
            <w:r>
              <w:t>6</w:t>
            </w:r>
            <w:r>
              <w:rPr>
                <w:rFonts w:hint="eastAsia"/>
              </w:rPr>
              <w:t>、</w:t>
            </w:r>
            <w:r>
              <w:t>17</w:t>
            </w:r>
            <w:r>
              <w:rPr>
                <w:rFonts w:hint="eastAsia"/>
              </w:rPr>
              <w:t>。</w:t>
            </w:r>
          </w:p>
          <w:p>
            <w:pPr>
              <w:widowControl/>
              <w:snapToGrid w:val="0"/>
              <w:ind w:firstLine="480"/>
              <w:jc w:val="center"/>
              <w:rPr>
                <w:rFonts w:ascii="黑体" w:hAnsi="黑体" w:eastAsia="黑体"/>
                <w:szCs w:val="24"/>
              </w:rPr>
            </w:pPr>
            <w:r>
              <w:rPr>
                <w:rFonts w:hint="eastAsia" w:ascii="黑体" w:hAnsi="黑体" w:eastAsia="黑体"/>
                <w:szCs w:val="24"/>
              </w:rPr>
              <w:t>表</w:t>
            </w:r>
            <w:r>
              <w:rPr>
                <w:rFonts w:ascii="黑体" w:hAnsi="黑体" w:eastAsia="黑体"/>
                <w:szCs w:val="24"/>
              </w:rPr>
              <w:t>16</w:t>
            </w:r>
            <w:r>
              <w:rPr>
                <w:rFonts w:hint="eastAsia" w:ascii="黑体" w:hAnsi="黑体" w:eastAsia="黑体"/>
                <w:szCs w:val="24"/>
              </w:rPr>
              <w:t xml:space="preserve">  环境空气质量现状监测内容</w:t>
            </w:r>
          </w:p>
          <w:tbl>
            <w:tblPr>
              <w:tblStyle w:val="70"/>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26"/>
              <w:gridCol w:w="725"/>
              <w:gridCol w:w="1199"/>
              <w:gridCol w:w="1110"/>
              <w:gridCol w:w="786"/>
              <w:gridCol w:w="2977"/>
              <w:gridCol w:w="688"/>
              <w:gridCol w:w="80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5" w:type="pct"/>
                  <w:vMerge w:val="restart"/>
                  <w:vAlign w:val="center"/>
                </w:tcPr>
                <w:p>
                  <w:pPr>
                    <w:spacing w:line="240" w:lineRule="auto"/>
                    <w:ind w:firstLine="0" w:firstLineChars="0"/>
                    <w:jc w:val="center"/>
                    <w:rPr>
                      <w:sz w:val="21"/>
                      <w:szCs w:val="21"/>
                    </w:rPr>
                  </w:pPr>
                  <w:r>
                    <w:rPr>
                      <w:sz w:val="21"/>
                      <w:szCs w:val="21"/>
                    </w:rPr>
                    <w:t>序号</w:t>
                  </w:r>
                </w:p>
              </w:tc>
              <w:tc>
                <w:tcPr>
                  <w:tcW w:w="416" w:type="pct"/>
                  <w:vMerge w:val="restart"/>
                  <w:vAlign w:val="center"/>
                </w:tcPr>
                <w:p>
                  <w:pPr>
                    <w:spacing w:line="240" w:lineRule="auto"/>
                    <w:ind w:firstLine="0" w:firstLineChars="0"/>
                    <w:jc w:val="center"/>
                    <w:rPr>
                      <w:sz w:val="21"/>
                      <w:szCs w:val="21"/>
                    </w:rPr>
                  </w:pPr>
                  <w:r>
                    <w:rPr>
                      <w:sz w:val="21"/>
                      <w:szCs w:val="21"/>
                    </w:rPr>
                    <w:t>监测点名称</w:t>
                  </w:r>
                </w:p>
              </w:tc>
              <w:tc>
                <w:tcPr>
                  <w:tcW w:w="1325" w:type="pct"/>
                  <w:gridSpan w:val="2"/>
                  <w:vAlign w:val="center"/>
                </w:tcPr>
                <w:p>
                  <w:pPr>
                    <w:spacing w:line="240" w:lineRule="auto"/>
                    <w:ind w:firstLine="0" w:firstLineChars="0"/>
                    <w:jc w:val="center"/>
                    <w:rPr>
                      <w:sz w:val="21"/>
                      <w:szCs w:val="21"/>
                    </w:rPr>
                  </w:pPr>
                  <w:r>
                    <w:rPr>
                      <w:sz w:val="21"/>
                      <w:szCs w:val="21"/>
                    </w:rPr>
                    <w:t>监测点坐标/m</w:t>
                  </w:r>
                </w:p>
              </w:tc>
              <w:tc>
                <w:tcPr>
                  <w:tcW w:w="451" w:type="pct"/>
                  <w:vMerge w:val="restart"/>
                  <w:vAlign w:val="center"/>
                </w:tcPr>
                <w:p>
                  <w:pPr>
                    <w:spacing w:line="240" w:lineRule="auto"/>
                    <w:ind w:firstLine="0" w:firstLineChars="0"/>
                    <w:jc w:val="center"/>
                    <w:rPr>
                      <w:sz w:val="21"/>
                      <w:szCs w:val="21"/>
                    </w:rPr>
                  </w:pPr>
                  <w:r>
                    <w:rPr>
                      <w:sz w:val="21"/>
                      <w:szCs w:val="21"/>
                    </w:rPr>
                    <w:t>监测因子</w:t>
                  </w:r>
                </w:p>
              </w:tc>
              <w:tc>
                <w:tcPr>
                  <w:tcW w:w="1709" w:type="pct"/>
                  <w:vMerge w:val="restart"/>
                  <w:vAlign w:val="center"/>
                </w:tcPr>
                <w:p>
                  <w:pPr>
                    <w:spacing w:line="240" w:lineRule="auto"/>
                    <w:ind w:firstLine="0" w:firstLineChars="0"/>
                    <w:jc w:val="center"/>
                    <w:rPr>
                      <w:sz w:val="21"/>
                      <w:szCs w:val="21"/>
                    </w:rPr>
                  </w:pPr>
                  <w:r>
                    <w:rPr>
                      <w:sz w:val="21"/>
                      <w:szCs w:val="21"/>
                    </w:rPr>
                    <w:t>监测</w:t>
                  </w:r>
                </w:p>
                <w:p>
                  <w:pPr>
                    <w:spacing w:line="240" w:lineRule="auto"/>
                    <w:ind w:firstLine="0" w:firstLineChars="0"/>
                    <w:jc w:val="center"/>
                    <w:rPr>
                      <w:sz w:val="21"/>
                      <w:szCs w:val="21"/>
                    </w:rPr>
                  </w:pPr>
                  <w:r>
                    <w:rPr>
                      <w:sz w:val="21"/>
                      <w:szCs w:val="21"/>
                    </w:rPr>
                    <w:t>时段</w:t>
                  </w:r>
                </w:p>
              </w:tc>
              <w:tc>
                <w:tcPr>
                  <w:tcW w:w="395" w:type="pct"/>
                  <w:vMerge w:val="restart"/>
                  <w:vAlign w:val="center"/>
                </w:tcPr>
                <w:p>
                  <w:pPr>
                    <w:spacing w:line="240" w:lineRule="auto"/>
                    <w:ind w:firstLine="0" w:firstLineChars="0"/>
                    <w:jc w:val="center"/>
                    <w:rPr>
                      <w:sz w:val="21"/>
                      <w:szCs w:val="21"/>
                    </w:rPr>
                  </w:pPr>
                  <w:r>
                    <w:rPr>
                      <w:sz w:val="21"/>
                      <w:szCs w:val="21"/>
                    </w:rPr>
                    <w:t>相对厂址方位</w:t>
                  </w:r>
                </w:p>
              </w:tc>
              <w:tc>
                <w:tcPr>
                  <w:tcW w:w="459" w:type="pct"/>
                  <w:vMerge w:val="restart"/>
                  <w:vAlign w:val="center"/>
                </w:tcPr>
                <w:p>
                  <w:pPr>
                    <w:spacing w:line="240" w:lineRule="auto"/>
                    <w:ind w:firstLine="0" w:firstLineChars="0"/>
                    <w:jc w:val="center"/>
                    <w:rPr>
                      <w:sz w:val="21"/>
                      <w:szCs w:val="21"/>
                    </w:rPr>
                  </w:pPr>
                  <w:r>
                    <w:rPr>
                      <w:sz w:val="21"/>
                      <w:szCs w:val="21"/>
                    </w:rPr>
                    <w:t>相对厂界距离（m）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5" w:type="pct"/>
                  <w:vMerge w:val="continue"/>
                  <w:vAlign w:val="center"/>
                </w:tcPr>
                <w:p>
                  <w:pPr>
                    <w:spacing w:line="240" w:lineRule="auto"/>
                    <w:ind w:firstLine="0" w:firstLineChars="0"/>
                    <w:jc w:val="center"/>
                    <w:rPr>
                      <w:sz w:val="21"/>
                      <w:szCs w:val="21"/>
                    </w:rPr>
                  </w:pPr>
                </w:p>
              </w:tc>
              <w:tc>
                <w:tcPr>
                  <w:tcW w:w="416" w:type="pct"/>
                  <w:vMerge w:val="continue"/>
                  <w:vAlign w:val="center"/>
                </w:tcPr>
                <w:p>
                  <w:pPr>
                    <w:spacing w:line="240" w:lineRule="auto"/>
                    <w:ind w:firstLine="0" w:firstLineChars="0"/>
                    <w:jc w:val="center"/>
                    <w:rPr>
                      <w:sz w:val="21"/>
                      <w:szCs w:val="21"/>
                    </w:rPr>
                  </w:pPr>
                </w:p>
              </w:tc>
              <w:tc>
                <w:tcPr>
                  <w:tcW w:w="688" w:type="pct"/>
                  <w:vAlign w:val="center"/>
                </w:tcPr>
                <w:p>
                  <w:pPr>
                    <w:spacing w:line="240" w:lineRule="auto"/>
                    <w:ind w:firstLine="0" w:firstLineChars="0"/>
                    <w:jc w:val="center"/>
                    <w:rPr>
                      <w:sz w:val="21"/>
                      <w:szCs w:val="21"/>
                    </w:rPr>
                  </w:pPr>
                  <w:r>
                    <w:rPr>
                      <w:sz w:val="21"/>
                      <w:szCs w:val="21"/>
                    </w:rPr>
                    <w:t>E</w:t>
                  </w:r>
                </w:p>
              </w:tc>
              <w:tc>
                <w:tcPr>
                  <w:tcW w:w="637" w:type="pct"/>
                  <w:vAlign w:val="center"/>
                </w:tcPr>
                <w:p>
                  <w:pPr>
                    <w:spacing w:line="240" w:lineRule="auto"/>
                    <w:ind w:firstLine="0" w:firstLineChars="0"/>
                    <w:jc w:val="center"/>
                    <w:rPr>
                      <w:sz w:val="21"/>
                      <w:szCs w:val="21"/>
                    </w:rPr>
                  </w:pPr>
                  <w:r>
                    <w:t>N</w:t>
                  </w:r>
                </w:p>
              </w:tc>
              <w:tc>
                <w:tcPr>
                  <w:tcW w:w="451" w:type="pct"/>
                  <w:vMerge w:val="continue"/>
                  <w:vAlign w:val="center"/>
                </w:tcPr>
                <w:p>
                  <w:pPr>
                    <w:spacing w:line="240" w:lineRule="auto"/>
                    <w:ind w:firstLine="0" w:firstLineChars="0"/>
                    <w:jc w:val="center"/>
                    <w:rPr>
                      <w:sz w:val="21"/>
                      <w:szCs w:val="21"/>
                    </w:rPr>
                  </w:pPr>
                </w:p>
              </w:tc>
              <w:tc>
                <w:tcPr>
                  <w:tcW w:w="1709" w:type="pct"/>
                  <w:vMerge w:val="continue"/>
                  <w:vAlign w:val="center"/>
                </w:tcPr>
                <w:p>
                  <w:pPr>
                    <w:spacing w:line="240" w:lineRule="auto"/>
                    <w:ind w:firstLine="0" w:firstLineChars="0"/>
                    <w:jc w:val="center"/>
                    <w:rPr>
                      <w:sz w:val="21"/>
                      <w:szCs w:val="21"/>
                    </w:rPr>
                  </w:pPr>
                </w:p>
              </w:tc>
              <w:tc>
                <w:tcPr>
                  <w:tcW w:w="395" w:type="pct"/>
                  <w:vMerge w:val="continue"/>
                  <w:vAlign w:val="center"/>
                </w:tcPr>
                <w:p>
                  <w:pPr>
                    <w:spacing w:line="240" w:lineRule="auto"/>
                    <w:ind w:firstLine="0" w:firstLineChars="0"/>
                    <w:jc w:val="center"/>
                    <w:rPr>
                      <w:sz w:val="21"/>
                      <w:szCs w:val="21"/>
                    </w:rPr>
                  </w:pPr>
                </w:p>
              </w:tc>
              <w:tc>
                <w:tcPr>
                  <w:tcW w:w="459" w:type="pct"/>
                  <w:vMerge w:val="continue"/>
                  <w:vAlign w:val="center"/>
                </w:tcPr>
                <w:p>
                  <w:pPr>
                    <w:spacing w:line="240" w:lineRule="auto"/>
                    <w:ind w:firstLine="0" w:firstLineChars="0"/>
                    <w:jc w:val="center"/>
                    <w:rPr>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5" w:type="pct"/>
                  <w:vAlign w:val="center"/>
                </w:tcPr>
                <w:p>
                  <w:pPr>
                    <w:spacing w:line="240" w:lineRule="auto"/>
                    <w:ind w:firstLine="0" w:firstLineChars="0"/>
                    <w:jc w:val="center"/>
                    <w:rPr>
                      <w:sz w:val="21"/>
                      <w:szCs w:val="21"/>
                    </w:rPr>
                  </w:pPr>
                  <w:r>
                    <w:rPr>
                      <w:sz w:val="21"/>
                      <w:szCs w:val="21"/>
                    </w:rPr>
                    <w:t>1</w:t>
                  </w:r>
                </w:p>
              </w:tc>
              <w:tc>
                <w:tcPr>
                  <w:tcW w:w="416" w:type="pct"/>
                  <w:vAlign w:val="center"/>
                </w:tcPr>
                <w:p>
                  <w:pPr>
                    <w:tabs>
                      <w:tab w:val="left" w:pos="8292"/>
                    </w:tabs>
                    <w:autoSpaceDE w:val="0"/>
                    <w:autoSpaceDN w:val="0"/>
                    <w:spacing w:line="240" w:lineRule="auto"/>
                    <w:ind w:firstLine="0" w:firstLineChars="0"/>
                    <w:jc w:val="center"/>
                    <w:rPr>
                      <w:sz w:val="21"/>
                      <w:szCs w:val="21"/>
                    </w:rPr>
                  </w:pPr>
                  <w:r>
                    <w:rPr>
                      <w:rFonts w:hint="eastAsia"/>
                      <w:bCs/>
                      <w:kern w:val="0"/>
                      <w:sz w:val="21"/>
                      <w:szCs w:val="21"/>
                    </w:rPr>
                    <w:t>长树村</w:t>
                  </w:r>
                </w:p>
              </w:tc>
              <w:tc>
                <w:tcPr>
                  <w:tcW w:w="688" w:type="pct"/>
                  <w:vAlign w:val="center"/>
                </w:tcPr>
                <w:p>
                  <w:pPr>
                    <w:spacing w:line="240" w:lineRule="auto"/>
                    <w:ind w:firstLine="0" w:firstLineChars="0"/>
                    <w:jc w:val="center"/>
                    <w:rPr>
                      <w:sz w:val="21"/>
                      <w:szCs w:val="21"/>
                    </w:rPr>
                  </w:pPr>
                  <w:r>
                    <w:rPr>
                      <w:sz w:val="21"/>
                      <w:szCs w:val="21"/>
                    </w:rPr>
                    <w:t>111.928283</w:t>
                  </w:r>
                </w:p>
              </w:tc>
              <w:tc>
                <w:tcPr>
                  <w:tcW w:w="637" w:type="pct"/>
                  <w:vAlign w:val="center"/>
                </w:tcPr>
                <w:p>
                  <w:pPr>
                    <w:spacing w:line="240" w:lineRule="auto"/>
                    <w:ind w:firstLine="0" w:firstLineChars="0"/>
                    <w:jc w:val="center"/>
                    <w:rPr>
                      <w:sz w:val="21"/>
                      <w:szCs w:val="21"/>
                    </w:rPr>
                  </w:pPr>
                  <w:r>
                    <w:rPr>
                      <w:sz w:val="21"/>
                      <w:szCs w:val="21"/>
                    </w:rPr>
                    <w:t>37.665665</w:t>
                  </w:r>
                </w:p>
              </w:tc>
              <w:tc>
                <w:tcPr>
                  <w:tcW w:w="451" w:type="pct"/>
                  <w:vAlign w:val="center"/>
                </w:tcPr>
                <w:p>
                  <w:pPr>
                    <w:spacing w:line="240" w:lineRule="auto"/>
                    <w:ind w:firstLine="0" w:firstLineChars="0"/>
                    <w:jc w:val="center"/>
                    <w:rPr>
                      <w:bCs/>
                      <w:sz w:val="21"/>
                      <w:szCs w:val="21"/>
                    </w:rPr>
                  </w:pPr>
                  <w:r>
                    <w:rPr>
                      <w:bCs/>
                      <w:sz w:val="21"/>
                      <w:szCs w:val="21"/>
                    </w:rPr>
                    <w:t>TSP</w:t>
                  </w:r>
                </w:p>
              </w:tc>
              <w:tc>
                <w:tcPr>
                  <w:tcW w:w="1709" w:type="pct"/>
                  <w:vAlign w:val="center"/>
                </w:tcPr>
                <w:p>
                  <w:pPr>
                    <w:spacing w:line="240" w:lineRule="auto"/>
                    <w:ind w:firstLine="0" w:firstLineChars="0"/>
                    <w:jc w:val="center"/>
                    <w:rPr>
                      <w:bCs/>
                      <w:sz w:val="21"/>
                      <w:szCs w:val="21"/>
                    </w:rPr>
                  </w:pPr>
                  <w:r>
                    <w:rPr>
                      <w:bCs/>
                      <w:sz w:val="21"/>
                      <w:szCs w:val="21"/>
                    </w:rPr>
                    <w:t>2020年10月1日-7日</w:t>
                  </w:r>
                  <w:r>
                    <w:rPr>
                      <w:rFonts w:hint="eastAsia"/>
                      <w:bCs/>
                      <w:sz w:val="21"/>
                      <w:szCs w:val="21"/>
                    </w:rPr>
                    <w:t>；</w:t>
                  </w:r>
                  <w:r>
                    <w:rPr>
                      <w:bCs/>
                      <w:sz w:val="21"/>
                      <w:szCs w:val="21"/>
                    </w:rPr>
                    <w:t>共监测7天，</w:t>
                  </w:r>
                  <w:r>
                    <w:rPr>
                      <w:rFonts w:hint="eastAsia"/>
                      <w:bCs/>
                      <w:sz w:val="21"/>
                      <w:szCs w:val="21"/>
                    </w:rPr>
                    <w:t>取日均值；</w:t>
                  </w:r>
                  <w:r>
                    <w:rPr>
                      <w:bCs/>
                      <w:sz w:val="21"/>
                      <w:szCs w:val="21"/>
                    </w:rPr>
                    <w:t>采样时同步记录风向、风速、气温、气压等气象参数</w:t>
                  </w:r>
                </w:p>
              </w:tc>
              <w:tc>
                <w:tcPr>
                  <w:tcW w:w="395" w:type="pct"/>
                  <w:vAlign w:val="center"/>
                </w:tcPr>
                <w:p>
                  <w:pPr>
                    <w:spacing w:line="240" w:lineRule="auto"/>
                    <w:ind w:firstLine="0" w:firstLineChars="0"/>
                    <w:jc w:val="center"/>
                    <w:rPr>
                      <w:sz w:val="21"/>
                      <w:szCs w:val="21"/>
                    </w:rPr>
                  </w:pPr>
                  <w:r>
                    <w:rPr>
                      <w:rFonts w:hint="eastAsia"/>
                      <w:bCs/>
                      <w:sz w:val="21"/>
                      <w:szCs w:val="21"/>
                    </w:rPr>
                    <w:t>S</w:t>
                  </w:r>
                  <w:r>
                    <w:rPr>
                      <w:bCs/>
                      <w:sz w:val="21"/>
                      <w:szCs w:val="21"/>
                    </w:rPr>
                    <w:t>E</w:t>
                  </w:r>
                </w:p>
              </w:tc>
              <w:tc>
                <w:tcPr>
                  <w:tcW w:w="459" w:type="pct"/>
                  <w:vAlign w:val="center"/>
                </w:tcPr>
                <w:p>
                  <w:pPr>
                    <w:spacing w:line="240" w:lineRule="auto"/>
                    <w:ind w:firstLine="0" w:firstLineChars="0"/>
                    <w:jc w:val="center"/>
                    <w:rPr>
                      <w:bCs/>
                      <w:sz w:val="21"/>
                      <w:szCs w:val="21"/>
                    </w:rPr>
                  </w:pPr>
                  <w:r>
                    <w:rPr>
                      <w:bCs/>
                      <w:sz w:val="21"/>
                      <w:szCs w:val="21"/>
                    </w:rPr>
                    <w:t>600</w:t>
                  </w:r>
                </w:p>
              </w:tc>
            </w:tr>
          </w:tbl>
          <w:p>
            <w:pPr>
              <w:pStyle w:val="144"/>
              <w:spacing w:before="0" w:after="0"/>
              <w:ind w:firstLine="0" w:firstLineChars="0"/>
              <w:jc w:val="center"/>
              <w:rPr>
                <w:b/>
              </w:rPr>
            </w:pPr>
            <w:r>
              <w:rPr>
                <w:rFonts w:hint="eastAsia" w:ascii="黑体" w:hAnsi="黑体" w:eastAsia="黑体"/>
              </w:rPr>
              <w:t>表</w:t>
            </w:r>
            <w:r>
              <w:rPr>
                <w:rFonts w:ascii="黑体" w:hAnsi="黑体" w:eastAsia="黑体"/>
              </w:rPr>
              <w:t>17</w:t>
            </w:r>
            <w:r>
              <w:rPr>
                <w:rFonts w:hint="eastAsia" w:ascii="黑体" w:hAnsi="黑体" w:eastAsia="黑体"/>
              </w:rPr>
              <w:t xml:space="preserve">  环境空气因子分析方法</w:t>
            </w:r>
          </w:p>
          <w:tbl>
            <w:tblPr>
              <w:tblStyle w:val="7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1518"/>
              <w:gridCol w:w="4972"/>
              <w:gridCol w:w="15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8" w:type="pct"/>
                  <w:vAlign w:val="center"/>
                </w:tcPr>
                <w:p>
                  <w:pPr>
                    <w:pStyle w:val="144"/>
                    <w:spacing w:before="0" w:after="0" w:line="240" w:lineRule="auto"/>
                    <w:ind w:firstLine="0" w:firstLineChars="0"/>
                    <w:jc w:val="center"/>
                    <w:rPr>
                      <w:sz w:val="21"/>
                      <w:szCs w:val="21"/>
                    </w:rPr>
                  </w:pPr>
                  <w:r>
                    <w:rPr>
                      <w:rFonts w:hint="eastAsia"/>
                      <w:sz w:val="21"/>
                      <w:szCs w:val="21"/>
                    </w:rPr>
                    <w:t>序号</w:t>
                  </w:r>
                </w:p>
              </w:tc>
              <w:tc>
                <w:tcPr>
                  <w:tcW w:w="871" w:type="pct"/>
                  <w:vAlign w:val="center"/>
                </w:tcPr>
                <w:p>
                  <w:pPr>
                    <w:pStyle w:val="144"/>
                    <w:spacing w:before="0" w:after="0" w:line="240" w:lineRule="auto"/>
                    <w:ind w:firstLine="0" w:firstLineChars="0"/>
                    <w:jc w:val="center"/>
                    <w:rPr>
                      <w:sz w:val="21"/>
                      <w:szCs w:val="21"/>
                    </w:rPr>
                  </w:pPr>
                  <w:r>
                    <w:rPr>
                      <w:rFonts w:hint="eastAsia"/>
                      <w:sz w:val="21"/>
                      <w:szCs w:val="21"/>
                    </w:rPr>
                    <w:t>环境空气因子</w:t>
                  </w:r>
                </w:p>
              </w:tc>
              <w:tc>
                <w:tcPr>
                  <w:tcW w:w="2852" w:type="pct"/>
                  <w:vAlign w:val="center"/>
                </w:tcPr>
                <w:p>
                  <w:pPr>
                    <w:pStyle w:val="144"/>
                    <w:spacing w:before="0" w:after="0" w:line="240" w:lineRule="auto"/>
                    <w:ind w:firstLine="0" w:firstLineChars="0"/>
                    <w:jc w:val="center"/>
                    <w:rPr>
                      <w:sz w:val="21"/>
                      <w:szCs w:val="21"/>
                    </w:rPr>
                  </w:pPr>
                  <w:r>
                    <w:rPr>
                      <w:rFonts w:hint="eastAsia"/>
                      <w:sz w:val="21"/>
                      <w:szCs w:val="21"/>
                    </w:rPr>
                    <w:t>监测方法标准</w:t>
                  </w:r>
                </w:p>
              </w:tc>
              <w:tc>
                <w:tcPr>
                  <w:tcW w:w="899" w:type="pct"/>
                  <w:vAlign w:val="center"/>
                </w:tcPr>
                <w:p>
                  <w:pPr>
                    <w:pStyle w:val="144"/>
                    <w:spacing w:before="0" w:after="0" w:line="240" w:lineRule="auto"/>
                    <w:ind w:firstLine="0" w:firstLineChars="0"/>
                    <w:jc w:val="center"/>
                    <w:rPr>
                      <w:sz w:val="21"/>
                      <w:szCs w:val="21"/>
                    </w:rPr>
                  </w:pPr>
                  <w:r>
                    <w:rPr>
                      <w:rFonts w:hint="eastAsia"/>
                      <w:sz w:val="21"/>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8" w:type="pct"/>
                  <w:vAlign w:val="center"/>
                </w:tcPr>
                <w:p>
                  <w:pPr>
                    <w:pStyle w:val="144"/>
                    <w:spacing w:before="0" w:after="0" w:line="240" w:lineRule="auto"/>
                    <w:ind w:firstLine="0" w:firstLineChars="0"/>
                    <w:jc w:val="center"/>
                    <w:rPr>
                      <w:sz w:val="21"/>
                      <w:szCs w:val="21"/>
                    </w:rPr>
                  </w:pPr>
                  <w:r>
                    <w:rPr>
                      <w:rFonts w:hint="eastAsia"/>
                      <w:sz w:val="21"/>
                      <w:szCs w:val="21"/>
                    </w:rPr>
                    <w:t>1</w:t>
                  </w:r>
                </w:p>
              </w:tc>
              <w:tc>
                <w:tcPr>
                  <w:tcW w:w="871" w:type="pct"/>
                  <w:vAlign w:val="center"/>
                </w:tcPr>
                <w:p>
                  <w:pPr>
                    <w:pStyle w:val="144"/>
                    <w:spacing w:before="0" w:after="0" w:line="240" w:lineRule="auto"/>
                    <w:ind w:firstLine="0" w:firstLineChars="0"/>
                    <w:jc w:val="center"/>
                    <w:rPr>
                      <w:sz w:val="21"/>
                      <w:szCs w:val="21"/>
                    </w:rPr>
                  </w:pPr>
                  <w:r>
                    <w:rPr>
                      <w:rFonts w:hint="eastAsia"/>
                      <w:sz w:val="21"/>
                      <w:szCs w:val="21"/>
                    </w:rPr>
                    <w:t>T</w:t>
                  </w:r>
                  <w:r>
                    <w:rPr>
                      <w:sz w:val="21"/>
                      <w:szCs w:val="21"/>
                    </w:rPr>
                    <w:t>SP</w:t>
                  </w:r>
                </w:p>
              </w:tc>
              <w:tc>
                <w:tcPr>
                  <w:tcW w:w="2852" w:type="pct"/>
                  <w:vAlign w:val="center"/>
                </w:tcPr>
                <w:p>
                  <w:pPr>
                    <w:pStyle w:val="144"/>
                    <w:spacing w:before="0" w:after="0" w:line="240" w:lineRule="auto"/>
                    <w:ind w:firstLine="0" w:firstLineChars="0"/>
                    <w:jc w:val="center"/>
                    <w:rPr>
                      <w:sz w:val="21"/>
                      <w:szCs w:val="21"/>
                    </w:rPr>
                  </w:pPr>
                  <w:r>
                    <w:rPr>
                      <w:rFonts w:hint="eastAsia"/>
                      <w:sz w:val="21"/>
                      <w:szCs w:val="21"/>
                    </w:rPr>
                    <w:t>《环境空气 总悬浮颗粒物的测定 重量法》（G</w:t>
                  </w:r>
                  <w:r>
                    <w:rPr>
                      <w:sz w:val="21"/>
                      <w:szCs w:val="21"/>
                    </w:rPr>
                    <w:t>B/T15432-1995</w:t>
                  </w:r>
                  <w:r>
                    <w:rPr>
                      <w:rFonts w:hint="eastAsia"/>
                      <w:sz w:val="21"/>
                      <w:szCs w:val="21"/>
                    </w:rPr>
                    <w:t>）</w:t>
                  </w:r>
                </w:p>
              </w:tc>
              <w:tc>
                <w:tcPr>
                  <w:tcW w:w="899" w:type="pct"/>
                  <w:vAlign w:val="center"/>
                </w:tcPr>
                <w:p>
                  <w:pPr>
                    <w:pStyle w:val="144"/>
                    <w:spacing w:before="0" w:after="0" w:line="240" w:lineRule="auto"/>
                    <w:ind w:firstLine="0" w:firstLineChars="0"/>
                    <w:jc w:val="center"/>
                    <w:rPr>
                      <w:sz w:val="21"/>
                      <w:szCs w:val="21"/>
                    </w:rPr>
                  </w:pPr>
                  <w:r>
                    <w:rPr>
                      <w:rFonts w:hint="eastAsia"/>
                      <w:sz w:val="21"/>
                      <w:szCs w:val="21"/>
                    </w:rPr>
                    <w:t>0.001mg/m</w:t>
                  </w:r>
                  <w:r>
                    <w:rPr>
                      <w:rFonts w:hint="eastAsia"/>
                      <w:sz w:val="21"/>
                      <w:szCs w:val="21"/>
                      <w:vertAlign w:val="superscript"/>
                    </w:rPr>
                    <w:t>3</w:t>
                  </w:r>
                </w:p>
              </w:tc>
            </w:tr>
          </w:tbl>
          <w:p>
            <w:pPr>
              <w:ind w:firstLine="480"/>
            </w:pPr>
            <w:r>
              <w:rPr>
                <w:rFonts w:hint="eastAsia"/>
                <w:bCs/>
                <w:color w:val="000000"/>
              </w:rPr>
              <w:t>本次</w:t>
            </w:r>
            <w:r>
              <w:rPr>
                <w:bCs/>
                <w:color w:val="000000"/>
              </w:rPr>
              <w:t>统计监测点污染物的</w:t>
            </w:r>
            <w:r>
              <w:rPr>
                <w:rFonts w:hint="eastAsia"/>
                <w:bCs/>
                <w:color w:val="000000"/>
              </w:rPr>
              <w:t>日均浓度</w:t>
            </w:r>
            <w:r>
              <w:rPr>
                <w:bCs/>
                <w:color w:val="000000"/>
              </w:rPr>
              <w:t>范围、超标率、最大浓度占标率等超标情况。监测统计结果见表18。</w:t>
            </w:r>
          </w:p>
          <w:p>
            <w:pPr>
              <w:widowControl/>
              <w:snapToGrid w:val="0"/>
              <w:ind w:firstLine="0" w:firstLineChars="0"/>
              <w:jc w:val="center"/>
              <w:rPr>
                <w:rFonts w:ascii="黑体" w:hAnsi="黑体" w:eastAsia="黑体"/>
                <w:szCs w:val="24"/>
              </w:rPr>
            </w:pPr>
            <w:r>
              <w:rPr>
                <w:rFonts w:ascii="黑体" w:hAnsi="黑体" w:eastAsia="黑体"/>
                <w:szCs w:val="24"/>
              </w:rPr>
              <w:t xml:space="preserve">表18  </w:t>
            </w:r>
            <w:r>
              <w:rPr>
                <w:rFonts w:ascii="黑体" w:hAnsi="黑体" w:eastAsia="黑体"/>
                <w:bCs/>
                <w:szCs w:val="24"/>
              </w:rPr>
              <w:t>TSP</w:t>
            </w:r>
            <w:r>
              <w:rPr>
                <w:rFonts w:ascii="黑体" w:hAnsi="黑体" w:eastAsia="黑体"/>
                <w:szCs w:val="24"/>
              </w:rPr>
              <w:t>监测值统计结果</w:t>
            </w:r>
          </w:p>
          <w:tbl>
            <w:tblPr>
              <w:tblStyle w:val="70"/>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251"/>
              <w:gridCol w:w="1296"/>
              <w:gridCol w:w="1567"/>
              <w:gridCol w:w="1572"/>
              <w:gridCol w:w="1246"/>
              <w:gridCol w:w="979"/>
              <w:gridCol w:w="80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718" w:type="pct"/>
                  <w:vMerge w:val="restart"/>
                  <w:vAlign w:val="center"/>
                </w:tcPr>
                <w:p>
                  <w:pPr>
                    <w:spacing w:line="240" w:lineRule="auto"/>
                    <w:ind w:firstLine="0" w:firstLineChars="0"/>
                    <w:jc w:val="center"/>
                    <w:rPr>
                      <w:sz w:val="21"/>
                      <w:szCs w:val="21"/>
                    </w:rPr>
                  </w:pPr>
                  <w:r>
                    <w:rPr>
                      <w:sz w:val="21"/>
                      <w:szCs w:val="21"/>
                    </w:rPr>
                    <w:t>点位名称</w:t>
                  </w:r>
                </w:p>
              </w:tc>
              <w:tc>
                <w:tcPr>
                  <w:tcW w:w="744" w:type="pct"/>
                  <w:vMerge w:val="restart"/>
                  <w:vAlign w:val="center"/>
                </w:tcPr>
                <w:p>
                  <w:pPr>
                    <w:spacing w:line="240" w:lineRule="auto"/>
                    <w:ind w:firstLine="0" w:firstLineChars="0"/>
                    <w:jc w:val="center"/>
                    <w:rPr>
                      <w:sz w:val="21"/>
                      <w:szCs w:val="21"/>
                    </w:rPr>
                  </w:pPr>
                  <w:r>
                    <w:rPr>
                      <w:sz w:val="21"/>
                      <w:szCs w:val="21"/>
                    </w:rPr>
                    <w:t>平均时间</w:t>
                  </w:r>
                </w:p>
              </w:tc>
              <w:tc>
                <w:tcPr>
                  <w:tcW w:w="899" w:type="pct"/>
                  <w:vMerge w:val="restart"/>
                  <w:vAlign w:val="center"/>
                </w:tcPr>
                <w:p>
                  <w:pPr>
                    <w:spacing w:line="240" w:lineRule="auto"/>
                    <w:ind w:firstLine="0" w:firstLineChars="0"/>
                    <w:jc w:val="center"/>
                    <w:rPr>
                      <w:sz w:val="21"/>
                      <w:szCs w:val="21"/>
                    </w:rPr>
                  </w:pPr>
                  <w:r>
                    <w:rPr>
                      <w:sz w:val="21"/>
                      <w:szCs w:val="21"/>
                    </w:rPr>
                    <w:t>评价标准（μg/Nm</w:t>
                  </w:r>
                  <w:r>
                    <w:rPr>
                      <w:sz w:val="21"/>
                      <w:szCs w:val="21"/>
                      <w:vertAlign w:val="superscript"/>
                    </w:rPr>
                    <w:t>3</w:t>
                  </w:r>
                  <w:r>
                    <w:rPr>
                      <w:sz w:val="21"/>
                      <w:szCs w:val="21"/>
                    </w:rPr>
                    <w:t>）</w:t>
                  </w:r>
                </w:p>
              </w:tc>
              <w:tc>
                <w:tcPr>
                  <w:tcW w:w="902" w:type="pct"/>
                  <w:vMerge w:val="restart"/>
                  <w:vAlign w:val="center"/>
                </w:tcPr>
                <w:p>
                  <w:pPr>
                    <w:spacing w:line="240" w:lineRule="auto"/>
                    <w:ind w:firstLine="0" w:firstLineChars="0"/>
                    <w:jc w:val="center"/>
                    <w:rPr>
                      <w:sz w:val="21"/>
                      <w:szCs w:val="21"/>
                    </w:rPr>
                  </w:pPr>
                  <w:r>
                    <w:rPr>
                      <w:sz w:val="21"/>
                      <w:szCs w:val="21"/>
                    </w:rPr>
                    <w:t>监测浓度范围（μg/Nm</w:t>
                  </w:r>
                  <w:r>
                    <w:rPr>
                      <w:sz w:val="21"/>
                      <w:szCs w:val="21"/>
                      <w:vertAlign w:val="superscript"/>
                    </w:rPr>
                    <w:t>3</w:t>
                  </w:r>
                  <w:r>
                    <w:rPr>
                      <w:sz w:val="21"/>
                      <w:szCs w:val="21"/>
                    </w:rPr>
                    <w:t>）</w:t>
                  </w:r>
                </w:p>
              </w:tc>
              <w:tc>
                <w:tcPr>
                  <w:tcW w:w="715" w:type="pct"/>
                  <w:vMerge w:val="restart"/>
                  <w:vAlign w:val="center"/>
                </w:tcPr>
                <w:p>
                  <w:pPr>
                    <w:spacing w:line="240" w:lineRule="auto"/>
                    <w:ind w:firstLine="0" w:firstLineChars="0"/>
                    <w:jc w:val="center"/>
                    <w:rPr>
                      <w:sz w:val="21"/>
                      <w:szCs w:val="21"/>
                    </w:rPr>
                  </w:pPr>
                  <w:r>
                    <w:rPr>
                      <w:sz w:val="21"/>
                      <w:szCs w:val="21"/>
                    </w:rPr>
                    <w:t>最大浓度占标率（%）</w:t>
                  </w:r>
                </w:p>
              </w:tc>
              <w:tc>
                <w:tcPr>
                  <w:tcW w:w="562" w:type="pct"/>
                  <w:vMerge w:val="restart"/>
                  <w:vAlign w:val="center"/>
                </w:tcPr>
                <w:p>
                  <w:pPr>
                    <w:spacing w:line="240" w:lineRule="auto"/>
                    <w:ind w:firstLine="0" w:firstLineChars="0"/>
                    <w:jc w:val="center"/>
                    <w:rPr>
                      <w:sz w:val="21"/>
                      <w:szCs w:val="21"/>
                    </w:rPr>
                  </w:pPr>
                  <w:r>
                    <w:rPr>
                      <w:sz w:val="21"/>
                      <w:szCs w:val="21"/>
                    </w:rPr>
                    <w:t>超标率（%）</w:t>
                  </w:r>
                </w:p>
              </w:tc>
              <w:tc>
                <w:tcPr>
                  <w:tcW w:w="459" w:type="pct"/>
                  <w:vMerge w:val="restart"/>
                  <w:vAlign w:val="center"/>
                </w:tcPr>
                <w:p>
                  <w:pPr>
                    <w:spacing w:line="240" w:lineRule="auto"/>
                    <w:ind w:firstLine="0" w:firstLineChars="0"/>
                    <w:jc w:val="center"/>
                    <w:rPr>
                      <w:sz w:val="21"/>
                      <w:szCs w:val="21"/>
                    </w:rPr>
                  </w:pPr>
                  <w:r>
                    <w:rPr>
                      <w:sz w:val="21"/>
                      <w:szCs w:val="21"/>
                    </w:rPr>
                    <w:t>达标情况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8" w:type="pct"/>
                  <w:vMerge w:val="continue"/>
                  <w:vAlign w:val="center"/>
                </w:tcPr>
                <w:p>
                  <w:pPr>
                    <w:spacing w:line="240" w:lineRule="auto"/>
                    <w:ind w:firstLine="0" w:firstLineChars="0"/>
                    <w:jc w:val="center"/>
                    <w:rPr>
                      <w:sz w:val="21"/>
                      <w:szCs w:val="21"/>
                    </w:rPr>
                  </w:pPr>
                </w:p>
              </w:tc>
              <w:tc>
                <w:tcPr>
                  <w:tcW w:w="744" w:type="pct"/>
                  <w:vMerge w:val="continue"/>
                  <w:vAlign w:val="center"/>
                </w:tcPr>
                <w:p>
                  <w:pPr>
                    <w:spacing w:line="240" w:lineRule="auto"/>
                    <w:ind w:firstLine="0" w:firstLineChars="0"/>
                    <w:jc w:val="center"/>
                    <w:rPr>
                      <w:sz w:val="21"/>
                      <w:szCs w:val="21"/>
                    </w:rPr>
                  </w:pPr>
                </w:p>
              </w:tc>
              <w:tc>
                <w:tcPr>
                  <w:tcW w:w="899" w:type="pct"/>
                  <w:vMerge w:val="continue"/>
                  <w:vAlign w:val="center"/>
                </w:tcPr>
                <w:p>
                  <w:pPr>
                    <w:spacing w:line="240" w:lineRule="auto"/>
                    <w:ind w:firstLine="0" w:firstLineChars="0"/>
                    <w:jc w:val="center"/>
                    <w:rPr>
                      <w:sz w:val="21"/>
                      <w:szCs w:val="21"/>
                    </w:rPr>
                  </w:pPr>
                </w:p>
              </w:tc>
              <w:tc>
                <w:tcPr>
                  <w:tcW w:w="902" w:type="pct"/>
                  <w:vMerge w:val="continue"/>
                  <w:vAlign w:val="center"/>
                </w:tcPr>
                <w:p>
                  <w:pPr>
                    <w:spacing w:line="240" w:lineRule="auto"/>
                    <w:ind w:firstLine="0" w:firstLineChars="0"/>
                    <w:jc w:val="center"/>
                    <w:rPr>
                      <w:sz w:val="21"/>
                      <w:szCs w:val="21"/>
                    </w:rPr>
                  </w:pPr>
                </w:p>
              </w:tc>
              <w:tc>
                <w:tcPr>
                  <w:tcW w:w="715" w:type="pct"/>
                  <w:vMerge w:val="continue"/>
                  <w:vAlign w:val="center"/>
                </w:tcPr>
                <w:p>
                  <w:pPr>
                    <w:spacing w:line="240" w:lineRule="auto"/>
                    <w:ind w:firstLine="0" w:firstLineChars="0"/>
                    <w:jc w:val="center"/>
                    <w:rPr>
                      <w:sz w:val="21"/>
                      <w:szCs w:val="21"/>
                    </w:rPr>
                  </w:pPr>
                </w:p>
              </w:tc>
              <w:tc>
                <w:tcPr>
                  <w:tcW w:w="562" w:type="pct"/>
                  <w:vMerge w:val="continue"/>
                  <w:vAlign w:val="center"/>
                </w:tcPr>
                <w:p>
                  <w:pPr>
                    <w:spacing w:line="240" w:lineRule="auto"/>
                    <w:ind w:firstLine="0" w:firstLineChars="0"/>
                    <w:jc w:val="center"/>
                    <w:rPr>
                      <w:sz w:val="21"/>
                      <w:szCs w:val="21"/>
                    </w:rPr>
                  </w:pPr>
                </w:p>
              </w:tc>
              <w:tc>
                <w:tcPr>
                  <w:tcW w:w="459" w:type="pct"/>
                  <w:vMerge w:val="continue"/>
                  <w:vAlign w:val="center"/>
                </w:tcPr>
                <w:p>
                  <w:pPr>
                    <w:spacing w:line="240" w:lineRule="auto"/>
                    <w:ind w:firstLine="0" w:firstLineChars="0"/>
                    <w:jc w:val="center"/>
                    <w:rPr>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8" w:type="pct"/>
                  <w:vAlign w:val="center"/>
                </w:tcPr>
                <w:p>
                  <w:pPr>
                    <w:tabs>
                      <w:tab w:val="left" w:pos="8292"/>
                    </w:tabs>
                    <w:autoSpaceDE w:val="0"/>
                    <w:autoSpaceDN w:val="0"/>
                    <w:spacing w:line="240" w:lineRule="auto"/>
                    <w:ind w:firstLine="0" w:firstLineChars="0"/>
                    <w:jc w:val="center"/>
                    <w:rPr>
                      <w:sz w:val="21"/>
                      <w:szCs w:val="21"/>
                    </w:rPr>
                  </w:pPr>
                  <w:r>
                    <w:rPr>
                      <w:rFonts w:hint="eastAsia"/>
                      <w:bCs/>
                      <w:kern w:val="0"/>
                      <w:sz w:val="21"/>
                      <w:szCs w:val="21"/>
                    </w:rPr>
                    <w:t>长树村</w:t>
                  </w:r>
                </w:p>
              </w:tc>
              <w:tc>
                <w:tcPr>
                  <w:tcW w:w="744" w:type="pct"/>
                  <w:vAlign w:val="center"/>
                </w:tcPr>
                <w:p>
                  <w:pPr>
                    <w:spacing w:line="240" w:lineRule="auto"/>
                    <w:ind w:firstLine="0" w:firstLineChars="0"/>
                    <w:jc w:val="center"/>
                    <w:rPr>
                      <w:sz w:val="21"/>
                      <w:szCs w:val="21"/>
                    </w:rPr>
                  </w:pPr>
                  <w:r>
                    <w:rPr>
                      <w:sz w:val="21"/>
                      <w:szCs w:val="21"/>
                    </w:rPr>
                    <w:t>24</w:t>
                  </w:r>
                  <w:r>
                    <w:rPr>
                      <w:rFonts w:hint="eastAsia"/>
                      <w:sz w:val="21"/>
                      <w:szCs w:val="21"/>
                    </w:rPr>
                    <w:t>h平均</w:t>
                  </w:r>
                </w:p>
              </w:tc>
              <w:tc>
                <w:tcPr>
                  <w:tcW w:w="899" w:type="pct"/>
                  <w:vAlign w:val="center"/>
                </w:tcPr>
                <w:p>
                  <w:pPr>
                    <w:spacing w:line="240" w:lineRule="auto"/>
                    <w:ind w:firstLine="0" w:firstLineChars="0"/>
                    <w:jc w:val="center"/>
                    <w:rPr>
                      <w:sz w:val="21"/>
                      <w:szCs w:val="21"/>
                    </w:rPr>
                  </w:pPr>
                  <w:r>
                    <w:rPr>
                      <w:sz w:val="21"/>
                      <w:szCs w:val="21"/>
                    </w:rPr>
                    <w:t>300</w:t>
                  </w:r>
                </w:p>
              </w:tc>
              <w:tc>
                <w:tcPr>
                  <w:tcW w:w="902" w:type="pct"/>
                  <w:vAlign w:val="center"/>
                </w:tcPr>
                <w:p>
                  <w:pPr>
                    <w:widowControl/>
                    <w:spacing w:line="240" w:lineRule="auto"/>
                    <w:ind w:firstLine="0" w:firstLineChars="0"/>
                    <w:jc w:val="center"/>
                    <w:rPr>
                      <w:sz w:val="21"/>
                      <w:szCs w:val="21"/>
                    </w:rPr>
                  </w:pPr>
                  <w:r>
                    <w:rPr>
                      <w:kern w:val="0"/>
                      <w:sz w:val="21"/>
                      <w:szCs w:val="21"/>
                    </w:rPr>
                    <w:t>138-248</w:t>
                  </w:r>
                </w:p>
              </w:tc>
              <w:tc>
                <w:tcPr>
                  <w:tcW w:w="715" w:type="pct"/>
                  <w:vAlign w:val="center"/>
                </w:tcPr>
                <w:p>
                  <w:pPr>
                    <w:widowControl/>
                    <w:spacing w:line="240" w:lineRule="auto"/>
                    <w:ind w:firstLine="0" w:firstLineChars="0"/>
                    <w:jc w:val="center"/>
                    <w:rPr>
                      <w:sz w:val="21"/>
                      <w:szCs w:val="21"/>
                    </w:rPr>
                  </w:pPr>
                  <w:r>
                    <w:rPr>
                      <w:kern w:val="0"/>
                      <w:sz w:val="21"/>
                      <w:szCs w:val="21"/>
                    </w:rPr>
                    <w:t>82.7</w:t>
                  </w:r>
                </w:p>
              </w:tc>
              <w:tc>
                <w:tcPr>
                  <w:tcW w:w="562" w:type="pct"/>
                  <w:vAlign w:val="center"/>
                </w:tcPr>
                <w:p>
                  <w:pPr>
                    <w:spacing w:line="240" w:lineRule="auto"/>
                    <w:ind w:firstLine="0" w:firstLineChars="0"/>
                    <w:jc w:val="center"/>
                    <w:rPr>
                      <w:sz w:val="21"/>
                      <w:szCs w:val="21"/>
                    </w:rPr>
                  </w:pPr>
                  <w:r>
                    <w:rPr>
                      <w:sz w:val="21"/>
                      <w:szCs w:val="21"/>
                    </w:rPr>
                    <w:t>0</w:t>
                  </w:r>
                </w:p>
              </w:tc>
              <w:tc>
                <w:tcPr>
                  <w:tcW w:w="459" w:type="pct"/>
                  <w:vAlign w:val="center"/>
                </w:tcPr>
                <w:p>
                  <w:pPr>
                    <w:spacing w:line="240" w:lineRule="auto"/>
                    <w:ind w:firstLine="0" w:firstLineChars="0"/>
                    <w:jc w:val="center"/>
                    <w:rPr>
                      <w:sz w:val="21"/>
                      <w:szCs w:val="21"/>
                    </w:rPr>
                  </w:pPr>
                  <w:r>
                    <w:rPr>
                      <w:sz w:val="21"/>
                      <w:szCs w:val="21"/>
                    </w:rPr>
                    <w:t>达标</w:t>
                  </w:r>
                </w:p>
              </w:tc>
            </w:tr>
          </w:tbl>
          <w:p>
            <w:pPr>
              <w:ind w:firstLine="480"/>
            </w:pPr>
            <w:r>
              <w:rPr>
                <w:bCs/>
                <w:szCs w:val="24"/>
              </w:rPr>
              <w:t>由</w:t>
            </w:r>
            <w:r>
              <w:rPr>
                <w:rFonts w:hint="eastAsia"/>
                <w:bCs/>
                <w:szCs w:val="24"/>
              </w:rPr>
              <w:t>上</w:t>
            </w:r>
            <w:r>
              <w:rPr>
                <w:bCs/>
                <w:szCs w:val="24"/>
              </w:rPr>
              <w:t>表可知，</w:t>
            </w:r>
            <w:r>
              <w:rPr>
                <w:rFonts w:hint="eastAsia"/>
                <w:bCs/>
                <w:szCs w:val="24"/>
              </w:rPr>
              <w:t>长树村</w:t>
            </w:r>
            <w:r>
              <w:rPr>
                <w:bCs/>
                <w:szCs w:val="24"/>
              </w:rPr>
              <w:t>监测点位TSP24小时平均浓度范围为</w:t>
            </w:r>
            <w:r>
              <w:rPr>
                <w:szCs w:val="24"/>
              </w:rPr>
              <w:t>138-248μg/Nm</w:t>
            </w:r>
            <w:r>
              <w:rPr>
                <w:szCs w:val="24"/>
                <w:vertAlign w:val="superscript"/>
              </w:rPr>
              <w:t>3</w:t>
            </w:r>
            <w:r>
              <w:rPr>
                <w:szCs w:val="24"/>
              </w:rPr>
              <w:t>之间</w:t>
            </w:r>
            <w:r>
              <w:rPr>
                <w:bCs/>
                <w:szCs w:val="24"/>
              </w:rPr>
              <w:t>，最大浓度占标率为82.7%</w:t>
            </w:r>
            <w:r>
              <w:rPr>
                <w:rFonts w:hint="eastAsia"/>
                <w:bCs/>
                <w:szCs w:val="24"/>
              </w:rPr>
              <w:t>，监测期间</w:t>
            </w:r>
            <w:r>
              <w:rPr>
                <w:bCs/>
                <w:szCs w:val="24"/>
              </w:rPr>
              <w:t>TSP24</w:t>
            </w:r>
            <w:r>
              <w:rPr>
                <w:rFonts w:hint="eastAsia"/>
                <w:bCs/>
                <w:szCs w:val="24"/>
              </w:rPr>
              <w:t>小时平均浓度达标</w:t>
            </w:r>
            <w:r>
              <w:rPr>
                <w:bCs/>
                <w:szCs w:val="24"/>
              </w:rPr>
              <w:t>。</w:t>
            </w:r>
          </w:p>
          <w:p>
            <w:pPr>
              <w:ind w:firstLine="0" w:firstLineChars="0"/>
              <w:rPr>
                <w:rFonts w:hAnsi="宋体"/>
                <w:b/>
              </w:rPr>
            </w:pPr>
            <w:r>
              <w:rPr>
                <w:rFonts w:hint="eastAsia" w:hAnsi="宋体"/>
                <w:b/>
              </w:rPr>
              <w:t>2、地表水水环境质量现状</w:t>
            </w:r>
          </w:p>
          <w:p>
            <w:pPr>
              <w:ind w:firstLine="480"/>
            </w:pPr>
            <w:r>
              <w:rPr>
                <w:rFonts w:hint="eastAsia"/>
              </w:rPr>
              <w:t>本项目建成投入使用后，无生产废水产生及排放；</w:t>
            </w:r>
            <w:r>
              <w:rPr>
                <w:rFonts w:hint="eastAsia" w:hAnsi="宋体"/>
              </w:rPr>
              <w:t>生活污水产生量按用水量的</w:t>
            </w:r>
            <w:r>
              <w:rPr>
                <w:rFonts w:hAnsi="宋体"/>
              </w:rPr>
              <w:t>80%</w:t>
            </w:r>
            <w:r>
              <w:rPr>
                <w:rFonts w:hint="eastAsia" w:hAnsi="宋体"/>
              </w:rPr>
              <w:t>计，则生活污水产生量为</w:t>
            </w:r>
            <w:r>
              <w:rPr>
                <w:rFonts w:hAnsi="宋体"/>
              </w:rPr>
              <w:t>0.48</w:t>
            </w:r>
            <w:r>
              <w:rPr>
                <w:bCs/>
              </w:rPr>
              <w:t>m</w:t>
            </w:r>
            <w:r>
              <w:rPr>
                <w:bCs/>
                <w:vertAlign w:val="superscript"/>
              </w:rPr>
              <w:t>3</w:t>
            </w:r>
            <w:r>
              <w:rPr>
                <w:bCs/>
              </w:rPr>
              <w:t>/d</w:t>
            </w:r>
            <w:r>
              <w:rPr>
                <w:rFonts w:hint="eastAsia" w:hAnsi="宋体"/>
              </w:rPr>
              <w:t>；主要为盥洗废水、食堂废水；其中盥洗废水（</w:t>
            </w:r>
            <w:r>
              <w:rPr>
                <w:rFonts w:hAnsi="宋体"/>
              </w:rPr>
              <w:t>0.24</w:t>
            </w:r>
            <w:r>
              <w:rPr>
                <w:bCs/>
              </w:rPr>
              <w:t xml:space="preserve"> m</w:t>
            </w:r>
            <w:r>
              <w:rPr>
                <w:bCs/>
                <w:vertAlign w:val="superscript"/>
              </w:rPr>
              <w:t>3</w:t>
            </w:r>
            <w:r>
              <w:rPr>
                <w:bCs/>
              </w:rPr>
              <w:t>/d</w:t>
            </w:r>
            <w:r>
              <w:rPr>
                <w:rFonts w:hint="eastAsia" w:hAnsi="宋体"/>
              </w:rPr>
              <w:t>）直接用于厂区泼洒抑尘，食堂餐余物及食堂废水（</w:t>
            </w:r>
            <w:r>
              <w:rPr>
                <w:rFonts w:hAnsi="宋体"/>
              </w:rPr>
              <w:t>0.24</w:t>
            </w:r>
            <w:r>
              <w:rPr>
                <w:bCs/>
              </w:rPr>
              <w:t>m</w:t>
            </w:r>
            <w:r>
              <w:rPr>
                <w:bCs/>
                <w:vertAlign w:val="superscript"/>
              </w:rPr>
              <w:t>3</w:t>
            </w:r>
            <w:r>
              <w:rPr>
                <w:bCs/>
              </w:rPr>
              <w:t>/d</w:t>
            </w:r>
            <w:r>
              <w:rPr>
                <w:rFonts w:hint="eastAsia" w:hAnsi="宋体"/>
              </w:rPr>
              <w:t>）经收集后委托有相关资质的单位外运处置。本项目无废水外排，对当地地表水环境影响较小。</w:t>
            </w:r>
            <w:r>
              <w:rPr>
                <w:rFonts w:hint="eastAsia"/>
              </w:rPr>
              <w:t>因此，本次评价根据该项目的工程特征，主要针对厂区</w:t>
            </w:r>
            <w:r>
              <w:rPr>
                <w:rFonts w:hint="eastAsia" w:hAnsi="宋体"/>
              </w:rPr>
              <w:t>食堂餐余物及食堂废水</w:t>
            </w:r>
            <w:r>
              <w:rPr>
                <w:rFonts w:hint="eastAsia"/>
              </w:rPr>
              <w:t>排水进行控制，未收集相关地表水监测资料。</w:t>
            </w:r>
          </w:p>
          <w:p>
            <w:pPr>
              <w:ind w:firstLine="0" w:firstLineChars="0"/>
              <w:rPr>
                <w:rFonts w:hAnsi="宋体"/>
                <w:b/>
              </w:rPr>
            </w:pPr>
            <w:r>
              <w:rPr>
                <w:rFonts w:hint="eastAsia" w:hAnsi="宋体"/>
                <w:b/>
              </w:rPr>
              <w:t>3、</w:t>
            </w:r>
            <w:r>
              <w:rPr>
                <w:rFonts w:hAnsi="宋体"/>
                <w:b/>
              </w:rPr>
              <w:t>声环境</w:t>
            </w:r>
            <w:r>
              <w:rPr>
                <w:rFonts w:hint="eastAsia" w:hAnsi="宋体"/>
                <w:b/>
              </w:rPr>
              <w:t>现状</w:t>
            </w:r>
          </w:p>
          <w:p>
            <w:pPr>
              <w:ind w:firstLine="480"/>
            </w:pPr>
            <w:r>
              <w:rPr>
                <w:rFonts w:hint="eastAsia"/>
              </w:rPr>
              <w:t>本次评价委托山西宏境检测有限公司对厂界声环境质量现状进行了监测，监测点位、项目、频次、时间及要求见下表。监测报告及监测布点图见附件。</w:t>
            </w:r>
          </w:p>
          <w:p>
            <w:pPr>
              <w:ind w:firstLine="0" w:firstLineChars="0"/>
              <w:jc w:val="center"/>
              <w:rPr>
                <w:rFonts w:ascii="黑体" w:hAnsi="黑体" w:eastAsia="黑体"/>
                <w:bCs/>
              </w:rPr>
            </w:pPr>
            <w:r>
              <w:rPr>
                <w:rFonts w:hint="eastAsia" w:ascii="黑体" w:hAnsi="黑体" w:eastAsia="黑体"/>
                <w:bCs/>
              </w:rPr>
              <w:t>表</w:t>
            </w:r>
            <w:r>
              <w:rPr>
                <w:rFonts w:ascii="黑体" w:hAnsi="黑体" w:eastAsia="黑体"/>
                <w:bCs/>
              </w:rPr>
              <w:t>19</w:t>
            </w:r>
            <w:r>
              <w:rPr>
                <w:rFonts w:hint="eastAsia" w:ascii="黑体" w:hAnsi="黑体" w:eastAsia="黑体"/>
                <w:bCs/>
              </w:rPr>
              <w:t xml:space="preserve">  厂界声环境质量现状监测点位、项目、频次一览表</w:t>
            </w:r>
          </w:p>
          <w:tbl>
            <w:tblPr>
              <w:tblStyle w:val="7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8"/>
              <w:gridCol w:w="1116"/>
              <w:gridCol w:w="1225"/>
              <w:gridCol w:w="1254"/>
              <w:gridCol w:w="2411"/>
              <w:gridCol w:w="1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8" w:type="dxa"/>
                  <w:vAlign w:val="center"/>
                </w:tcPr>
                <w:p>
                  <w:pPr>
                    <w:spacing w:line="240" w:lineRule="auto"/>
                    <w:ind w:firstLine="0" w:firstLineChars="0"/>
                    <w:jc w:val="center"/>
                    <w:rPr>
                      <w:sz w:val="21"/>
                      <w:szCs w:val="21"/>
                    </w:rPr>
                  </w:pPr>
                  <w:r>
                    <w:rPr>
                      <w:rFonts w:hint="eastAsia"/>
                      <w:sz w:val="21"/>
                      <w:szCs w:val="21"/>
                    </w:rPr>
                    <w:t>监测类别</w:t>
                  </w:r>
                </w:p>
              </w:tc>
              <w:tc>
                <w:tcPr>
                  <w:tcW w:w="1116" w:type="dxa"/>
                  <w:vAlign w:val="center"/>
                </w:tcPr>
                <w:p>
                  <w:pPr>
                    <w:spacing w:line="240" w:lineRule="auto"/>
                    <w:ind w:firstLine="0" w:firstLineChars="0"/>
                    <w:jc w:val="center"/>
                    <w:rPr>
                      <w:sz w:val="21"/>
                      <w:szCs w:val="21"/>
                    </w:rPr>
                  </w:pPr>
                  <w:r>
                    <w:rPr>
                      <w:rFonts w:hint="eastAsia"/>
                      <w:sz w:val="21"/>
                      <w:szCs w:val="21"/>
                    </w:rPr>
                    <w:t>监测点位</w:t>
                  </w:r>
                </w:p>
              </w:tc>
              <w:tc>
                <w:tcPr>
                  <w:tcW w:w="1225" w:type="dxa"/>
                  <w:vAlign w:val="center"/>
                </w:tcPr>
                <w:p>
                  <w:pPr>
                    <w:spacing w:line="240" w:lineRule="auto"/>
                    <w:ind w:firstLine="0" w:firstLineChars="0"/>
                    <w:jc w:val="center"/>
                    <w:rPr>
                      <w:sz w:val="21"/>
                      <w:szCs w:val="21"/>
                    </w:rPr>
                  </w:pPr>
                  <w:r>
                    <w:rPr>
                      <w:rFonts w:hint="eastAsia"/>
                      <w:sz w:val="21"/>
                      <w:szCs w:val="21"/>
                    </w:rPr>
                    <w:t>方位距离</w:t>
                  </w:r>
                </w:p>
              </w:tc>
              <w:tc>
                <w:tcPr>
                  <w:tcW w:w="1254" w:type="dxa"/>
                  <w:vAlign w:val="center"/>
                </w:tcPr>
                <w:p>
                  <w:pPr>
                    <w:spacing w:line="240" w:lineRule="auto"/>
                    <w:ind w:firstLine="0" w:firstLineChars="0"/>
                    <w:jc w:val="center"/>
                    <w:rPr>
                      <w:sz w:val="21"/>
                      <w:szCs w:val="21"/>
                    </w:rPr>
                  </w:pPr>
                  <w:r>
                    <w:rPr>
                      <w:rFonts w:hint="eastAsia"/>
                      <w:sz w:val="21"/>
                      <w:szCs w:val="21"/>
                    </w:rPr>
                    <w:t>监测项目</w:t>
                  </w:r>
                </w:p>
              </w:tc>
              <w:tc>
                <w:tcPr>
                  <w:tcW w:w="2411" w:type="dxa"/>
                  <w:vAlign w:val="center"/>
                </w:tcPr>
                <w:p>
                  <w:pPr>
                    <w:spacing w:line="240" w:lineRule="auto"/>
                    <w:ind w:firstLine="0" w:firstLineChars="0"/>
                    <w:jc w:val="center"/>
                    <w:rPr>
                      <w:sz w:val="21"/>
                      <w:szCs w:val="21"/>
                    </w:rPr>
                  </w:pPr>
                  <w:r>
                    <w:rPr>
                      <w:rFonts w:hint="eastAsia"/>
                      <w:sz w:val="21"/>
                      <w:szCs w:val="21"/>
                    </w:rPr>
                    <w:t>监测频次、时间</w:t>
                  </w:r>
                </w:p>
              </w:tc>
              <w:tc>
                <w:tcPr>
                  <w:tcW w:w="1632" w:type="dxa"/>
                  <w:vAlign w:val="center"/>
                </w:tcPr>
                <w:p>
                  <w:pPr>
                    <w:spacing w:line="240" w:lineRule="auto"/>
                    <w:ind w:firstLine="0" w:firstLineChars="0"/>
                    <w:jc w:val="center"/>
                    <w:rPr>
                      <w:sz w:val="21"/>
                      <w:szCs w:val="21"/>
                    </w:rPr>
                  </w:pPr>
                  <w:r>
                    <w:rPr>
                      <w:rFonts w:hint="eastAsia"/>
                      <w:sz w:val="21"/>
                      <w:szCs w:val="21"/>
                    </w:rPr>
                    <w:t>监测要求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8" w:type="dxa"/>
                  <w:vAlign w:val="center"/>
                </w:tcPr>
                <w:p>
                  <w:pPr>
                    <w:spacing w:line="240" w:lineRule="auto"/>
                    <w:ind w:firstLine="0" w:firstLineChars="0"/>
                    <w:jc w:val="center"/>
                    <w:rPr>
                      <w:sz w:val="21"/>
                      <w:szCs w:val="21"/>
                    </w:rPr>
                  </w:pPr>
                  <w:r>
                    <w:rPr>
                      <w:rFonts w:hint="eastAsia"/>
                      <w:sz w:val="21"/>
                      <w:szCs w:val="21"/>
                    </w:rPr>
                    <w:t>噪声</w:t>
                  </w:r>
                </w:p>
              </w:tc>
              <w:tc>
                <w:tcPr>
                  <w:tcW w:w="1116" w:type="dxa"/>
                  <w:vAlign w:val="center"/>
                </w:tcPr>
                <w:p>
                  <w:pPr>
                    <w:spacing w:line="240" w:lineRule="auto"/>
                    <w:ind w:firstLine="0" w:firstLineChars="0"/>
                    <w:jc w:val="center"/>
                    <w:rPr>
                      <w:sz w:val="21"/>
                      <w:szCs w:val="21"/>
                    </w:rPr>
                  </w:pPr>
                  <w:r>
                    <w:rPr>
                      <w:rFonts w:hint="eastAsia"/>
                      <w:sz w:val="21"/>
                      <w:szCs w:val="21"/>
                    </w:rPr>
                    <w:t>厂界1#-</w:t>
                  </w:r>
                  <w:r>
                    <w:rPr>
                      <w:sz w:val="21"/>
                      <w:szCs w:val="21"/>
                    </w:rPr>
                    <w:t>4</w:t>
                  </w:r>
                  <w:r>
                    <w:rPr>
                      <w:rFonts w:hint="eastAsia"/>
                      <w:sz w:val="21"/>
                      <w:szCs w:val="21"/>
                    </w:rPr>
                    <w:t>#</w:t>
                  </w:r>
                </w:p>
              </w:tc>
              <w:tc>
                <w:tcPr>
                  <w:tcW w:w="1225" w:type="dxa"/>
                  <w:vAlign w:val="center"/>
                </w:tcPr>
                <w:p>
                  <w:pPr>
                    <w:spacing w:line="240" w:lineRule="auto"/>
                    <w:ind w:firstLine="0" w:firstLineChars="0"/>
                    <w:jc w:val="center"/>
                    <w:rPr>
                      <w:sz w:val="21"/>
                      <w:szCs w:val="21"/>
                    </w:rPr>
                  </w:pPr>
                  <w:r>
                    <w:rPr>
                      <w:sz w:val="21"/>
                      <w:szCs w:val="21"/>
                    </w:rPr>
                    <w:t>/</w:t>
                  </w:r>
                </w:p>
              </w:tc>
              <w:tc>
                <w:tcPr>
                  <w:tcW w:w="1254" w:type="dxa"/>
                  <w:vAlign w:val="center"/>
                </w:tcPr>
                <w:p>
                  <w:pPr>
                    <w:spacing w:line="240" w:lineRule="auto"/>
                    <w:ind w:firstLine="0" w:firstLineChars="0"/>
                    <w:jc w:val="center"/>
                    <w:rPr>
                      <w:sz w:val="21"/>
                      <w:szCs w:val="21"/>
                    </w:rPr>
                  </w:pPr>
                  <w:r>
                    <w:rPr>
                      <w:sz w:val="21"/>
                      <w:szCs w:val="21"/>
                    </w:rPr>
                    <w:t>L</w:t>
                  </w:r>
                  <w:r>
                    <w:rPr>
                      <w:rFonts w:hint="eastAsia"/>
                      <w:sz w:val="21"/>
                      <w:szCs w:val="21"/>
                      <w:vertAlign w:val="subscript"/>
                    </w:rPr>
                    <w:t>eq</w:t>
                  </w:r>
                </w:p>
              </w:tc>
              <w:tc>
                <w:tcPr>
                  <w:tcW w:w="2411" w:type="dxa"/>
                  <w:vAlign w:val="center"/>
                </w:tcPr>
                <w:p>
                  <w:pPr>
                    <w:spacing w:line="240" w:lineRule="auto"/>
                    <w:ind w:firstLine="0" w:firstLineChars="0"/>
                    <w:jc w:val="center"/>
                    <w:rPr>
                      <w:sz w:val="21"/>
                      <w:szCs w:val="21"/>
                    </w:rPr>
                  </w:pPr>
                  <w:r>
                    <w:rPr>
                      <w:rFonts w:hint="eastAsia"/>
                      <w:sz w:val="21"/>
                      <w:szCs w:val="21"/>
                    </w:rPr>
                    <w:t>监测1天，昼夜各1次</w:t>
                  </w:r>
                </w:p>
              </w:tc>
              <w:tc>
                <w:tcPr>
                  <w:tcW w:w="1632" w:type="dxa"/>
                  <w:vAlign w:val="center"/>
                </w:tcPr>
                <w:p>
                  <w:pPr>
                    <w:spacing w:line="240" w:lineRule="auto"/>
                    <w:ind w:firstLine="0" w:firstLineChars="0"/>
                    <w:jc w:val="center"/>
                    <w:rPr>
                      <w:sz w:val="21"/>
                      <w:szCs w:val="21"/>
                    </w:rPr>
                  </w:pPr>
                  <w:r>
                    <w:rPr>
                      <w:rFonts w:hint="eastAsia"/>
                      <w:sz w:val="21"/>
                      <w:szCs w:val="21"/>
                    </w:rPr>
                    <w:t>无雨雪、雷电天气，风速＜5m/s</w:t>
                  </w:r>
                </w:p>
              </w:tc>
            </w:tr>
          </w:tbl>
          <w:p>
            <w:pPr>
              <w:ind w:firstLine="480"/>
            </w:pPr>
            <w:r>
              <w:rPr>
                <w:rFonts w:hint="eastAsia"/>
              </w:rPr>
              <w:t>监测分析方法见下表。</w:t>
            </w:r>
          </w:p>
          <w:p>
            <w:pPr>
              <w:ind w:firstLine="0" w:firstLineChars="0"/>
              <w:jc w:val="center"/>
              <w:rPr>
                <w:rFonts w:ascii="黑体" w:hAnsi="黑体" w:eastAsia="黑体"/>
                <w:bCs/>
              </w:rPr>
            </w:pPr>
            <w:r>
              <w:rPr>
                <w:rFonts w:hint="eastAsia" w:ascii="黑体" w:hAnsi="黑体" w:eastAsia="黑体"/>
                <w:bCs/>
              </w:rPr>
              <w:t>表</w:t>
            </w:r>
            <w:r>
              <w:rPr>
                <w:rFonts w:ascii="黑体" w:hAnsi="黑体" w:eastAsia="黑体"/>
                <w:bCs/>
              </w:rPr>
              <w:t>20</w:t>
            </w:r>
            <w:r>
              <w:rPr>
                <w:rFonts w:hint="eastAsia" w:ascii="黑体" w:hAnsi="黑体" w:eastAsia="黑体"/>
                <w:bCs/>
              </w:rPr>
              <w:t xml:space="preserve">  监测分析方法一览表</w:t>
            </w:r>
          </w:p>
          <w:tbl>
            <w:tblPr>
              <w:tblStyle w:val="7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8"/>
              <w:gridCol w:w="1091"/>
              <w:gridCol w:w="3816"/>
              <w:gridCol w:w="1773"/>
              <w:gridCol w:w="9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4" w:type="pct"/>
                  <w:vAlign w:val="center"/>
                </w:tcPr>
                <w:p>
                  <w:pPr>
                    <w:spacing w:line="240" w:lineRule="auto"/>
                    <w:ind w:firstLine="0" w:firstLineChars="0"/>
                    <w:jc w:val="center"/>
                    <w:rPr>
                      <w:sz w:val="21"/>
                      <w:szCs w:val="21"/>
                    </w:rPr>
                  </w:pPr>
                  <w:r>
                    <w:rPr>
                      <w:rFonts w:hint="eastAsia"/>
                      <w:sz w:val="21"/>
                      <w:szCs w:val="21"/>
                    </w:rPr>
                    <w:t>监测类别</w:t>
                  </w:r>
                </w:p>
              </w:tc>
              <w:tc>
                <w:tcPr>
                  <w:tcW w:w="626" w:type="pct"/>
                  <w:vAlign w:val="center"/>
                </w:tcPr>
                <w:p>
                  <w:pPr>
                    <w:spacing w:line="240" w:lineRule="auto"/>
                    <w:ind w:firstLine="0" w:firstLineChars="0"/>
                    <w:jc w:val="center"/>
                    <w:rPr>
                      <w:sz w:val="21"/>
                      <w:szCs w:val="21"/>
                    </w:rPr>
                  </w:pPr>
                  <w:r>
                    <w:rPr>
                      <w:rFonts w:hint="eastAsia"/>
                      <w:sz w:val="21"/>
                      <w:szCs w:val="21"/>
                    </w:rPr>
                    <w:t>监测项目</w:t>
                  </w:r>
                </w:p>
              </w:tc>
              <w:tc>
                <w:tcPr>
                  <w:tcW w:w="2189" w:type="pct"/>
                  <w:vAlign w:val="center"/>
                </w:tcPr>
                <w:p>
                  <w:pPr>
                    <w:spacing w:line="240" w:lineRule="auto"/>
                    <w:ind w:firstLine="0" w:firstLineChars="0"/>
                    <w:jc w:val="center"/>
                    <w:rPr>
                      <w:sz w:val="21"/>
                      <w:szCs w:val="21"/>
                    </w:rPr>
                  </w:pPr>
                  <w:r>
                    <w:rPr>
                      <w:rFonts w:hint="eastAsia"/>
                      <w:sz w:val="21"/>
                      <w:szCs w:val="21"/>
                    </w:rPr>
                    <w:t>分析方法</w:t>
                  </w:r>
                </w:p>
              </w:tc>
              <w:tc>
                <w:tcPr>
                  <w:tcW w:w="1017" w:type="pct"/>
                  <w:vAlign w:val="center"/>
                </w:tcPr>
                <w:p>
                  <w:pPr>
                    <w:spacing w:line="240" w:lineRule="auto"/>
                    <w:ind w:firstLine="0" w:firstLineChars="0"/>
                    <w:jc w:val="center"/>
                    <w:rPr>
                      <w:sz w:val="21"/>
                      <w:szCs w:val="21"/>
                    </w:rPr>
                  </w:pPr>
                  <w:r>
                    <w:rPr>
                      <w:rFonts w:hint="eastAsia"/>
                      <w:sz w:val="21"/>
                      <w:szCs w:val="21"/>
                    </w:rPr>
                    <w:t>方法来源</w:t>
                  </w:r>
                </w:p>
              </w:tc>
              <w:tc>
                <w:tcPr>
                  <w:tcW w:w="544" w:type="pct"/>
                  <w:vAlign w:val="center"/>
                </w:tcPr>
                <w:p>
                  <w:pPr>
                    <w:spacing w:line="240" w:lineRule="auto"/>
                    <w:ind w:firstLine="0" w:firstLineChars="0"/>
                    <w:jc w:val="center"/>
                    <w:rPr>
                      <w:sz w:val="21"/>
                      <w:szCs w:val="21"/>
                    </w:rPr>
                  </w:pPr>
                  <w:r>
                    <w:rPr>
                      <w:rFonts w:hint="eastAsia"/>
                      <w:sz w:val="21"/>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4" w:type="pct"/>
                  <w:vAlign w:val="center"/>
                </w:tcPr>
                <w:p>
                  <w:pPr>
                    <w:spacing w:line="240" w:lineRule="auto"/>
                    <w:ind w:firstLine="0" w:firstLineChars="0"/>
                    <w:jc w:val="center"/>
                    <w:rPr>
                      <w:sz w:val="21"/>
                      <w:szCs w:val="21"/>
                    </w:rPr>
                  </w:pPr>
                  <w:r>
                    <w:rPr>
                      <w:rFonts w:hint="eastAsia"/>
                      <w:sz w:val="21"/>
                      <w:szCs w:val="21"/>
                    </w:rPr>
                    <w:t>噪声</w:t>
                  </w:r>
                </w:p>
              </w:tc>
              <w:tc>
                <w:tcPr>
                  <w:tcW w:w="626" w:type="pct"/>
                  <w:vAlign w:val="center"/>
                </w:tcPr>
                <w:p>
                  <w:pPr>
                    <w:spacing w:line="240" w:lineRule="auto"/>
                    <w:ind w:firstLine="0" w:firstLineChars="0"/>
                    <w:jc w:val="center"/>
                    <w:rPr>
                      <w:sz w:val="21"/>
                      <w:szCs w:val="21"/>
                    </w:rPr>
                  </w:pPr>
                  <w:r>
                    <w:rPr>
                      <w:sz w:val="21"/>
                      <w:szCs w:val="21"/>
                    </w:rPr>
                    <w:t>L</w:t>
                  </w:r>
                  <w:r>
                    <w:rPr>
                      <w:sz w:val="21"/>
                      <w:szCs w:val="21"/>
                      <w:vertAlign w:val="subscript"/>
                    </w:rPr>
                    <w:t>eq</w:t>
                  </w:r>
                </w:p>
              </w:tc>
              <w:tc>
                <w:tcPr>
                  <w:tcW w:w="2189" w:type="pct"/>
                  <w:vAlign w:val="center"/>
                </w:tcPr>
                <w:p>
                  <w:pPr>
                    <w:spacing w:line="240" w:lineRule="auto"/>
                    <w:ind w:firstLine="0" w:firstLineChars="0"/>
                    <w:jc w:val="center"/>
                    <w:rPr>
                      <w:sz w:val="21"/>
                      <w:szCs w:val="21"/>
                    </w:rPr>
                  </w:pPr>
                  <w:r>
                    <w:rPr>
                      <w:rFonts w:hint="eastAsia"/>
                      <w:sz w:val="21"/>
                      <w:szCs w:val="21"/>
                    </w:rPr>
                    <w:t>《工业企业厂界环境噪声排放标准》</w:t>
                  </w:r>
                </w:p>
              </w:tc>
              <w:tc>
                <w:tcPr>
                  <w:tcW w:w="1017" w:type="pct"/>
                  <w:vAlign w:val="center"/>
                </w:tcPr>
                <w:p>
                  <w:pPr>
                    <w:spacing w:line="240" w:lineRule="auto"/>
                    <w:ind w:firstLine="0" w:firstLineChars="0"/>
                    <w:jc w:val="center"/>
                    <w:rPr>
                      <w:sz w:val="21"/>
                      <w:szCs w:val="21"/>
                    </w:rPr>
                  </w:pPr>
                  <w:r>
                    <w:rPr>
                      <w:sz w:val="21"/>
                      <w:szCs w:val="21"/>
                    </w:rPr>
                    <w:t>GB12348-2008</w:t>
                  </w:r>
                </w:p>
              </w:tc>
              <w:tc>
                <w:tcPr>
                  <w:tcW w:w="544" w:type="pct"/>
                  <w:vAlign w:val="center"/>
                </w:tcPr>
                <w:p>
                  <w:pPr>
                    <w:spacing w:line="240" w:lineRule="auto"/>
                    <w:ind w:firstLine="0" w:firstLineChars="0"/>
                    <w:jc w:val="center"/>
                    <w:rPr>
                      <w:sz w:val="21"/>
                      <w:szCs w:val="21"/>
                    </w:rPr>
                  </w:pPr>
                  <w:r>
                    <w:rPr>
                      <w:rFonts w:hint="eastAsia"/>
                      <w:sz w:val="21"/>
                      <w:szCs w:val="21"/>
                    </w:rPr>
                    <w:t>——</w:t>
                  </w:r>
                </w:p>
              </w:tc>
            </w:tr>
          </w:tbl>
          <w:p>
            <w:pPr>
              <w:ind w:firstLine="480"/>
            </w:pPr>
            <w:r>
              <w:rPr>
                <w:rFonts w:hint="eastAsia"/>
              </w:rPr>
              <w:t>区域大气污染物监测结果见下表。</w:t>
            </w:r>
          </w:p>
          <w:p>
            <w:pPr>
              <w:ind w:firstLine="0" w:firstLineChars="0"/>
              <w:jc w:val="center"/>
              <w:rPr>
                <w:rFonts w:ascii="黑体" w:hAnsi="黑体" w:eastAsia="黑体"/>
                <w:bCs/>
              </w:rPr>
            </w:pPr>
          </w:p>
          <w:p>
            <w:pPr>
              <w:ind w:firstLine="0" w:firstLineChars="0"/>
              <w:jc w:val="center"/>
              <w:rPr>
                <w:rFonts w:ascii="黑体" w:hAnsi="黑体" w:eastAsia="黑体"/>
                <w:bCs/>
              </w:rPr>
            </w:pPr>
            <w:r>
              <w:rPr>
                <w:rFonts w:hint="eastAsia" w:ascii="黑体" w:hAnsi="黑体" w:eastAsia="黑体"/>
                <w:bCs/>
              </w:rPr>
              <w:t>表</w:t>
            </w:r>
            <w:r>
              <w:rPr>
                <w:rFonts w:ascii="黑体" w:hAnsi="黑体" w:eastAsia="黑体"/>
                <w:bCs/>
              </w:rPr>
              <w:t>21</w:t>
            </w:r>
            <w:r>
              <w:rPr>
                <w:rFonts w:hint="eastAsia" w:ascii="黑体" w:hAnsi="黑体" w:eastAsia="黑体"/>
                <w:bCs/>
              </w:rPr>
              <w:t xml:space="preserve">  厂界声环境监测结果一览表</w:t>
            </w:r>
          </w:p>
          <w:tbl>
            <w:tblPr>
              <w:tblStyle w:val="7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7"/>
              <w:gridCol w:w="812"/>
              <w:gridCol w:w="812"/>
              <w:gridCol w:w="812"/>
              <w:gridCol w:w="812"/>
              <w:gridCol w:w="812"/>
              <w:gridCol w:w="813"/>
              <w:gridCol w:w="813"/>
              <w:gridCol w:w="8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2" w:type="pct"/>
                  <w:vMerge w:val="restart"/>
                  <w:vAlign w:val="center"/>
                </w:tcPr>
                <w:p>
                  <w:pPr>
                    <w:spacing w:line="240" w:lineRule="auto"/>
                    <w:ind w:firstLine="0" w:firstLineChars="0"/>
                    <w:jc w:val="center"/>
                    <w:rPr>
                      <w:sz w:val="21"/>
                      <w:szCs w:val="21"/>
                    </w:rPr>
                  </w:pPr>
                  <w:r>
                    <w:rPr>
                      <w:sz w:val="21"/>
                      <w:szCs w:val="21"/>
                    </w:rPr>
                    <w:t>监测点</w:t>
                  </w:r>
                </w:p>
              </w:tc>
              <w:tc>
                <w:tcPr>
                  <w:tcW w:w="1864" w:type="pct"/>
                  <w:gridSpan w:val="4"/>
                  <w:vAlign w:val="center"/>
                </w:tcPr>
                <w:p>
                  <w:pPr>
                    <w:spacing w:line="240" w:lineRule="auto"/>
                    <w:ind w:firstLine="0" w:firstLineChars="0"/>
                    <w:jc w:val="center"/>
                    <w:rPr>
                      <w:bCs/>
                      <w:sz w:val="21"/>
                      <w:szCs w:val="21"/>
                    </w:rPr>
                  </w:pPr>
                  <w:r>
                    <w:rPr>
                      <w:bCs/>
                      <w:sz w:val="21"/>
                      <w:szCs w:val="21"/>
                    </w:rPr>
                    <w:t>昼间</w:t>
                  </w:r>
                </w:p>
              </w:tc>
              <w:tc>
                <w:tcPr>
                  <w:tcW w:w="1864" w:type="pct"/>
                  <w:gridSpan w:val="4"/>
                  <w:vAlign w:val="center"/>
                </w:tcPr>
                <w:p>
                  <w:pPr>
                    <w:spacing w:line="240" w:lineRule="auto"/>
                    <w:ind w:firstLine="0" w:firstLineChars="0"/>
                    <w:jc w:val="center"/>
                    <w:rPr>
                      <w:bCs/>
                      <w:sz w:val="21"/>
                      <w:szCs w:val="21"/>
                    </w:rPr>
                  </w:pPr>
                  <w:r>
                    <w:rPr>
                      <w:bCs/>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2" w:type="pct"/>
                  <w:vMerge w:val="continue"/>
                  <w:vAlign w:val="center"/>
                </w:tcPr>
                <w:p>
                  <w:pPr>
                    <w:spacing w:line="240" w:lineRule="auto"/>
                    <w:ind w:firstLine="0" w:firstLineChars="0"/>
                    <w:jc w:val="center"/>
                    <w:textAlignment w:val="baseline"/>
                    <w:rPr>
                      <w:rFonts w:eastAsia="Times New Roman"/>
                      <w:sz w:val="21"/>
                      <w:szCs w:val="21"/>
                    </w:rPr>
                  </w:pPr>
                </w:p>
              </w:tc>
              <w:tc>
                <w:tcPr>
                  <w:tcW w:w="466" w:type="pct"/>
                  <w:vAlign w:val="center"/>
                </w:tcPr>
                <w:p>
                  <w:pPr>
                    <w:spacing w:line="240" w:lineRule="auto"/>
                    <w:ind w:firstLine="0" w:firstLineChars="0"/>
                    <w:jc w:val="center"/>
                    <w:textAlignment w:val="baseline"/>
                    <w:rPr>
                      <w:rFonts w:eastAsia="Times New Roman"/>
                      <w:bCs/>
                      <w:sz w:val="21"/>
                      <w:szCs w:val="21"/>
                    </w:rPr>
                  </w:pPr>
                  <w:r>
                    <w:rPr>
                      <w:rFonts w:eastAsia="Times New Roman"/>
                      <w:bCs/>
                      <w:sz w:val="21"/>
                      <w:szCs w:val="21"/>
                    </w:rPr>
                    <w:t>L</w:t>
                  </w:r>
                  <w:r>
                    <w:rPr>
                      <w:rFonts w:eastAsia="Times New Roman"/>
                      <w:bCs/>
                      <w:sz w:val="21"/>
                      <w:szCs w:val="21"/>
                      <w:vertAlign w:val="subscript"/>
                    </w:rPr>
                    <w:t>eq</w:t>
                  </w:r>
                </w:p>
              </w:tc>
              <w:tc>
                <w:tcPr>
                  <w:tcW w:w="466" w:type="pct"/>
                  <w:vAlign w:val="center"/>
                </w:tcPr>
                <w:p>
                  <w:pPr>
                    <w:spacing w:line="240" w:lineRule="auto"/>
                    <w:ind w:firstLine="0" w:firstLineChars="0"/>
                    <w:jc w:val="center"/>
                    <w:textAlignment w:val="baseline"/>
                    <w:rPr>
                      <w:rFonts w:eastAsia="Times New Roman"/>
                      <w:bCs/>
                      <w:sz w:val="21"/>
                      <w:szCs w:val="21"/>
                    </w:rPr>
                  </w:pPr>
                  <w:r>
                    <w:rPr>
                      <w:rFonts w:eastAsia="Times New Roman"/>
                      <w:bCs/>
                      <w:sz w:val="21"/>
                      <w:szCs w:val="21"/>
                    </w:rPr>
                    <w:t>L</w:t>
                  </w:r>
                  <w:r>
                    <w:rPr>
                      <w:rFonts w:eastAsia="Times New Roman"/>
                      <w:bCs/>
                      <w:sz w:val="21"/>
                      <w:szCs w:val="21"/>
                      <w:vertAlign w:val="subscript"/>
                    </w:rPr>
                    <w:t>10</w:t>
                  </w:r>
                </w:p>
              </w:tc>
              <w:tc>
                <w:tcPr>
                  <w:tcW w:w="466" w:type="pct"/>
                  <w:vAlign w:val="center"/>
                </w:tcPr>
                <w:p>
                  <w:pPr>
                    <w:spacing w:line="240" w:lineRule="auto"/>
                    <w:ind w:firstLine="0" w:firstLineChars="0"/>
                    <w:jc w:val="center"/>
                    <w:textAlignment w:val="baseline"/>
                    <w:rPr>
                      <w:rFonts w:eastAsia="Times New Roman"/>
                      <w:bCs/>
                      <w:sz w:val="21"/>
                      <w:szCs w:val="21"/>
                    </w:rPr>
                  </w:pPr>
                  <w:r>
                    <w:rPr>
                      <w:rFonts w:eastAsia="Times New Roman"/>
                      <w:bCs/>
                      <w:sz w:val="21"/>
                      <w:szCs w:val="21"/>
                    </w:rPr>
                    <w:t>L</w:t>
                  </w:r>
                  <w:r>
                    <w:rPr>
                      <w:rFonts w:eastAsia="Times New Roman"/>
                      <w:bCs/>
                      <w:sz w:val="21"/>
                      <w:szCs w:val="21"/>
                      <w:vertAlign w:val="subscript"/>
                    </w:rPr>
                    <w:t>50</w:t>
                  </w:r>
                </w:p>
              </w:tc>
              <w:tc>
                <w:tcPr>
                  <w:tcW w:w="466" w:type="pct"/>
                  <w:vAlign w:val="center"/>
                </w:tcPr>
                <w:p>
                  <w:pPr>
                    <w:spacing w:line="240" w:lineRule="auto"/>
                    <w:ind w:firstLine="0" w:firstLineChars="0"/>
                    <w:jc w:val="center"/>
                    <w:textAlignment w:val="baseline"/>
                    <w:rPr>
                      <w:rFonts w:eastAsia="Times New Roman"/>
                      <w:bCs/>
                      <w:sz w:val="21"/>
                      <w:szCs w:val="21"/>
                    </w:rPr>
                  </w:pPr>
                  <w:r>
                    <w:rPr>
                      <w:rFonts w:eastAsia="Times New Roman"/>
                      <w:bCs/>
                      <w:sz w:val="21"/>
                      <w:szCs w:val="21"/>
                    </w:rPr>
                    <w:t>L</w:t>
                  </w:r>
                  <w:r>
                    <w:rPr>
                      <w:rFonts w:eastAsia="Times New Roman"/>
                      <w:bCs/>
                      <w:sz w:val="21"/>
                      <w:szCs w:val="21"/>
                      <w:vertAlign w:val="subscript"/>
                    </w:rPr>
                    <w:t>90</w:t>
                  </w:r>
                </w:p>
              </w:tc>
              <w:tc>
                <w:tcPr>
                  <w:tcW w:w="466" w:type="pct"/>
                  <w:vAlign w:val="center"/>
                </w:tcPr>
                <w:p>
                  <w:pPr>
                    <w:spacing w:line="240" w:lineRule="auto"/>
                    <w:ind w:firstLine="0" w:firstLineChars="0"/>
                    <w:jc w:val="center"/>
                    <w:textAlignment w:val="baseline"/>
                    <w:rPr>
                      <w:rFonts w:eastAsia="Times New Roman"/>
                      <w:bCs/>
                      <w:sz w:val="21"/>
                      <w:szCs w:val="21"/>
                    </w:rPr>
                  </w:pPr>
                  <w:r>
                    <w:rPr>
                      <w:rFonts w:eastAsia="Times New Roman"/>
                      <w:bCs/>
                      <w:sz w:val="21"/>
                      <w:szCs w:val="21"/>
                    </w:rPr>
                    <w:t>L</w:t>
                  </w:r>
                  <w:r>
                    <w:rPr>
                      <w:rFonts w:eastAsia="Times New Roman"/>
                      <w:bCs/>
                      <w:sz w:val="21"/>
                      <w:szCs w:val="21"/>
                      <w:vertAlign w:val="subscript"/>
                    </w:rPr>
                    <w:t>eq</w:t>
                  </w:r>
                </w:p>
              </w:tc>
              <w:tc>
                <w:tcPr>
                  <w:tcW w:w="466" w:type="pct"/>
                  <w:vAlign w:val="center"/>
                </w:tcPr>
                <w:p>
                  <w:pPr>
                    <w:spacing w:line="240" w:lineRule="auto"/>
                    <w:ind w:firstLine="0" w:firstLineChars="0"/>
                    <w:jc w:val="center"/>
                    <w:textAlignment w:val="baseline"/>
                    <w:rPr>
                      <w:rFonts w:eastAsia="Times New Roman"/>
                      <w:bCs/>
                      <w:sz w:val="21"/>
                      <w:szCs w:val="21"/>
                    </w:rPr>
                  </w:pPr>
                  <w:r>
                    <w:rPr>
                      <w:rFonts w:eastAsia="Times New Roman"/>
                      <w:bCs/>
                      <w:sz w:val="21"/>
                      <w:szCs w:val="21"/>
                    </w:rPr>
                    <w:t>L</w:t>
                  </w:r>
                  <w:r>
                    <w:rPr>
                      <w:rFonts w:eastAsia="Times New Roman"/>
                      <w:bCs/>
                      <w:sz w:val="21"/>
                      <w:szCs w:val="21"/>
                      <w:vertAlign w:val="subscript"/>
                    </w:rPr>
                    <w:t>10</w:t>
                  </w:r>
                </w:p>
              </w:tc>
              <w:tc>
                <w:tcPr>
                  <w:tcW w:w="466" w:type="pct"/>
                  <w:vAlign w:val="center"/>
                </w:tcPr>
                <w:p>
                  <w:pPr>
                    <w:spacing w:line="240" w:lineRule="auto"/>
                    <w:ind w:firstLine="0" w:firstLineChars="0"/>
                    <w:jc w:val="center"/>
                    <w:textAlignment w:val="baseline"/>
                    <w:rPr>
                      <w:rFonts w:eastAsia="Times New Roman"/>
                      <w:bCs/>
                      <w:sz w:val="21"/>
                      <w:szCs w:val="21"/>
                    </w:rPr>
                  </w:pPr>
                  <w:r>
                    <w:rPr>
                      <w:rFonts w:eastAsia="Times New Roman"/>
                      <w:bCs/>
                      <w:sz w:val="21"/>
                      <w:szCs w:val="21"/>
                    </w:rPr>
                    <w:t>L</w:t>
                  </w:r>
                  <w:r>
                    <w:rPr>
                      <w:rFonts w:eastAsia="Times New Roman"/>
                      <w:bCs/>
                      <w:sz w:val="21"/>
                      <w:szCs w:val="21"/>
                      <w:vertAlign w:val="subscript"/>
                    </w:rPr>
                    <w:t>50</w:t>
                  </w:r>
                </w:p>
              </w:tc>
              <w:tc>
                <w:tcPr>
                  <w:tcW w:w="467" w:type="pct"/>
                  <w:vAlign w:val="center"/>
                </w:tcPr>
                <w:p>
                  <w:pPr>
                    <w:spacing w:line="240" w:lineRule="auto"/>
                    <w:ind w:firstLine="0" w:firstLineChars="0"/>
                    <w:jc w:val="center"/>
                    <w:textAlignment w:val="baseline"/>
                    <w:rPr>
                      <w:rFonts w:eastAsia="Times New Roman"/>
                      <w:bCs/>
                      <w:sz w:val="21"/>
                      <w:szCs w:val="21"/>
                    </w:rPr>
                  </w:pPr>
                  <w:r>
                    <w:rPr>
                      <w:rFonts w:eastAsia="Times New Roman"/>
                      <w:bCs/>
                      <w:sz w:val="21"/>
                      <w:szCs w:val="21"/>
                    </w:rPr>
                    <w:t>L</w:t>
                  </w:r>
                  <w:r>
                    <w:rPr>
                      <w:rFonts w:eastAsia="Times New Roman"/>
                      <w:bCs/>
                      <w:sz w:val="21"/>
                      <w:szCs w:val="21"/>
                      <w:vertAlign w:val="subscript"/>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272" w:type="pct"/>
                  <w:vAlign w:val="center"/>
                </w:tcPr>
                <w:p>
                  <w:pPr>
                    <w:spacing w:line="240" w:lineRule="auto"/>
                    <w:ind w:firstLine="0" w:firstLineChars="0"/>
                    <w:jc w:val="center"/>
                    <w:rPr>
                      <w:sz w:val="21"/>
                      <w:szCs w:val="21"/>
                    </w:rPr>
                  </w:pPr>
                  <w:r>
                    <w:rPr>
                      <w:rFonts w:hint="eastAsia"/>
                      <w:sz w:val="21"/>
                      <w:szCs w:val="21"/>
                    </w:rPr>
                    <w:t>厂界</w:t>
                  </w:r>
                  <w:r>
                    <w:rPr>
                      <w:sz w:val="21"/>
                      <w:szCs w:val="21"/>
                    </w:rPr>
                    <w:t>1#</w:t>
                  </w:r>
                </w:p>
              </w:tc>
              <w:tc>
                <w:tcPr>
                  <w:tcW w:w="466" w:type="pct"/>
                  <w:vAlign w:val="center"/>
                </w:tcPr>
                <w:p>
                  <w:pPr>
                    <w:spacing w:line="240" w:lineRule="auto"/>
                    <w:ind w:firstLine="0" w:firstLineChars="0"/>
                    <w:jc w:val="center"/>
                    <w:textAlignment w:val="baseline"/>
                    <w:rPr>
                      <w:bCs/>
                      <w:sz w:val="21"/>
                      <w:szCs w:val="21"/>
                    </w:rPr>
                  </w:pPr>
                  <w:r>
                    <w:rPr>
                      <w:rFonts w:hint="eastAsia"/>
                      <w:bCs/>
                      <w:sz w:val="21"/>
                      <w:szCs w:val="21"/>
                    </w:rPr>
                    <w:t>57</w:t>
                  </w:r>
                </w:p>
              </w:tc>
              <w:tc>
                <w:tcPr>
                  <w:tcW w:w="466" w:type="pct"/>
                  <w:vAlign w:val="center"/>
                </w:tcPr>
                <w:p>
                  <w:pPr>
                    <w:spacing w:line="240" w:lineRule="auto"/>
                    <w:ind w:firstLine="0" w:firstLineChars="0"/>
                    <w:jc w:val="center"/>
                    <w:textAlignment w:val="baseline"/>
                    <w:rPr>
                      <w:bCs/>
                      <w:sz w:val="21"/>
                      <w:szCs w:val="21"/>
                    </w:rPr>
                  </w:pPr>
                  <w:r>
                    <w:rPr>
                      <w:rFonts w:hint="eastAsia"/>
                      <w:bCs/>
                      <w:sz w:val="21"/>
                      <w:szCs w:val="21"/>
                    </w:rPr>
                    <w:t>58.6</w:t>
                  </w:r>
                </w:p>
              </w:tc>
              <w:tc>
                <w:tcPr>
                  <w:tcW w:w="466" w:type="pct"/>
                  <w:vAlign w:val="center"/>
                </w:tcPr>
                <w:p>
                  <w:pPr>
                    <w:spacing w:line="240" w:lineRule="auto"/>
                    <w:ind w:firstLine="0" w:firstLineChars="0"/>
                    <w:jc w:val="center"/>
                    <w:textAlignment w:val="baseline"/>
                    <w:rPr>
                      <w:bCs/>
                      <w:sz w:val="21"/>
                      <w:szCs w:val="21"/>
                    </w:rPr>
                  </w:pPr>
                  <w:r>
                    <w:rPr>
                      <w:rFonts w:hint="eastAsia"/>
                      <w:bCs/>
                      <w:sz w:val="21"/>
                      <w:szCs w:val="21"/>
                    </w:rPr>
                    <w:t>56.6</w:t>
                  </w:r>
                </w:p>
              </w:tc>
              <w:tc>
                <w:tcPr>
                  <w:tcW w:w="466" w:type="pct"/>
                  <w:vAlign w:val="center"/>
                </w:tcPr>
                <w:p>
                  <w:pPr>
                    <w:spacing w:line="240" w:lineRule="auto"/>
                    <w:ind w:firstLine="0" w:firstLineChars="0"/>
                    <w:jc w:val="center"/>
                    <w:textAlignment w:val="baseline"/>
                    <w:rPr>
                      <w:bCs/>
                      <w:sz w:val="21"/>
                      <w:szCs w:val="21"/>
                    </w:rPr>
                  </w:pPr>
                  <w:r>
                    <w:rPr>
                      <w:rFonts w:hint="eastAsia"/>
                      <w:bCs/>
                      <w:sz w:val="21"/>
                      <w:szCs w:val="21"/>
                    </w:rPr>
                    <w:t>55.6</w:t>
                  </w:r>
                </w:p>
              </w:tc>
              <w:tc>
                <w:tcPr>
                  <w:tcW w:w="466" w:type="pct"/>
                  <w:vAlign w:val="center"/>
                </w:tcPr>
                <w:p>
                  <w:pPr>
                    <w:widowControl/>
                    <w:spacing w:line="240" w:lineRule="auto"/>
                    <w:ind w:firstLine="0" w:firstLineChars="0"/>
                    <w:jc w:val="center"/>
                    <w:textAlignment w:val="center"/>
                    <w:rPr>
                      <w:bCs/>
                      <w:sz w:val="21"/>
                      <w:szCs w:val="21"/>
                    </w:rPr>
                  </w:pPr>
                  <w:r>
                    <w:rPr>
                      <w:rFonts w:hint="eastAsia"/>
                      <w:bCs/>
                      <w:sz w:val="21"/>
                      <w:szCs w:val="21"/>
                    </w:rPr>
                    <w:t>46</w:t>
                  </w:r>
                </w:p>
              </w:tc>
              <w:tc>
                <w:tcPr>
                  <w:tcW w:w="466" w:type="pct"/>
                  <w:vAlign w:val="center"/>
                </w:tcPr>
                <w:p>
                  <w:pPr>
                    <w:widowControl/>
                    <w:spacing w:line="240" w:lineRule="auto"/>
                    <w:ind w:firstLine="0" w:firstLineChars="0"/>
                    <w:jc w:val="center"/>
                    <w:textAlignment w:val="center"/>
                    <w:rPr>
                      <w:bCs/>
                      <w:sz w:val="21"/>
                      <w:szCs w:val="21"/>
                    </w:rPr>
                  </w:pPr>
                  <w:r>
                    <w:rPr>
                      <w:rFonts w:hint="eastAsia"/>
                      <w:bCs/>
                      <w:sz w:val="21"/>
                      <w:szCs w:val="21"/>
                    </w:rPr>
                    <w:t>47.8</w:t>
                  </w:r>
                </w:p>
              </w:tc>
              <w:tc>
                <w:tcPr>
                  <w:tcW w:w="466" w:type="pct"/>
                  <w:vAlign w:val="center"/>
                </w:tcPr>
                <w:p>
                  <w:pPr>
                    <w:widowControl/>
                    <w:spacing w:line="240" w:lineRule="auto"/>
                    <w:ind w:firstLine="0" w:firstLineChars="0"/>
                    <w:jc w:val="center"/>
                    <w:textAlignment w:val="center"/>
                    <w:rPr>
                      <w:bCs/>
                      <w:sz w:val="21"/>
                      <w:szCs w:val="21"/>
                    </w:rPr>
                  </w:pPr>
                  <w:r>
                    <w:rPr>
                      <w:rFonts w:hint="eastAsia"/>
                      <w:bCs/>
                      <w:sz w:val="21"/>
                      <w:szCs w:val="21"/>
                    </w:rPr>
                    <w:t>44.0</w:t>
                  </w:r>
                </w:p>
              </w:tc>
              <w:tc>
                <w:tcPr>
                  <w:tcW w:w="467" w:type="pct"/>
                  <w:vAlign w:val="center"/>
                </w:tcPr>
                <w:p>
                  <w:pPr>
                    <w:widowControl/>
                    <w:spacing w:line="240" w:lineRule="auto"/>
                    <w:ind w:firstLine="0" w:firstLineChars="0"/>
                    <w:jc w:val="center"/>
                    <w:textAlignment w:val="center"/>
                    <w:rPr>
                      <w:bCs/>
                      <w:sz w:val="21"/>
                      <w:szCs w:val="21"/>
                    </w:rPr>
                  </w:pPr>
                  <w:r>
                    <w:rPr>
                      <w:rFonts w:hint="eastAsia"/>
                      <w:bCs/>
                      <w:sz w:val="21"/>
                      <w:szCs w:val="21"/>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2" w:type="pct"/>
                  <w:vAlign w:val="center"/>
                </w:tcPr>
                <w:p>
                  <w:pPr>
                    <w:spacing w:line="240" w:lineRule="auto"/>
                    <w:ind w:firstLine="0" w:firstLineChars="0"/>
                    <w:jc w:val="center"/>
                    <w:rPr>
                      <w:sz w:val="21"/>
                      <w:szCs w:val="21"/>
                    </w:rPr>
                  </w:pPr>
                  <w:r>
                    <w:rPr>
                      <w:rFonts w:hint="eastAsia"/>
                      <w:sz w:val="21"/>
                      <w:szCs w:val="21"/>
                    </w:rPr>
                    <w:t>厂界</w:t>
                  </w:r>
                  <w:r>
                    <w:rPr>
                      <w:sz w:val="21"/>
                      <w:szCs w:val="21"/>
                    </w:rPr>
                    <w:t>2#</w:t>
                  </w:r>
                </w:p>
              </w:tc>
              <w:tc>
                <w:tcPr>
                  <w:tcW w:w="466" w:type="pct"/>
                  <w:vAlign w:val="center"/>
                </w:tcPr>
                <w:p>
                  <w:pPr>
                    <w:spacing w:line="240" w:lineRule="auto"/>
                    <w:ind w:firstLine="0" w:firstLineChars="0"/>
                    <w:jc w:val="center"/>
                    <w:textAlignment w:val="baseline"/>
                    <w:rPr>
                      <w:bCs/>
                      <w:sz w:val="21"/>
                      <w:szCs w:val="21"/>
                    </w:rPr>
                  </w:pPr>
                  <w:r>
                    <w:rPr>
                      <w:rFonts w:hint="eastAsia"/>
                      <w:bCs/>
                      <w:sz w:val="21"/>
                      <w:szCs w:val="21"/>
                    </w:rPr>
                    <w:t>56</w:t>
                  </w:r>
                </w:p>
              </w:tc>
              <w:tc>
                <w:tcPr>
                  <w:tcW w:w="466" w:type="pct"/>
                  <w:vAlign w:val="center"/>
                </w:tcPr>
                <w:p>
                  <w:pPr>
                    <w:spacing w:line="240" w:lineRule="auto"/>
                    <w:ind w:firstLine="0" w:firstLineChars="0"/>
                    <w:jc w:val="center"/>
                    <w:textAlignment w:val="baseline"/>
                    <w:rPr>
                      <w:bCs/>
                      <w:sz w:val="21"/>
                      <w:szCs w:val="21"/>
                    </w:rPr>
                  </w:pPr>
                  <w:r>
                    <w:rPr>
                      <w:rFonts w:hint="eastAsia"/>
                      <w:bCs/>
                      <w:sz w:val="21"/>
                      <w:szCs w:val="21"/>
                    </w:rPr>
                    <w:t>57.8</w:t>
                  </w:r>
                </w:p>
              </w:tc>
              <w:tc>
                <w:tcPr>
                  <w:tcW w:w="466" w:type="pct"/>
                  <w:vAlign w:val="center"/>
                </w:tcPr>
                <w:p>
                  <w:pPr>
                    <w:spacing w:line="240" w:lineRule="auto"/>
                    <w:ind w:firstLine="0" w:firstLineChars="0"/>
                    <w:jc w:val="center"/>
                    <w:textAlignment w:val="baseline"/>
                    <w:rPr>
                      <w:bCs/>
                      <w:sz w:val="21"/>
                      <w:szCs w:val="21"/>
                    </w:rPr>
                  </w:pPr>
                  <w:r>
                    <w:rPr>
                      <w:rFonts w:hint="eastAsia"/>
                      <w:bCs/>
                      <w:sz w:val="21"/>
                      <w:szCs w:val="21"/>
                    </w:rPr>
                    <w:t>55.8</w:t>
                  </w:r>
                </w:p>
              </w:tc>
              <w:tc>
                <w:tcPr>
                  <w:tcW w:w="466" w:type="pct"/>
                  <w:vAlign w:val="center"/>
                </w:tcPr>
                <w:p>
                  <w:pPr>
                    <w:spacing w:line="240" w:lineRule="auto"/>
                    <w:ind w:firstLine="0" w:firstLineChars="0"/>
                    <w:jc w:val="center"/>
                    <w:textAlignment w:val="baseline"/>
                    <w:rPr>
                      <w:bCs/>
                      <w:sz w:val="21"/>
                      <w:szCs w:val="21"/>
                    </w:rPr>
                  </w:pPr>
                  <w:r>
                    <w:rPr>
                      <w:rFonts w:hint="eastAsia"/>
                      <w:bCs/>
                      <w:sz w:val="21"/>
                      <w:szCs w:val="21"/>
                    </w:rPr>
                    <w:t>54.4</w:t>
                  </w:r>
                </w:p>
              </w:tc>
              <w:tc>
                <w:tcPr>
                  <w:tcW w:w="466" w:type="pct"/>
                  <w:vAlign w:val="center"/>
                </w:tcPr>
                <w:p>
                  <w:pPr>
                    <w:widowControl/>
                    <w:spacing w:line="240" w:lineRule="auto"/>
                    <w:ind w:firstLine="0" w:firstLineChars="0"/>
                    <w:jc w:val="center"/>
                    <w:textAlignment w:val="center"/>
                    <w:rPr>
                      <w:bCs/>
                      <w:sz w:val="21"/>
                      <w:szCs w:val="21"/>
                    </w:rPr>
                  </w:pPr>
                  <w:r>
                    <w:rPr>
                      <w:rFonts w:hint="eastAsia"/>
                      <w:bCs/>
                      <w:sz w:val="21"/>
                      <w:szCs w:val="21"/>
                    </w:rPr>
                    <w:t>46</w:t>
                  </w:r>
                </w:p>
              </w:tc>
              <w:tc>
                <w:tcPr>
                  <w:tcW w:w="466" w:type="pct"/>
                  <w:vAlign w:val="center"/>
                </w:tcPr>
                <w:p>
                  <w:pPr>
                    <w:widowControl/>
                    <w:spacing w:line="240" w:lineRule="auto"/>
                    <w:ind w:firstLine="0" w:firstLineChars="0"/>
                    <w:jc w:val="center"/>
                    <w:textAlignment w:val="center"/>
                    <w:rPr>
                      <w:bCs/>
                      <w:sz w:val="21"/>
                      <w:szCs w:val="21"/>
                    </w:rPr>
                  </w:pPr>
                  <w:r>
                    <w:rPr>
                      <w:rFonts w:hint="eastAsia"/>
                      <w:bCs/>
                      <w:sz w:val="21"/>
                      <w:szCs w:val="21"/>
                    </w:rPr>
                    <w:t>46.8</w:t>
                  </w:r>
                </w:p>
              </w:tc>
              <w:tc>
                <w:tcPr>
                  <w:tcW w:w="466" w:type="pct"/>
                  <w:vAlign w:val="center"/>
                </w:tcPr>
                <w:p>
                  <w:pPr>
                    <w:widowControl/>
                    <w:spacing w:line="240" w:lineRule="auto"/>
                    <w:ind w:firstLine="0" w:firstLineChars="0"/>
                    <w:jc w:val="center"/>
                    <w:textAlignment w:val="center"/>
                    <w:rPr>
                      <w:bCs/>
                      <w:sz w:val="21"/>
                      <w:szCs w:val="21"/>
                    </w:rPr>
                  </w:pPr>
                  <w:r>
                    <w:rPr>
                      <w:rFonts w:hint="eastAsia"/>
                      <w:bCs/>
                      <w:sz w:val="21"/>
                      <w:szCs w:val="21"/>
                    </w:rPr>
                    <w:t>45.8</w:t>
                  </w:r>
                </w:p>
              </w:tc>
              <w:tc>
                <w:tcPr>
                  <w:tcW w:w="467" w:type="pct"/>
                  <w:vAlign w:val="center"/>
                </w:tcPr>
                <w:p>
                  <w:pPr>
                    <w:widowControl/>
                    <w:spacing w:line="240" w:lineRule="auto"/>
                    <w:ind w:firstLine="0" w:firstLineChars="0"/>
                    <w:jc w:val="center"/>
                    <w:textAlignment w:val="center"/>
                    <w:rPr>
                      <w:bCs/>
                      <w:sz w:val="21"/>
                      <w:szCs w:val="21"/>
                    </w:rPr>
                  </w:pPr>
                  <w:r>
                    <w:rPr>
                      <w:rFonts w:hint="eastAsia"/>
                      <w:bCs/>
                      <w:sz w:val="21"/>
                      <w:szCs w:val="21"/>
                    </w:rPr>
                    <w:t>44.6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2" w:type="pct"/>
                  <w:vAlign w:val="center"/>
                </w:tcPr>
                <w:p>
                  <w:pPr>
                    <w:spacing w:line="240" w:lineRule="auto"/>
                    <w:ind w:firstLine="0" w:firstLineChars="0"/>
                    <w:jc w:val="center"/>
                    <w:rPr>
                      <w:sz w:val="21"/>
                      <w:szCs w:val="21"/>
                    </w:rPr>
                  </w:pPr>
                  <w:r>
                    <w:rPr>
                      <w:rFonts w:hint="eastAsia"/>
                      <w:sz w:val="21"/>
                      <w:szCs w:val="21"/>
                    </w:rPr>
                    <w:t>厂界</w:t>
                  </w:r>
                  <w:r>
                    <w:rPr>
                      <w:sz w:val="21"/>
                      <w:szCs w:val="21"/>
                    </w:rPr>
                    <w:t>3#</w:t>
                  </w:r>
                </w:p>
              </w:tc>
              <w:tc>
                <w:tcPr>
                  <w:tcW w:w="466" w:type="pct"/>
                  <w:vAlign w:val="center"/>
                </w:tcPr>
                <w:p>
                  <w:pPr>
                    <w:spacing w:line="240" w:lineRule="auto"/>
                    <w:ind w:firstLine="0" w:firstLineChars="0"/>
                    <w:jc w:val="center"/>
                    <w:textAlignment w:val="baseline"/>
                    <w:rPr>
                      <w:bCs/>
                      <w:sz w:val="21"/>
                      <w:szCs w:val="21"/>
                    </w:rPr>
                  </w:pPr>
                  <w:r>
                    <w:rPr>
                      <w:rFonts w:hint="eastAsia"/>
                      <w:bCs/>
                      <w:sz w:val="21"/>
                      <w:szCs w:val="21"/>
                    </w:rPr>
                    <w:t>56</w:t>
                  </w:r>
                </w:p>
              </w:tc>
              <w:tc>
                <w:tcPr>
                  <w:tcW w:w="466" w:type="pct"/>
                  <w:vAlign w:val="center"/>
                </w:tcPr>
                <w:p>
                  <w:pPr>
                    <w:spacing w:line="240" w:lineRule="auto"/>
                    <w:ind w:firstLine="0" w:firstLineChars="0"/>
                    <w:jc w:val="center"/>
                    <w:textAlignment w:val="baseline"/>
                    <w:rPr>
                      <w:bCs/>
                      <w:sz w:val="21"/>
                      <w:szCs w:val="21"/>
                    </w:rPr>
                  </w:pPr>
                  <w:r>
                    <w:rPr>
                      <w:rFonts w:hint="eastAsia"/>
                      <w:bCs/>
                      <w:sz w:val="21"/>
                      <w:szCs w:val="21"/>
                    </w:rPr>
                    <w:t>57.0</w:t>
                  </w:r>
                </w:p>
              </w:tc>
              <w:tc>
                <w:tcPr>
                  <w:tcW w:w="466" w:type="pct"/>
                  <w:vAlign w:val="center"/>
                </w:tcPr>
                <w:p>
                  <w:pPr>
                    <w:spacing w:line="240" w:lineRule="auto"/>
                    <w:ind w:firstLine="0" w:firstLineChars="0"/>
                    <w:jc w:val="center"/>
                    <w:textAlignment w:val="baseline"/>
                    <w:rPr>
                      <w:bCs/>
                      <w:sz w:val="21"/>
                      <w:szCs w:val="21"/>
                    </w:rPr>
                  </w:pPr>
                  <w:r>
                    <w:rPr>
                      <w:rFonts w:hint="eastAsia"/>
                      <w:bCs/>
                      <w:sz w:val="21"/>
                      <w:szCs w:val="21"/>
                    </w:rPr>
                    <w:t>56.0</w:t>
                  </w:r>
                </w:p>
              </w:tc>
              <w:tc>
                <w:tcPr>
                  <w:tcW w:w="466" w:type="pct"/>
                  <w:vAlign w:val="center"/>
                </w:tcPr>
                <w:p>
                  <w:pPr>
                    <w:spacing w:line="240" w:lineRule="auto"/>
                    <w:ind w:firstLine="0" w:firstLineChars="0"/>
                    <w:jc w:val="center"/>
                    <w:textAlignment w:val="baseline"/>
                    <w:rPr>
                      <w:bCs/>
                      <w:sz w:val="21"/>
                      <w:szCs w:val="21"/>
                    </w:rPr>
                  </w:pPr>
                  <w:r>
                    <w:rPr>
                      <w:rFonts w:hint="eastAsia"/>
                      <w:bCs/>
                      <w:sz w:val="21"/>
                      <w:szCs w:val="21"/>
                    </w:rPr>
                    <w:t>55.2</w:t>
                  </w:r>
                </w:p>
              </w:tc>
              <w:tc>
                <w:tcPr>
                  <w:tcW w:w="466" w:type="pct"/>
                  <w:vAlign w:val="center"/>
                </w:tcPr>
                <w:p>
                  <w:pPr>
                    <w:widowControl/>
                    <w:spacing w:line="240" w:lineRule="auto"/>
                    <w:ind w:firstLine="0" w:firstLineChars="0"/>
                    <w:jc w:val="center"/>
                    <w:textAlignment w:val="center"/>
                    <w:rPr>
                      <w:bCs/>
                      <w:sz w:val="21"/>
                      <w:szCs w:val="21"/>
                    </w:rPr>
                  </w:pPr>
                  <w:r>
                    <w:rPr>
                      <w:rFonts w:hint="eastAsia"/>
                      <w:bCs/>
                      <w:sz w:val="21"/>
                      <w:szCs w:val="21"/>
                    </w:rPr>
                    <w:t>48</w:t>
                  </w:r>
                </w:p>
              </w:tc>
              <w:tc>
                <w:tcPr>
                  <w:tcW w:w="466" w:type="pct"/>
                  <w:vAlign w:val="center"/>
                </w:tcPr>
                <w:p>
                  <w:pPr>
                    <w:widowControl/>
                    <w:spacing w:line="240" w:lineRule="auto"/>
                    <w:ind w:firstLine="0" w:firstLineChars="0"/>
                    <w:jc w:val="center"/>
                    <w:textAlignment w:val="center"/>
                    <w:rPr>
                      <w:bCs/>
                      <w:sz w:val="21"/>
                      <w:szCs w:val="21"/>
                    </w:rPr>
                  </w:pPr>
                  <w:r>
                    <w:rPr>
                      <w:rFonts w:hint="eastAsia"/>
                      <w:bCs/>
                      <w:sz w:val="21"/>
                      <w:szCs w:val="21"/>
                    </w:rPr>
                    <w:t>48.6</w:t>
                  </w:r>
                </w:p>
              </w:tc>
              <w:tc>
                <w:tcPr>
                  <w:tcW w:w="466" w:type="pct"/>
                  <w:vAlign w:val="center"/>
                </w:tcPr>
                <w:p>
                  <w:pPr>
                    <w:widowControl/>
                    <w:spacing w:line="240" w:lineRule="auto"/>
                    <w:ind w:firstLine="0" w:firstLineChars="0"/>
                    <w:jc w:val="center"/>
                    <w:textAlignment w:val="center"/>
                    <w:rPr>
                      <w:bCs/>
                      <w:sz w:val="21"/>
                      <w:szCs w:val="21"/>
                    </w:rPr>
                  </w:pPr>
                  <w:r>
                    <w:rPr>
                      <w:rFonts w:hint="eastAsia"/>
                      <w:bCs/>
                      <w:sz w:val="21"/>
                      <w:szCs w:val="21"/>
                    </w:rPr>
                    <w:t>47.6</w:t>
                  </w:r>
                </w:p>
              </w:tc>
              <w:tc>
                <w:tcPr>
                  <w:tcW w:w="467" w:type="pct"/>
                  <w:vAlign w:val="center"/>
                </w:tcPr>
                <w:p>
                  <w:pPr>
                    <w:widowControl/>
                    <w:spacing w:line="240" w:lineRule="auto"/>
                    <w:ind w:firstLine="0" w:firstLineChars="0"/>
                    <w:jc w:val="center"/>
                    <w:textAlignment w:val="center"/>
                    <w:rPr>
                      <w:bCs/>
                      <w:sz w:val="21"/>
                      <w:szCs w:val="21"/>
                    </w:rPr>
                  </w:pPr>
                  <w:r>
                    <w:rPr>
                      <w:rFonts w:hint="eastAsia"/>
                      <w:bCs/>
                      <w:sz w:val="21"/>
                      <w:szCs w:val="21"/>
                    </w:rPr>
                    <w:t>46.8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2" w:type="pct"/>
                  <w:vAlign w:val="center"/>
                </w:tcPr>
                <w:p>
                  <w:pPr>
                    <w:spacing w:line="240" w:lineRule="auto"/>
                    <w:ind w:firstLine="0" w:firstLineChars="0"/>
                    <w:jc w:val="center"/>
                    <w:rPr>
                      <w:sz w:val="21"/>
                      <w:szCs w:val="21"/>
                    </w:rPr>
                  </w:pPr>
                  <w:r>
                    <w:rPr>
                      <w:rFonts w:hint="eastAsia"/>
                      <w:sz w:val="21"/>
                      <w:szCs w:val="21"/>
                    </w:rPr>
                    <w:t>厂界</w:t>
                  </w:r>
                  <w:r>
                    <w:rPr>
                      <w:sz w:val="21"/>
                      <w:szCs w:val="21"/>
                    </w:rPr>
                    <w:t>4#</w:t>
                  </w:r>
                </w:p>
              </w:tc>
              <w:tc>
                <w:tcPr>
                  <w:tcW w:w="466" w:type="pct"/>
                  <w:vAlign w:val="center"/>
                </w:tcPr>
                <w:p>
                  <w:pPr>
                    <w:spacing w:line="240" w:lineRule="auto"/>
                    <w:ind w:firstLine="0" w:firstLineChars="0"/>
                    <w:jc w:val="center"/>
                    <w:textAlignment w:val="baseline"/>
                    <w:rPr>
                      <w:bCs/>
                      <w:sz w:val="21"/>
                      <w:szCs w:val="21"/>
                    </w:rPr>
                  </w:pPr>
                  <w:r>
                    <w:rPr>
                      <w:rFonts w:hint="eastAsia"/>
                      <w:bCs/>
                      <w:sz w:val="21"/>
                      <w:szCs w:val="21"/>
                    </w:rPr>
                    <w:t>58</w:t>
                  </w:r>
                </w:p>
              </w:tc>
              <w:tc>
                <w:tcPr>
                  <w:tcW w:w="466" w:type="pct"/>
                  <w:vAlign w:val="center"/>
                </w:tcPr>
                <w:p>
                  <w:pPr>
                    <w:spacing w:line="240" w:lineRule="auto"/>
                    <w:ind w:firstLine="0" w:firstLineChars="0"/>
                    <w:jc w:val="center"/>
                    <w:textAlignment w:val="baseline"/>
                    <w:rPr>
                      <w:bCs/>
                      <w:sz w:val="21"/>
                      <w:szCs w:val="21"/>
                    </w:rPr>
                  </w:pPr>
                  <w:r>
                    <w:rPr>
                      <w:rFonts w:hint="eastAsia"/>
                      <w:bCs/>
                      <w:sz w:val="21"/>
                      <w:szCs w:val="21"/>
                    </w:rPr>
                    <w:t>61.2</w:t>
                  </w:r>
                </w:p>
              </w:tc>
              <w:tc>
                <w:tcPr>
                  <w:tcW w:w="466" w:type="pct"/>
                  <w:vAlign w:val="center"/>
                </w:tcPr>
                <w:p>
                  <w:pPr>
                    <w:spacing w:line="240" w:lineRule="auto"/>
                    <w:ind w:firstLine="0" w:firstLineChars="0"/>
                    <w:jc w:val="center"/>
                    <w:textAlignment w:val="baseline"/>
                    <w:rPr>
                      <w:bCs/>
                      <w:sz w:val="21"/>
                      <w:szCs w:val="21"/>
                    </w:rPr>
                  </w:pPr>
                  <w:r>
                    <w:rPr>
                      <w:rFonts w:hint="eastAsia"/>
                      <w:bCs/>
                      <w:sz w:val="21"/>
                      <w:szCs w:val="21"/>
                    </w:rPr>
                    <w:t>56.8</w:t>
                  </w:r>
                </w:p>
              </w:tc>
              <w:tc>
                <w:tcPr>
                  <w:tcW w:w="466" w:type="pct"/>
                  <w:vAlign w:val="center"/>
                </w:tcPr>
                <w:p>
                  <w:pPr>
                    <w:spacing w:line="240" w:lineRule="auto"/>
                    <w:ind w:firstLine="0" w:firstLineChars="0"/>
                    <w:jc w:val="center"/>
                    <w:textAlignment w:val="baseline"/>
                    <w:rPr>
                      <w:bCs/>
                      <w:sz w:val="21"/>
                      <w:szCs w:val="21"/>
                    </w:rPr>
                  </w:pPr>
                  <w:r>
                    <w:rPr>
                      <w:rFonts w:hint="eastAsia"/>
                      <w:bCs/>
                      <w:sz w:val="21"/>
                      <w:szCs w:val="21"/>
                    </w:rPr>
                    <w:t>55.0</w:t>
                  </w:r>
                </w:p>
              </w:tc>
              <w:tc>
                <w:tcPr>
                  <w:tcW w:w="466" w:type="pct"/>
                  <w:vAlign w:val="center"/>
                </w:tcPr>
                <w:p>
                  <w:pPr>
                    <w:widowControl/>
                    <w:spacing w:line="240" w:lineRule="auto"/>
                    <w:ind w:firstLine="0" w:firstLineChars="0"/>
                    <w:jc w:val="center"/>
                    <w:textAlignment w:val="center"/>
                    <w:rPr>
                      <w:bCs/>
                      <w:sz w:val="21"/>
                      <w:szCs w:val="21"/>
                    </w:rPr>
                  </w:pPr>
                  <w:r>
                    <w:rPr>
                      <w:rFonts w:hint="eastAsia"/>
                      <w:bCs/>
                      <w:sz w:val="21"/>
                      <w:szCs w:val="21"/>
                    </w:rPr>
                    <w:t>47</w:t>
                  </w:r>
                </w:p>
              </w:tc>
              <w:tc>
                <w:tcPr>
                  <w:tcW w:w="466" w:type="pct"/>
                  <w:vAlign w:val="center"/>
                </w:tcPr>
                <w:p>
                  <w:pPr>
                    <w:widowControl/>
                    <w:spacing w:line="240" w:lineRule="auto"/>
                    <w:ind w:firstLine="0" w:firstLineChars="0"/>
                    <w:jc w:val="center"/>
                    <w:textAlignment w:val="center"/>
                    <w:rPr>
                      <w:bCs/>
                      <w:sz w:val="21"/>
                      <w:szCs w:val="21"/>
                    </w:rPr>
                  </w:pPr>
                  <w:r>
                    <w:rPr>
                      <w:rFonts w:hint="eastAsia"/>
                      <w:bCs/>
                      <w:sz w:val="21"/>
                      <w:szCs w:val="21"/>
                    </w:rPr>
                    <w:t>48.2</w:t>
                  </w:r>
                </w:p>
              </w:tc>
              <w:tc>
                <w:tcPr>
                  <w:tcW w:w="466" w:type="pct"/>
                  <w:vAlign w:val="center"/>
                </w:tcPr>
                <w:p>
                  <w:pPr>
                    <w:widowControl/>
                    <w:spacing w:line="240" w:lineRule="auto"/>
                    <w:ind w:firstLine="0" w:firstLineChars="0"/>
                    <w:jc w:val="center"/>
                    <w:textAlignment w:val="center"/>
                    <w:rPr>
                      <w:bCs/>
                      <w:sz w:val="21"/>
                      <w:szCs w:val="21"/>
                    </w:rPr>
                  </w:pPr>
                  <w:r>
                    <w:rPr>
                      <w:rFonts w:hint="eastAsia"/>
                      <w:bCs/>
                      <w:sz w:val="21"/>
                      <w:szCs w:val="21"/>
                    </w:rPr>
                    <w:t>46.8</w:t>
                  </w:r>
                </w:p>
              </w:tc>
              <w:tc>
                <w:tcPr>
                  <w:tcW w:w="467" w:type="pct"/>
                  <w:vAlign w:val="center"/>
                </w:tcPr>
                <w:p>
                  <w:pPr>
                    <w:widowControl/>
                    <w:spacing w:line="240" w:lineRule="auto"/>
                    <w:ind w:firstLine="0" w:firstLineChars="0"/>
                    <w:jc w:val="center"/>
                    <w:textAlignment w:val="center"/>
                    <w:rPr>
                      <w:bCs/>
                      <w:sz w:val="21"/>
                      <w:szCs w:val="21"/>
                    </w:rPr>
                  </w:pPr>
                  <w:r>
                    <w:rPr>
                      <w:rFonts w:hint="eastAsia"/>
                      <w:bCs/>
                      <w:sz w:val="21"/>
                      <w:szCs w:val="21"/>
                    </w:rPr>
                    <w:t>45.4</w:t>
                  </w:r>
                </w:p>
              </w:tc>
            </w:tr>
          </w:tbl>
          <w:p>
            <w:pPr>
              <w:spacing w:line="460" w:lineRule="exact"/>
              <w:ind w:firstLine="480"/>
              <w:rPr>
                <w:bCs/>
              </w:rPr>
            </w:pPr>
            <w:r>
              <w:t>根据上表可知：</w:t>
            </w:r>
            <w:r>
              <w:rPr>
                <w:rFonts w:hint="eastAsia"/>
              </w:rPr>
              <w:t>监测期间项目厂界昼间噪声值在</w:t>
            </w:r>
            <w:r>
              <w:t>5</w:t>
            </w:r>
            <w:r>
              <w:rPr>
                <w:rFonts w:hint="eastAsia"/>
              </w:rPr>
              <w:t>6-58</w:t>
            </w:r>
            <w:r>
              <w:t>dB(A)</w:t>
            </w:r>
            <w:r>
              <w:rPr>
                <w:rFonts w:hint="eastAsia"/>
              </w:rPr>
              <w:t>，夜间噪声值在</w:t>
            </w:r>
            <w:r>
              <w:t>4</w:t>
            </w:r>
            <w:r>
              <w:rPr>
                <w:rFonts w:hint="eastAsia"/>
              </w:rPr>
              <w:t>6</w:t>
            </w:r>
            <w:r>
              <w:t>-4</w:t>
            </w:r>
            <w:r>
              <w:rPr>
                <w:rFonts w:hint="eastAsia"/>
              </w:rPr>
              <w:t>8</w:t>
            </w:r>
            <w:r>
              <w:t>dB(A)</w:t>
            </w:r>
            <w:r>
              <w:rPr>
                <w:rFonts w:hint="eastAsia"/>
              </w:rPr>
              <w:t>，均满足</w:t>
            </w:r>
            <w:r>
              <w:t>《</w:t>
            </w:r>
            <w:r>
              <w:rPr>
                <w:rFonts w:hint="eastAsia"/>
              </w:rPr>
              <w:t>工业企业厂界环境噪声排放标准</w:t>
            </w:r>
            <w:r>
              <w:t>》（GB12348-2008）2类标准</w:t>
            </w:r>
            <w:r>
              <w:rPr>
                <w:rFonts w:hint="eastAsia"/>
              </w:rPr>
              <w:t>，</w:t>
            </w:r>
            <w:r>
              <w:rPr>
                <w:bCs/>
              </w:rPr>
              <w:t>说明区域声环境质量良好。</w:t>
            </w:r>
          </w:p>
          <w:p>
            <w:pPr>
              <w:ind w:firstLine="0" w:firstLineChars="0"/>
              <w:rPr>
                <w:rFonts w:hAnsi="宋体"/>
                <w:b/>
              </w:rPr>
            </w:pPr>
            <w:r>
              <w:rPr>
                <w:rFonts w:hint="eastAsia" w:hAnsi="宋体"/>
                <w:b/>
              </w:rPr>
              <w:t>4、生态环境现状</w:t>
            </w:r>
          </w:p>
          <w:p>
            <w:pPr>
              <w:pStyle w:val="142"/>
              <w:spacing w:line="460" w:lineRule="exact"/>
              <w:ind w:firstLine="480" w:firstLineChars="200"/>
              <w:jc w:val="both"/>
              <w:rPr>
                <w:bCs w:val="0"/>
                <w:sz w:val="24"/>
                <w:szCs w:val="20"/>
              </w:rPr>
            </w:pPr>
            <w:r>
              <w:rPr>
                <w:rFonts w:hint="eastAsia"/>
                <w:bCs w:val="0"/>
                <w:sz w:val="24"/>
                <w:szCs w:val="20"/>
              </w:rPr>
              <w:t>本项目拟建厂址位于交城县水峪贯镇西冶村东南约4</w:t>
            </w:r>
            <w:r>
              <w:rPr>
                <w:bCs w:val="0"/>
                <w:sz w:val="24"/>
                <w:szCs w:val="20"/>
              </w:rPr>
              <w:t>00m</w:t>
            </w:r>
            <w:r>
              <w:rPr>
                <w:rFonts w:hint="eastAsia"/>
                <w:bCs w:val="0"/>
                <w:sz w:val="24"/>
                <w:szCs w:val="20"/>
              </w:rPr>
              <w:t>处，总占地面积约3</w:t>
            </w:r>
            <w:r>
              <w:rPr>
                <w:bCs w:val="0"/>
                <w:sz w:val="24"/>
                <w:szCs w:val="20"/>
              </w:rPr>
              <w:t>7500</w:t>
            </w:r>
            <w:r>
              <w:rPr>
                <w:rFonts w:hint="eastAsia"/>
                <w:bCs w:val="0"/>
                <w:sz w:val="24"/>
                <w:szCs w:val="20"/>
              </w:rPr>
              <w:t>平方米，中心点坐标为；E</w:t>
            </w:r>
            <w:r>
              <w:rPr>
                <w:bCs w:val="0"/>
                <w:sz w:val="24"/>
                <w:szCs w:val="20"/>
              </w:rPr>
              <w:t>111.921354</w:t>
            </w:r>
            <w:r>
              <w:rPr>
                <w:rFonts w:hint="eastAsia"/>
                <w:bCs w:val="0"/>
                <w:sz w:val="24"/>
                <w:szCs w:val="20"/>
              </w:rPr>
              <w:t>°，N</w:t>
            </w:r>
            <w:r>
              <w:rPr>
                <w:bCs w:val="0"/>
                <w:sz w:val="24"/>
                <w:szCs w:val="20"/>
              </w:rPr>
              <w:t>37.669642</w:t>
            </w:r>
            <w:r>
              <w:rPr>
                <w:rFonts w:hint="eastAsia"/>
                <w:bCs w:val="0"/>
                <w:sz w:val="24"/>
                <w:szCs w:val="20"/>
              </w:rPr>
              <w:t>°；本项目拟建场地利用废弃洗煤厂场地。周围环境以工业、农业、居住为主，评价区整体属农业、居住生态环境，植被主要是农作物以及杨树、柳树和灌木，生态环境现状一般。</w:t>
            </w:r>
          </w:p>
          <w:p>
            <w:pPr>
              <w:pStyle w:val="142"/>
              <w:spacing w:line="460" w:lineRule="exact"/>
              <w:ind w:firstLine="480" w:firstLineChars="200"/>
              <w:jc w:val="both"/>
              <w:rPr>
                <w:bCs w:val="0"/>
                <w:sz w:val="24"/>
                <w:szCs w:val="20"/>
              </w:rPr>
            </w:pPr>
          </w:p>
          <w:p>
            <w:pPr>
              <w:pStyle w:val="142"/>
              <w:spacing w:line="460" w:lineRule="exact"/>
              <w:ind w:firstLine="480" w:firstLineChars="200"/>
              <w:jc w:val="both"/>
              <w:rPr>
                <w:bCs w:val="0"/>
                <w:sz w:val="24"/>
                <w:szCs w:val="20"/>
              </w:rPr>
            </w:pPr>
          </w:p>
          <w:p>
            <w:pPr>
              <w:pStyle w:val="142"/>
              <w:spacing w:line="460" w:lineRule="exact"/>
              <w:ind w:firstLine="480" w:firstLineChars="200"/>
              <w:jc w:val="both"/>
              <w:rPr>
                <w:bCs w:val="0"/>
                <w:sz w:val="24"/>
                <w:szCs w:val="20"/>
              </w:rPr>
            </w:pPr>
          </w:p>
          <w:p>
            <w:pPr>
              <w:pStyle w:val="142"/>
              <w:spacing w:line="460" w:lineRule="exact"/>
              <w:ind w:firstLine="480" w:firstLineChars="200"/>
              <w:jc w:val="both"/>
              <w:rPr>
                <w:bCs w:val="0"/>
                <w:sz w:val="24"/>
                <w:szCs w:val="20"/>
              </w:rPr>
            </w:pPr>
          </w:p>
          <w:p>
            <w:pPr>
              <w:pStyle w:val="142"/>
              <w:spacing w:line="460" w:lineRule="exact"/>
              <w:ind w:firstLine="480" w:firstLineChars="200"/>
              <w:jc w:val="both"/>
              <w:rPr>
                <w:bCs w:val="0"/>
                <w:sz w:val="24"/>
                <w:szCs w:val="20"/>
              </w:rPr>
            </w:pPr>
          </w:p>
          <w:p>
            <w:pPr>
              <w:pStyle w:val="142"/>
              <w:spacing w:line="460" w:lineRule="exact"/>
              <w:ind w:firstLine="480" w:firstLineChars="200"/>
              <w:jc w:val="both"/>
              <w:rPr>
                <w:bCs w:val="0"/>
                <w:sz w:val="24"/>
                <w:szCs w:val="20"/>
              </w:rPr>
            </w:pPr>
          </w:p>
          <w:p>
            <w:pPr>
              <w:pStyle w:val="142"/>
              <w:spacing w:line="460" w:lineRule="exact"/>
              <w:ind w:firstLine="480" w:firstLineChars="200"/>
              <w:jc w:val="both"/>
              <w:rPr>
                <w:bCs w:val="0"/>
                <w:sz w:val="24"/>
                <w:szCs w:val="20"/>
              </w:rPr>
            </w:pPr>
          </w:p>
          <w:p>
            <w:pPr>
              <w:pStyle w:val="142"/>
              <w:spacing w:line="460" w:lineRule="exact"/>
              <w:ind w:firstLine="480" w:firstLineChars="200"/>
              <w:jc w:val="both"/>
              <w:rPr>
                <w:bCs w:val="0"/>
                <w:sz w:val="24"/>
                <w:szCs w:val="20"/>
              </w:rPr>
            </w:pPr>
          </w:p>
          <w:p>
            <w:pPr>
              <w:pStyle w:val="142"/>
              <w:spacing w:line="460" w:lineRule="exact"/>
              <w:ind w:firstLine="480" w:firstLineChars="200"/>
              <w:jc w:val="both"/>
              <w:rPr>
                <w:bCs w:val="0"/>
                <w:sz w:val="24"/>
                <w:szCs w:val="20"/>
              </w:rPr>
            </w:pPr>
          </w:p>
          <w:p>
            <w:pPr>
              <w:pStyle w:val="142"/>
              <w:spacing w:line="460" w:lineRule="exact"/>
              <w:ind w:firstLine="480" w:firstLineChars="200"/>
              <w:jc w:val="both"/>
              <w:rPr>
                <w:bCs w:val="0"/>
                <w:sz w:val="24"/>
                <w:szCs w:val="20"/>
              </w:rPr>
            </w:pPr>
          </w:p>
          <w:p>
            <w:pPr>
              <w:pStyle w:val="142"/>
              <w:spacing w:line="460" w:lineRule="exact"/>
              <w:ind w:firstLine="480" w:firstLineChars="200"/>
              <w:jc w:val="both"/>
              <w:rPr>
                <w:bCs w:val="0"/>
                <w:sz w:val="24"/>
                <w:szCs w:val="20"/>
              </w:rPr>
            </w:pPr>
          </w:p>
          <w:p>
            <w:pPr>
              <w:pStyle w:val="142"/>
              <w:spacing w:line="460" w:lineRule="exact"/>
              <w:ind w:firstLine="480" w:firstLineChars="200"/>
              <w:jc w:val="both"/>
              <w:rPr>
                <w:bCs w:val="0"/>
                <w:sz w:val="24"/>
                <w:szCs w:val="20"/>
              </w:rPr>
            </w:pPr>
          </w:p>
          <w:p>
            <w:pPr>
              <w:pStyle w:val="142"/>
              <w:spacing w:line="460" w:lineRule="exact"/>
              <w:ind w:firstLine="480" w:firstLineChars="200"/>
              <w:jc w:val="both"/>
              <w:rPr>
                <w:bCs w:val="0"/>
                <w:sz w:val="24"/>
                <w:szCs w:val="20"/>
              </w:rPr>
            </w:pPr>
          </w:p>
          <w:p>
            <w:pPr>
              <w:pStyle w:val="142"/>
              <w:spacing w:line="460" w:lineRule="exact"/>
              <w:ind w:firstLine="480" w:firstLineChars="200"/>
              <w:jc w:val="both"/>
              <w:rPr>
                <w:bCs w:val="0"/>
                <w:sz w:val="24"/>
                <w:szCs w:val="20"/>
              </w:rPr>
            </w:pPr>
          </w:p>
          <w:p>
            <w:pPr>
              <w:pStyle w:val="142"/>
              <w:spacing w:line="460" w:lineRule="exact"/>
              <w:ind w:firstLine="420" w:firstLineChars="200"/>
              <w:jc w:val="both"/>
            </w:pPr>
          </w:p>
          <w:p>
            <w:pPr>
              <w:pStyle w:val="142"/>
              <w:spacing w:line="460" w:lineRule="exact"/>
              <w:ind w:firstLine="420" w:firstLineChars="200"/>
              <w:jc w:val="both"/>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92" w:hRule="atLeast"/>
        </w:trPr>
        <w:tc>
          <w:tcPr>
            <w:tcW w:w="8942" w:type="dxa"/>
          </w:tcPr>
          <w:p>
            <w:pPr>
              <w:ind w:firstLine="0" w:firstLineChars="0"/>
              <w:rPr>
                <w:b/>
              </w:rPr>
            </w:pPr>
            <w:r>
              <w:rPr>
                <w:rFonts w:hint="eastAsia"/>
                <w:b/>
              </w:rPr>
              <w:t>主要环境保护目标（列出名单及保护级别）：</w:t>
            </w:r>
          </w:p>
          <w:p>
            <w:pPr>
              <w:ind w:firstLine="480"/>
            </w:pPr>
            <w:r>
              <w:t>根据本工程所在地的自然环境和社会环境特征，其环境保护目标具体如下：</w:t>
            </w:r>
          </w:p>
          <w:p>
            <w:pPr>
              <w:ind w:firstLine="0" w:firstLineChars="0"/>
              <w:rPr>
                <w:b/>
              </w:rPr>
            </w:pPr>
            <w:r>
              <w:rPr>
                <w:rFonts w:hint="eastAsia"/>
                <w:b/>
              </w:rPr>
              <w:t>1</w:t>
            </w:r>
            <w:r>
              <w:rPr>
                <w:b/>
              </w:rPr>
              <w:t>、环境保护目标</w:t>
            </w:r>
          </w:p>
          <w:p>
            <w:pPr>
              <w:widowControl/>
              <w:ind w:firstLine="480"/>
              <w:textAlignment w:val="baseline"/>
            </w:pPr>
            <w:r>
              <w:t>评价区内无自然保护区、风景旅游点和文物古迹等需要特殊保护的环境敏感对象，环境保护目标是不降低区域环境质量现状功能级别，具体为：</w:t>
            </w:r>
          </w:p>
          <w:p>
            <w:pPr>
              <w:widowControl/>
              <w:ind w:firstLine="480"/>
              <w:textAlignment w:val="baseline"/>
            </w:pPr>
            <w:r>
              <w:rPr>
                <w:rFonts w:hint="eastAsia"/>
                <w:bCs/>
              </w:rPr>
              <w:t>评价区域环境空气质量执行《环境空气质量标准》（GB3095-2012）中二级标准。</w:t>
            </w:r>
          </w:p>
          <w:p>
            <w:pPr>
              <w:widowControl/>
              <w:ind w:firstLine="480"/>
              <w:textAlignment w:val="baseline"/>
            </w:pPr>
            <w:r>
              <w:t>地表水环境质量执行《地表水环境质量标准》（GB38382-2002）</w:t>
            </w:r>
            <w:r>
              <w:rPr>
                <w:rFonts w:hint="eastAsia"/>
              </w:rPr>
              <w:t>III</w:t>
            </w:r>
            <w:r>
              <w:t>类标准。</w:t>
            </w:r>
          </w:p>
          <w:p>
            <w:pPr>
              <w:widowControl/>
              <w:ind w:firstLine="480"/>
              <w:textAlignment w:val="baseline"/>
            </w:pPr>
            <w:r>
              <w:t>地下水</w:t>
            </w:r>
            <w:r>
              <w:rPr>
                <w:rFonts w:hint="eastAsia"/>
              </w:rPr>
              <w:t>质量</w:t>
            </w:r>
            <w:r>
              <w:t>执行</w:t>
            </w:r>
            <w:r>
              <w:rPr>
                <w:rFonts w:hint="eastAsia"/>
              </w:rPr>
              <w:t>《地下水质量标准》（GB/T14848-2017）中III</w:t>
            </w:r>
            <w:r>
              <w:t>类标准。</w:t>
            </w:r>
          </w:p>
          <w:p>
            <w:pPr>
              <w:ind w:firstLine="480"/>
            </w:pPr>
            <w:r>
              <w:rPr>
                <w:rFonts w:hint="eastAsia"/>
              </w:rPr>
              <w:t>区域声环境</w:t>
            </w:r>
            <w:r>
              <w:t>执行《</w:t>
            </w:r>
            <w:r>
              <w:rPr>
                <w:rFonts w:hint="eastAsia"/>
              </w:rPr>
              <w:t>声环境质量标准</w:t>
            </w:r>
            <w:r>
              <w:t>》</w:t>
            </w:r>
            <w:r>
              <w:rPr>
                <w:rFonts w:hint="eastAsia"/>
              </w:rPr>
              <w:t>（GB3096-2008）中1</w:t>
            </w:r>
            <w:r>
              <w:t>类</w:t>
            </w:r>
            <w:r>
              <w:rPr>
                <w:rFonts w:hint="eastAsia"/>
              </w:rPr>
              <w:t>声环境功能区</w:t>
            </w:r>
            <w:r>
              <w:t>标准</w:t>
            </w:r>
            <w:r>
              <w:rPr>
                <w:rFonts w:hint="eastAsia"/>
              </w:rPr>
              <w:t>。</w:t>
            </w:r>
          </w:p>
          <w:p>
            <w:pPr>
              <w:ind w:firstLine="480"/>
            </w:pPr>
            <w:r>
              <w:rPr>
                <w:rFonts w:hint="eastAsia"/>
              </w:rPr>
              <w:t>土壤执行</w:t>
            </w:r>
            <w:r>
              <w:rPr>
                <w:rFonts w:hint="eastAsia"/>
                <w:szCs w:val="24"/>
              </w:rPr>
              <w:t>《土壤环境质量</w:t>
            </w:r>
            <w:r>
              <w:rPr>
                <w:szCs w:val="24"/>
              </w:rPr>
              <w:t xml:space="preserve"> </w:t>
            </w:r>
            <w:r>
              <w:rPr>
                <w:rFonts w:hint="eastAsia"/>
                <w:szCs w:val="24"/>
              </w:rPr>
              <w:t>建设用地土壤污染风险管控标准》（试行）（G</w:t>
            </w:r>
            <w:r>
              <w:rPr>
                <w:szCs w:val="24"/>
              </w:rPr>
              <w:t>B36600-2018</w:t>
            </w:r>
            <w:r>
              <w:rPr>
                <w:rFonts w:hint="eastAsia"/>
                <w:szCs w:val="24"/>
              </w:rPr>
              <w:t>）中建设用地分类，本项目属于第二类用地，执行第二类用地建设用地土壤污染风险筛选值。</w:t>
            </w:r>
          </w:p>
          <w:p>
            <w:pPr>
              <w:ind w:firstLine="0" w:firstLineChars="0"/>
              <w:rPr>
                <w:b/>
              </w:rPr>
            </w:pPr>
            <w:r>
              <w:rPr>
                <w:rFonts w:hint="eastAsia"/>
                <w:b/>
              </w:rPr>
              <w:t>2</w:t>
            </w:r>
            <w:r>
              <w:rPr>
                <w:b/>
              </w:rPr>
              <w:t>、环境保护对象</w:t>
            </w:r>
          </w:p>
          <w:p>
            <w:pPr>
              <w:ind w:firstLine="480"/>
            </w:pPr>
            <w:r>
              <w:t>根据本工程所在地社会环境状况，其主要保护对象见表22。</w:t>
            </w:r>
          </w:p>
          <w:p>
            <w:pPr>
              <w:ind w:firstLine="0" w:firstLineChars="0"/>
              <w:jc w:val="center"/>
              <w:rPr>
                <w:rFonts w:ascii="黑体" w:hAnsi="黑体" w:eastAsia="黑体"/>
              </w:rPr>
            </w:pPr>
          </w:p>
          <w:p>
            <w:pPr>
              <w:ind w:firstLine="0" w:firstLineChars="0"/>
              <w:jc w:val="center"/>
              <w:rPr>
                <w:rFonts w:ascii="黑体" w:hAnsi="黑体" w:eastAsia="黑体"/>
              </w:rPr>
            </w:pPr>
          </w:p>
          <w:p>
            <w:pPr>
              <w:ind w:firstLine="0" w:firstLineChars="0"/>
              <w:jc w:val="center"/>
              <w:rPr>
                <w:rFonts w:ascii="黑体" w:hAnsi="黑体" w:eastAsia="黑体"/>
              </w:rPr>
            </w:pPr>
          </w:p>
          <w:p>
            <w:pPr>
              <w:ind w:firstLine="0" w:firstLineChars="0"/>
              <w:jc w:val="center"/>
              <w:rPr>
                <w:rFonts w:ascii="黑体" w:hAnsi="黑体" w:eastAsia="黑体"/>
              </w:rPr>
            </w:pPr>
          </w:p>
          <w:p>
            <w:pPr>
              <w:ind w:firstLine="0" w:firstLineChars="0"/>
              <w:jc w:val="center"/>
              <w:rPr>
                <w:rFonts w:ascii="黑体" w:hAnsi="黑体" w:eastAsia="黑体"/>
              </w:rPr>
            </w:pPr>
          </w:p>
          <w:p>
            <w:pPr>
              <w:ind w:firstLine="0" w:firstLineChars="0"/>
              <w:jc w:val="center"/>
              <w:rPr>
                <w:rFonts w:ascii="黑体" w:hAnsi="黑体" w:eastAsia="黑体"/>
              </w:rPr>
            </w:pPr>
          </w:p>
          <w:p>
            <w:pPr>
              <w:ind w:firstLine="0" w:firstLineChars="0"/>
              <w:jc w:val="center"/>
              <w:rPr>
                <w:rFonts w:ascii="黑体" w:hAnsi="黑体" w:eastAsia="黑体"/>
              </w:rPr>
            </w:pPr>
          </w:p>
          <w:p>
            <w:pPr>
              <w:ind w:firstLine="0" w:firstLineChars="0"/>
              <w:jc w:val="center"/>
              <w:rPr>
                <w:rFonts w:ascii="黑体" w:hAnsi="黑体" w:eastAsia="黑体"/>
              </w:rPr>
            </w:pPr>
          </w:p>
          <w:p>
            <w:pPr>
              <w:ind w:firstLine="0" w:firstLineChars="0"/>
              <w:jc w:val="center"/>
              <w:rPr>
                <w:rFonts w:ascii="黑体" w:hAnsi="黑体" w:eastAsia="黑体"/>
              </w:rPr>
            </w:pPr>
          </w:p>
          <w:p>
            <w:pPr>
              <w:ind w:firstLine="0" w:firstLineChars="0"/>
              <w:jc w:val="center"/>
              <w:rPr>
                <w:rFonts w:ascii="黑体" w:hAnsi="黑体" w:eastAsia="黑体"/>
              </w:rPr>
            </w:pPr>
          </w:p>
          <w:p>
            <w:pPr>
              <w:ind w:firstLine="0" w:firstLineChars="0"/>
              <w:jc w:val="center"/>
              <w:rPr>
                <w:rFonts w:ascii="黑体" w:hAnsi="黑体" w:eastAsia="黑体"/>
              </w:rPr>
            </w:pPr>
          </w:p>
          <w:p>
            <w:pPr>
              <w:ind w:firstLine="0" w:firstLineChars="0"/>
              <w:jc w:val="center"/>
              <w:rPr>
                <w:rFonts w:ascii="黑体" w:hAnsi="黑体" w:eastAsia="黑体"/>
              </w:rPr>
            </w:pPr>
          </w:p>
          <w:p>
            <w:pPr>
              <w:ind w:firstLine="0" w:firstLineChars="0"/>
              <w:jc w:val="center"/>
              <w:rPr>
                <w:rFonts w:ascii="黑体" w:hAnsi="黑体" w:eastAsia="黑体"/>
              </w:rPr>
            </w:pPr>
          </w:p>
          <w:p>
            <w:pPr>
              <w:ind w:firstLine="0" w:firstLineChars="0"/>
              <w:jc w:val="center"/>
              <w:rPr>
                <w:rFonts w:ascii="黑体" w:hAnsi="黑体" w:eastAsia="黑体"/>
              </w:rPr>
            </w:pPr>
          </w:p>
          <w:p>
            <w:pPr>
              <w:ind w:firstLine="0" w:firstLineChars="0"/>
              <w:jc w:val="center"/>
              <w:rPr>
                <w:rFonts w:ascii="黑体" w:hAnsi="黑体" w:eastAsia="黑体"/>
              </w:rPr>
            </w:pPr>
          </w:p>
          <w:p>
            <w:pPr>
              <w:ind w:firstLine="0" w:firstLineChars="0"/>
              <w:jc w:val="center"/>
              <w:rPr>
                <w:rFonts w:ascii="黑体" w:hAnsi="黑体" w:eastAsia="黑体"/>
              </w:rPr>
            </w:pPr>
            <w:r>
              <w:rPr>
                <w:rFonts w:ascii="黑体" w:hAnsi="黑体" w:eastAsia="黑体"/>
              </w:rPr>
              <w:t>表22</w:t>
            </w:r>
            <w:r>
              <w:rPr>
                <w:rFonts w:hint="eastAsia" w:ascii="黑体" w:hAnsi="黑体" w:eastAsia="黑体"/>
              </w:rPr>
              <w:t xml:space="preserve">  </w:t>
            </w:r>
            <w:r>
              <w:rPr>
                <w:rFonts w:ascii="黑体" w:hAnsi="黑体" w:eastAsia="黑体"/>
              </w:rPr>
              <w:t>评价区环境保护目标一览表</w:t>
            </w:r>
          </w:p>
          <w:tbl>
            <w:tblPr>
              <w:tblStyle w:val="7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8"/>
              <w:gridCol w:w="1769"/>
              <w:gridCol w:w="880"/>
              <w:gridCol w:w="882"/>
              <w:gridCol w:w="882"/>
              <w:gridCol w:w="34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vAlign w:val="center"/>
                </w:tcPr>
                <w:p>
                  <w:pPr>
                    <w:pStyle w:val="174"/>
                    <w:framePr w:hSpace="0" w:wrap="auto" w:vAnchor="margin" w:hAnchor="text" w:yAlign="inline"/>
                    <w:spacing w:line="240" w:lineRule="auto"/>
                    <w:ind w:firstLine="0" w:firstLineChars="0"/>
                    <w:rPr>
                      <w:b w:val="0"/>
                      <w:color w:val="auto"/>
                      <w:szCs w:val="21"/>
                    </w:rPr>
                  </w:pPr>
                  <w:r>
                    <w:rPr>
                      <w:b w:val="0"/>
                      <w:color w:val="auto"/>
                      <w:szCs w:val="21"/>
                    </w:rPr>
                    <w:t>类别</w:t>
                  </w:r>
                </w:p>
              </w:tc>
              <w:tc>
                <w:tcPr>
                  <w:tcW w:w="1015" w:type="pct"/>
                  <w:vAlign w:val="center"/>
                </w:tcPr>
                <w:p>
                  <w:pPr>
                    <w:pStyle w:val="174"/>
                    <w:spacing w:line="240" w:lineRule="auto"/>
                    <w:ind w:firstLine="0" w:firstLineChars="0"/>
                    <w:rPr>
                      <w:b w:val="0"/>
                      <w:color w:val="auto"/>
                      <w:szCs w:val="21"/>
                    </w:rPr>
                  </w:pPr>
                  <w:r>
                    <w:rPr>
                      <w:b w:val="0"/>
                      <w:color w:val="auto"/>
                      <w:szCs w:val="21"/>
                    </w:rPr>
                    <w:t>保护目标</w:t>
                  </w:r>
                </w:p>
              </w:tc>
              <w:tc>
                <w:tcPr>
                  <w:tcW w:w="505" w:type="pct"/>
                  <w:vAlign w:val="center"/>
                </w:tcPr>
                <w:p>
                  <w:pPr>
                    <w:pStyle w:val="174"/>
                    <w:framePr w:hSpace="0" w:wrap="auto" w:vAnchor="margin" w:hAnchor="text" w:yAlign="inline"/>
                    <w:spacing w:line="240" w:lineRule="auto"/>
                    <w:ind w:firstLine="0" w:firstLineChars="0"/>
                    <w:rPr>
                      <w:b w:val="0"/>
                      <w:color w:val="auto"/>
                      <w:szCs w:val="21"/>
                    </w:rPr>
                  </w:pPr>
                  <w:r>
                    <w:rPr>
                      <w:b w:val="0"/>
                      <w:color w:val="auto"/>
                      <w:szCs w:val="21"/>
                    </w:rPr>
                    <w:t>方位</w:t>
                  </w:r>
                </w:p>
              </w:tc>
              <w:tc>
                <w:tcPr>
                  <w:tcW w:w="506" w:type="pct"/>
                  <w:vAlign w:val="center"/>
                </w:tcPr>
                <w:p>
                  <w:pPr>
                    <w:pStyle w:val="174"/>
                    <w:framePr w:hSpace="0" w:wrap="auto" w:vAnchor="margin" w:hAnchor="text" w:yAlign="inline"/>
                    <w:spacing w:line="240" w:lineRule="auto"/>
                    <w:ind w:firstLine="0" w:firstLineChars="0"/>
                    <w:rPr>
                      <w:b w:val="0"/>
                      <w:color w:val="auto"/>
                      <w:szCs w:val="21"/>
                    </w:rPr>
                  </w:pPr>
                  <w:r>
                    <w:rPr>
                      <w:b w:val="0"/>
                      <w:color w:val="auto"/>
                      <w:szCs w:val="21"/>
                    </w:rPr>
                    <w:t>距离km</w:t>
                  </w:r>
                </w:p>
              </w:tc>
              <w:tc>
                <w:tcPr>
                  <w:tcW w:w="506" w:type="pct"/>
                  <w:vAlign w:val="center"/>
                </w:tcPr>
                <w:p>
                  <w:pPr>
                    <w:pStyle w:val="174"/>
                    <w:framePr w:hSpace="0" w:wrap="auto" w:vAnchor="margin" w:hAnchor="text" w:yAlign="inline"/>
                    <w:spacing w:line="240" w:lineRule="auto"/>
                    <w:ind w:firstLine="0" w:firstLineChars="0"/>
                    <w:rPr>
                      <w:b w:val="0"/>
                      <w:color w:val="auto"/>
                      <w:szCs w:val="21"/>
                    </w:rPr>
                  </w:pPr>
                  <w:r>
                    <w:rPr>
                      <w:b w:val="0"/>
                      <w:color w:val="auto"/>
                      <w:szCs w:val="21"/>
                    </w:rPr>
                    <w:t>保护</w:t>
                  </w:r>
                </w:p>
                <w:p>
                  <w:pPr>
                    <w:pStyle w:val="174"/>
                    <w:framePr w:hSpace="0" w:wrap="auto" w:vAnchor="margin" w:hAnchor="text" w:yAlign="inline"/>
                    <w:spacing w:line="240" w:lineRule="auto"/>
                    <w:ind w:firstLine="0" w:firstLineChars="0"/>
                    <w:rPr>
                      <w:b w:val="0"/>
                      <w:color w:val="auto"/>
                      <w:szCs w:val="21"/>
                    </w:rPr>
                  </w:pPr>
                  <w:r>
                    <w:rPr>
                      <w:b w:val="0"/>
                      <w:color w:val="auto"/>
                      <w:szCs w:val="21"/>
                    </w:rPr>
                    <w:t>对象</w:t>
                  </w:r>
                </w:p>
              </w:tc>
              <w:tc>
                <w:tcPr>
                  <w:tcW w:w="1970" w:type="pct"/>
                  <w:vAlign w:val="center"/>
                </w:tcPr>
                <w:p>
                  <w:pPr>
                    <w:pStyle w:val="174"/>
                    <w:framePr w:hSpace="0" w:wrap="auto" w:vAnchor="margin" w:hAnchor="text" w:yAlign="inline"/>
                    <w:spacing w:line="240" w:lineRule="auto"/>
                    <w:ind w:firstLine="0" w:firstLineChars="0"/>
                    <w:rPr>
                      <w:b w:val="0"/>
                      <w:color w:val="auto"/>
                      <w:szCs w:val="21"/>
                    </w:rPr>
                  </w:pPr>
                  <w:r>
                    <w:rPr>
                      <w:b w:val="0"/>
                      <w:color w:val="auto"/>
                      <w:szCs w:val="21"/>
                    </w:rPr>
                    <w:t>保护级别及要求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vMerge w:val="restart"/>
                  <w:vAlign w:val="center"/>
                </w:tcPr>
                <w:p>
                  <w:pPr>
                    <w:spacing w:line="240" w:lineRule="auto"/>
                    <w:ind w:firstLine="0" w:firstLineChars="0"/>
                    <w:jc w:val="center"/>
                    <w:rPr>
                      <w:sz w:val="21"/>
                      <w:szCs w:val="21"/>
                    </w:rPr>
                  </w:pPr>
                  <w:r>
                    <w:rPr>
                      <w:sz w:val="21"/>
                      <w:szCs w:val="21"/>
                    </w:rPr>
                    <w:t>环境</w:t>
                  </w:r>
                </w:p>
                <w:p>
                  <w:pPr>
                    <w:spacing w:line="240" w:lineRule="auto"/>
                    <w:ind w:firstLine="0" w:firstLineChars="0"/>
                    <w:jc w:val="center"/>
                    <w:rPr>
                      <w:sz w:val="21"/>
                      <w:szCs w:val="21"/>
                    </w:rPr>
                  </w:pPr>
                  <w:r>
                    <w:rPr>
                      <w:sz w:val="21"/>
                      <w:szCs w:val="21"/>
                    </w:rPr>
                    <w:t>空气</w:t>
                  </w:r>
                </w:p>
              </w:tc>
              <w:tc>
                <w:tcPr>
                  <w:tcW w:w="1015" w:type="pct"/>
                  <w:vAlign w:val="center"/>
                </w:tcPr>
                <w:p>
                  <w:pPr>
                    <w:spacing w:line="240" w:lineRule="auto"/>
                    <w:ind w:firstLine="0" w:firstLineChars="0"/>
                    <w:jc w:val="center"/>
                    <w:rPr>
                      <w:sz w:val="21"/>
                      <w:szCs w:val="21"/>
                    </w:rPr>
                  </w:pPr>
                  <w:r>
                    <w:rPr>
                      <w:rFonts w:hint="eastAsia"/>
                      <w:sz w:val="21"/>
                      <w:szCs w:val="21"/>
                    </w:rPr>
                    <w:t>陈台村</w:t>
                  </w:r>
                </w:p>
                <w:p>
                  <w:pPr>
                    <w:spacing w:line="240" w:lineRule="auto"/>
                    <w:ind w:firstLine="0" w:firstLineChars="0"/>
                    <w:jc w:val="center"/>
                    <w:rPr>
                      <w:sz w:val="21"/>
                      <w:szCs w:val="21"/>
                    </w:rPr>
                  </w:pPr>
                  <w:r>
                    <w:rPr>
                      <w:sz w:val="21"/>
                      <w:szCs w:val="21"/>
                    </w:rPr>
                    <w:t>E 111.909464</w:t>
                  </w:r>
                </w:p>
                <w:p>
                  <w:pPr>
                    <w:spacing w:line="240" w:lineRule="auto"/>
                    <w:ind w:firstLine="0" w:firstLineChars="0"/>
                    <w:jc w:val="center"/>
                    <w:rPr>
                      <w:sz w:val="21"/>
                      <w:szCs w:val="21"/>
                    </w:rPr>
                  </w:pPr>
                  <w:r>
                    <w:rPr>
                      <w:sz w:val="21"/>
                      <w:szCs w:val="21"/>
                    </w:rPr>
                    <w:t>N 37.675919</w:t>
                  </w:r>
                </w:p>
              </w:tc>
              <w:tc>
                <w:tcPr>
                  <w:tcW w:w="505" w:type="pct"/>
                  <w:vAlign w:val="center"/>
                </w:tcPr>
                <w:p>
                  <w:pPr>
                    <w:spacing w:line="240" w:lineRule="auto"/>
                    <w:ind w:firstLine="0" w:firstLineChars="0"/>
                    <w:jc w:val="center"/>
                    <w:rPr>
                      <w:sz w:val="21"/>
                      <w:szCs w:val="21"/>
                    </w:rPr>
                  </w:pPr>
                  <w:r>
                    <w:rPr>
                      <w:rFonts w:hint="eastAsia"/>
                      <w:sz w:val="21"/>
                      <w:szCs w:val="21"/>
                    </w:rPr>
                    <w:t>N</w:t>
                  </w:r>
                  <w:r>
                    <w:rPr>
                      <w:sz w:val="21"/>
                      <w:szCs w:val="21"/>
                    </w:rPr>
                    <w:t>W</w:t>
                  </w:r>
                </w:p>
              </w:tc>
              <w:tc>
                <w:tcPr>
                  <w:tcW w:w="506" w:type="pct"/>
                  <w:vAlign w:val="center"/>
                </w:tcPr>
                <w:p>
                  <w:pPr>
                    <w:spacing w:line="240" w:lineRule="auto"/>
                    <w:ind w:firstLine="0" w:firstLineChars="0"/>
                    <w:jc w:val="center"/>
                    <w:rPr>
                      <w:sz w:val="21"/>
                      <w:szCs w:val="21"/>
                    </w:rPr>
                  </w:pPr>
                  <w:r>
                    <w:rPr>
                      <w:rFonts w:hint="eastAsia"/>
                      <w:sz w:val="21"/>
                      <w:szCs w:val="21"/>
                    </w:rPr>
                    <w:t>1</w:t>
                  </w:r>
                  <w:r>
                    <w:rPr>
                      <w:sz w:val="21"/>
                      <w:szCs w:val="21"/>
                    </w:rPr>
                    <w:t>.1</w:t>
                  </w:r>
                </w:p>
              </w:tc>
              <w:tc>
                <w:tcPr>
                  <w:tcW w:w="506" w:type="pct"/>
                  <w:vMerge w:val="restart"/>
                  <w:vAlign w:val="center"/>
                </w:tcPr>
                <w:p>
                  <w:pPr>
                    <w:spacing w:line="240" w:lineRule="auto"/>
                    <w:ind w:firstLine="0" w:firstLineChars="0"/>
                    <w:jc w:val="center"/>
                    <w:rPr>
                      <w:sz w:val="21"/>
                      <w:szCs w:val="21"/>
                    </w:rPr>
                  </w:pPr>
                  <w:r>
                    <w:rPr>
                      <w:sz w:val="21"/>
                      <w:szCs w:val="21"/>
                    </w:rPr>
                    <w:t>居民</w:t>
                  </w:r>
                </w:p>
              </w:tc>
              <w:tc>
                <w:tcPr>
                  <w:tcW w:w="1970" w:type="pct"/>
                  <w:vMerge w:val="restart"/>
                  <w:vAlign w:val="center"/>
                </w:tcPr>
                <w:p>
                  <w:pPr>
                    <w:spacing w:line="240" w:lineRule="auto"/>
                    <w:ind w:firstLine="0" w:firstLineChars="0"/>
                    <w:jc w:val="center"/>
                    <w:rPr>
                      <w:sz w:val="21"/>
                      <w:szCs w:val="21"/>
                    </w:rPr>
                  </w:pPr>
                  <w:r>
                    <w:rPr>
                      <w:sz w:val="21"/>
                      <w:szCs w:val="21"/>
                    </w:rPr>
                    <w:t>《环境空气质量标准》</w:t>
                  </w:r>
                  <w:r>
                    <w:rPr>
                      <w:rFonts w:hint="eastAsia"/>
                      <w:bCs/>
                      <w:sz w:val="21"/>
                      <w:szCs w:val="21"/>
                    </w:rPr>
                    <w:t>（GB3095-2012）</w:t>
                  </w:r>
                  <w:r>
                    <w:rPr>
                      <w:sz w:val="21"/>
                      <w:szCs w:val="21"/>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vMerge w:val="continue"/>
                  <w:vAlign w:val="center"/>
                </w:tcPr>
                <w:p>
                  <w:pPr>
                    <w:spacing w:line="240" w:lineRule="auto"/>
                    <w:ind w:firstLine="0" w:firstLineChars="0"/>
                    <w:jc w:val="center"/>
                    <w:rPr>
                      <w:sz w:val="21"/>
                      <w:szCs w:val="21"/>
                    </w:rPr>
                  </w:pPr>
                </w:p>
              </w:tc>
              <w:tc>
                <w:tcPr>
                  <w:tcW w:w="1015" w:type="pct"/>
                  <w:vAlign w:val="center"/>
                </w:tcPr>
                <w:p>
                  <w:pPr>
                    <w:pStyle w:val="142"/>
                    <w:widowControl w:val="0"/>
                    <w:snapToGrid/>
                  </w:pPr>
                  <w:r>
                    <w:rPr>
                      <w:rFonts w:hint="eastAsia"/>
                    </w:rPr>
                    <w:t>西冶村</w:t>
                  </w:r>
                </w:p>
                <w:p>
                  <w:pPr>
                    <w:spacing w:line="240" w:lineRule="auto"/>
                    <w:ind w:firstLine="0" w:firstLineChars="0"/>
                    <w:jc w:val="center"/>
                    <w:rPr>
                      <w:sz w:val="21"/>
                      <w:szCs w:val="21"/>
                    </w:rPr>
                  </w:pPr>
                  <w:r>
                    <w:rPr>
                      <w:sz w:val="21"/>
                      <w:szCs w:val="21"/>
                    </w:rPr>
                    <w:t>E 111.920579</w:t>
                  </w:r>
                </w:p>
                <w:p>
                  <w:pPr>
                    <w:pStyle w:val="142"/>
                    <w:widowControl w:val="0"/>
                    <w:snapToGrid/>
                  </w:pPr>
                  <w:r>
                    <w:t>N 37.674739</w:t>
                  </w:r>
                </w:p>
              </w:tc>
              <w:tc>
                <w:tcPr>
                  <w:tcW w:w="505" w:type="pct"/>
                  <w:vAlign w:val="center"/>
                </w:tcPr>
                <w:p>
                  <w:pPr>
                    <w:spacing w:line="240" w:lineRule="auto"/>
                    <w:ind w:firstLine="0" w:firstLineChars="0"/>
                    <w:jc w:val="center"/>
                    <w:rPr>
                      <w:sz w:val="21"/>
                      <w:szCs w:val="21"/>
                    </w:rPr>
                  </w:pPr>
                  <w:r>
                    <w:rPr>
                      <w:rFonts w:hint="eastAsia"/>
                      <w:sz w:val="21"/>
                      <w:szCs w:val="21"/>
                    </w:rPr>
                    <w:t>N</w:t>
                  </w:r>
                </w:p>
              </w:tc>
              <w:tc>
                <w:tcPr>
                  <w:tcW w:w="506" w:type="pct"/>
                  <w:vAlign w:val="center"/>
                </w:tcPr>
                <w:p>
                  <w:pPr>
                    <w:spacing w:line="240" w:lineRule="auto"/>
                    <w:ind w:firstLine="0" w:firstLineChars="0"/>
                    <w:jc w:val="center"/>
                    <w:rPr>
                      <w:sz w:val="21"/>
                      <w:szCs w:val="21"/>
                    </w:rPr>
                  </w:pPr>
                  <w:r>
                    <w:rPr>
                      <w:rFonts w:hint="eastAsia"/>
                      <w:sz w:val="21"/>
                      <w:szCs w:val="21"/>
                    </w:rPr>
                    <w:t>0</w:t>
                  </w:r>
                  <w:r>
                    <w:rPr>
                      <w:sz w:val="21"/>
                      <w:szCs w:val="21"/>
                    </w:rPr>
                    <w:t>.4</w:t>
                  </w:r>
                </w:p>
              </w:tc>
              <w:tc>
                <w:tcPr>
                  <w:tcW w:w="506" w:type="pct"/>
                  <w:vMerge w:val="continue"/>
                  <w:vAlign w:val="center"/>
                </w:tcPr>
                <w:p>
                  <w:pPr>
                    <w:spacing w:line="240" w:lineRule="auto"/>
                    <w:ind w:firstLine="0" w:firstLineChars="0"/>
                    <w:jc w:val="center"/>
                    <w:rPr>
                      <w:sz w:val="21"/>
                      <w:szCs w:val="21"/>
                    </w:rPr>
                  </w:pPr>
                </w:p>
              </w:tc>
              <w:tc>
                <w:tcPr>
                  <w:tcW w:w="1970"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vMerge w:val="continue"/>
                  <w:vAlign w:val="center"/>
                </w:tcPr>
                <w:p>
                  <w:pPr>
                    <w:spacing w:line="240" w:lineRule="auto"/>
                    <w:ind w:firstLine="0" w:firstLineChars="0"/>
                    <w:jc w:val="center"/>
                    <w:rPr>
                      <w:sz w:val="21"/>
                      <w:szCs w:val="21"/>
                    </w:rPr>
                  </w:pPr>
                </w:p>
              </w:tc>
              <w:tc>
                <w:tcPr>
                  <w:tcW w:w="1015" w:type="pct"/>
                  <w:vAlign w:val="center"/>
                </w:tcPr>
                <w:p>
                  <w:pPr>
                    <w:pStyle w:val="142"/>
                    <w:widowControl w:val="0"/>
                    <w:snapToGrid/>
                  </w:pPr>
                  <w:r>
                    <w:rPr>
                      <w:rFonts w:hint="eastAsia"/>
                    </w:rPr>
                    <w:t>西孟村</w:t>
                  </w:r>
                </w:p>
                <w:p>
                  <w:pPr>
                    <w:spacing w:line="240" w:lineRule="auto"/>
                    <w:ind w:firstLine="0" w:firstLineChars="0"/>
                    <w:jc w:val="center"/>
                    <w:rPr>
                      <w:sz w:val="21"/>
                      <w:szCs w:val="21"/>
                    </w:rPr>
                  </w:pPr>
                  <w:r>
                    <w:rPr>
                      <w:sz w:val="21"/>
                      <w:szCs w:val="21"/>
                    </w:rPr>
                    <w:t>E 111.928669</w:t>
                  </w:r>
                </w:p>
                <w:p>
                  <w:pPr>
                    <w:pStyle w:val="142"/>
                    <w:widowControl w:val="0"/>
                    <w:snapToGrid/>
                  </w:pPr>
                  <w:r>
                    <w:t>N 37.666609</w:t>
                  </w:r>
                </w:p>
              </w:tc>
              <w:tc>
                <w:tcPr>
                  <w:tcW w:w="505" w:type="pct"/>
                  <w:vAlign w:val="center"/>
                </w:tcPr>
                <w:p>
                  <w:pPr>
                    <w:spacing w:line="240" w:lineRule="auto"/>
                    <w:ind w:firstLine="0" w:firstLineChars="0"/>
                    <w:jc w:val="center"/>
                    <w:rPr>
                      <w:sz w:val="21"/>
                      <w:szCs w:val="21"/>
                    </w:rPr>
                  </w:pPr>
                  <w:r>
                    <w:rPr>
                      <w:rFonts w:hint="eastAsia"/>
                      <w:sz w:val="21"/>
                      <w:szCs w:val="21"/>
                    </w:rPr>
                    <w:t>S</w:t>
                  </w:r>
                  <w:r>
                    <w:rPr>
                      <w:sz w:val="21"/>
                      <w:szCs w:val="21"/>
                    </w:rPr>
                    <w:t>E</w:t>
                  </w:r>
                </w:p>
              </w:tc>
              <w:tc>
                <w:tcPr>
                  <w:tcW w:w="506" w:type="pct"/>
                  <w:vAlign w:val="center"/>
                </w:tcPr>
                <w:p>
                  <w:pPr>
                    <w:spacing w:line="240" w:lineRule="auto"/>
                    <w:ind w:firstLine="0" w:firstLineChars="0"/>
                    <w:jc w:val="center"/>
                    <w:rPr>
                      <w:sz w:val="21"/>
                      <w:szCs w:val="21"/>
                    </w:rPr>
                  </w:pPr>
                  <w:r>
                    <w:rPr>
                      <w:rFonts w:hint="eastAsia"/>
                      <w:sz w:val="21"/>
                      <w:szCs w:val="21"/>
                    </w:rPr>
                    <w:t>0</w:t>
                  </w:r>
                  <w:r>
                    <w:rPr>
                      <w:sz w:val="21"/>
                      <w:szCs w:val="21"/>
                    </w:rPr>
                    <w:t>.56</w:t>
                  </w:r>
                </w:p>
              </w:tc>
              <w:tc>
                <w:tcPr>
                  <w:tcW w:w="506" w:type="pct"/>
                  <w:vMerge w:val="continue"/>
                  <w:vAlign w:val="center"/>
                </w:tcPr>
                <w:p>
                  <w:pPr>
                    <w:spacing w:line="240" w:lineRule="auto"/>
                    <w:ind w:firstLine="0" w:firstLineChars="0"/>
                    <w:jc w:val="center"/>
                    <w:rPr>
                      <w:sz w:val="21"/>
                      <w:szCs w:val="21"/>
                    </w:rPr>
                  </w:pPr>
                </w:p>
              </w:tc>
              <w:tc>
                <w:tcPr>
                  <w:tcW w:w="1970"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vMerge w:val="continue"/>
                  <w:vAlign w:val="center"/>
                </w:tcPr>
                <w:p>
                  <w:pPr>
                    <w:spacing w:line="240" w:lineRule="auto"/>
                    <w:ind w:firstLine="0" w:firstLineChars="0"/>
                    <w:jc w:val="center"/>
                    <w:rPr>
                      <w:sz w:val="21"/>
                      <w:szCs w:val="21"/>
                    </w:rPr>
                  </w:pPr>
                </w:p>
              </w:tc>
              <w:tc>
                <w:tcPr>
                  <w:tcW w:w="1015" w:type="pct"/>
                  <w:vAlign w:val="center"/>
                </w:tcPr>
                <w:p>
                  <w:pPr>
                    <w:pStyle w:val="142"/>
                    <w:widowControl w:val="0"/>
                    <w:snapToGrid/>
                  </w:pPr>
                  <w:r>
                    <w:rPr>
                      <w:rFonts w:hint="eastAsia"/>
                    </w:rPr>
                    <w:t>长树村</w:t>
                  </w:r>
                </w:p>
                <w:p>
                  <w:pPr>
                    <w:spacing w:line="240" w:lineRule="auto"/>
                    <w:ind w:firstLine="0" w:firstLineChars="0"/>
                    <w:jc w:val="center"/>
                    <w:rPr>
                      <w:sz w:val="21"/>
                      <w:szCs w:val="21"/>
                    </w:rPr>
                  </w:pPr>
                  <w:r>
                    <w:rPr>
                      <w:sz w:val="21"/>
                      <w:szCs w:val="21"/>
                    </w:rPr>
                    <w:t>E 111.928283</w:t>
                  </w:r>
                </w:p>
                <w:p>
                  <w:pPr>
                    <w:pStyle w:val="142"/>
                    <w:widowControl w:val="0"/>
                    <w:snapToGrid/>
                  </w:pPr>
                  <w:r>
                    <w:t>N 37.665665</w:t>
                  </w:r>
                </w:p>
              </w:tc>
              <w:tc>
                <w:tcPr>
                  <w:tcW w:w="505" w:type="pct"/>
                  <w:vAlign w:val="center"/>
                </w:tcPr>
                <w:p>
                  <w:pPr>
                    <w:spacing w:line="240" w:lineRule="auto"/>
                    <w:ind w:firstLine="0" w:firstLineChars="0"/>
                    <w:jc w:val="center"/>
                    <w:rPr>
                      <w:sz w:val="21"/>
                      <w:szCs w:val="21"/>
                    </w:rPr>
                  </w:pPr>
                  <w:r>
                    <w:rPr>
                      <w:rFonts w:hint="eastAsia"/>
                      <w:sz w:val="21"/>
                      <w:szCs w:val="21"/>
                    </w:rPr>
                    <w:t>S</w:t>
                  </w:r>
                  <w:r>
                    <w:rPr>
                      <w:sz w:val="21"/>
                      <w:szCs w:val="21"/>
                    </w:rPr>
                    <w:t>E</w:t>
                  </w:r>
                </w:p>
              </w:tc>
              <w:tc>
                <w:tcPr>
                  <w:tcW w:w="506" w:type="pct"/>
                  <w:vAlign w:val="center"/>
                </w:tcPr>
                <w:p>
                  <w:pPr>
                    <w:spacing w:line="240" w:lineRule="auto"/>
                    <w:ind w:firstLine="0" w:firstLineChars="0"/>
                    <w:jc w:val="center"/>
                    <w:rPr>
                      <w:sz w:val="21"/>
                      <w:szCs w:val="21"/>
                    </w:rPr>
                  </w:pPr>
                  <w:r>
                    <w:rPr>
                      <w:rFonts w:hint="eastAsia"/>
                      <w:sz w:val="21"/>
                      <w:szCs w:val="21"/>
                    </w:rPr>
                    <w:t>0</w:t>
                  </w:r>
                  <w:r>
                    <w:rPr>
                      <w:sz w:val="21"/>
                      <w:szCs w:val="21"/>
                    </w:rPr>
                    <w:t>.6</w:t>
                  </w:r>
                </w:p>
              </w:tc>
              <w:tc>
                <w:tcPr>
                  <w:tcW w:w="506" w:type="pct"/>
                  <w:vMerge w:val="continue"/>
                  <w:vAlign w:val="center"/>
                </w:tcPr>
                <w:p>
                  <w:pPr>
                    <w:spacing w:line="240" w:lineRule="auto"/>
                    <w:ind w:firstLine="0" w:firstLineChars="0"/>
                    <w:jc w:val="center"/>
                    <w:rPr>
                      <w:sz w:val="21"/>
                      <w:szCs w:val="21"/>
                    </w:rPr>
                  </w:pPr>
                </w:p>
              </w:tc>
              <w:tc>
                <w:tcPr>
                  <w:tcW w:w="1970"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vMerge w:val="continue"/>
                  <w:vAlign w:val="center"/>
                </w:tcPr>
                <w:p>
                  <w:pPr>
                    <w:spacing w:line="240" w:lineRule="auto"/>
                    <w:ind w:firstLine="0" w:firstLineChars="0"/>
                    <w:jc w:val="center"/>
                    <w:rPr>
                      <w:sz w:val="21"/>
                      <w:szCs w:val="21"/>
                    </w:rPr>
                  </w:pPr>
                </w:p>
              </w:tc>
              <w:tc>
                <w:tcPr>
                  <w:tcW w:w="1015" w:type="pct"/>
                  <w:vAlign w:val="center"/>
                </w:tcPr>
                <w:p>
                  <w:pPr>
                    <w:spacing w:line="240" w:lineRule="auto"/>
                    <w:ind w:firstLine="0" w:firstLineChars="0"/>
                    <w:jc w:val="center"/>
                    <w:rPr>
                      <w:sz w:val="21"/>
                      <w:szCs w:val="21"/>
                    </w:rPr>
                  </w:pPr>
                  <w:r>
                    <w:rPr>
                      <w:rFonts w:hint="eastAsia"/>
                      <w:sz w:val="21"/>
                      <w:szCs w:val="21"/>
                    </w:rPr>
                    <w:t>榆郡村</w:t>
                  </w:r>
                </w:p>
                <w:p>
                  <w:pPr>
                    <w:spacing w:line="240" w:lineRule="auto"/>
                    <w:ind w:firstLine="0" w:firstLineChars="0"/>
                    <w:jc w:val="center"/>
                    <w:rPr>
                      <w:sz w:val="21"/>
                      <w:szCs w:val="21"/>
                    </w:rPr>
                  </w:pPr>
                  <w:r>
                    <w:rPr>
                      <w:sz w:val="21"/>
                      <w:szCs w:val="21"/>
                    </w:rPr>
                    <w:t>E 111.920698</w:t>
                  </w:r>
                </w:p>
                <w:p>
                  <w:pPr>
                    <w:spacing w:line="240" w:lineRule="auto"/>
                    <w:ind w:firstLine="0" w:firstLineChars="0"/>
                    <w:jc w:val="center"/>
                    <w:rPr>
                      <w:sz w:val="21"/>
                      <w:szCs w:val="21"/>
                    </w:rPr>
                  </w:pPr>
                  <w:r>
                    <w:rPr>
                      <w:sz w:val="21"/>
                      <w:szCs w:val="21"/>
                    </w:rPr>
                    <w:t>N 37.651670</w:t>
                  </w:r>
                </w:p>
              </w:tc>
              <w:tc>
                <w:tcPr>
                  <w:tcW w:w="505" w:type="pct"/>
                  <w:vAlign w:val="center"/>
                </w:tcPr>
                <w:p>
                  <w:pPr>
                    <w:spacing w:line="240" w:lineRule="auto"/>
                    <w:ind w:firstLine="0" w:firstLineChars="0"/>
                    <w:jc w:val="center"/>
                    <w:rPr>
                      <w:sz w:val="21"/>
                      <w:szCs w:val="21"/>
                    </w:rPr>
                  </w:pPr>
                  <w:r>
                    <w:rPr>
                      <w:rFonts w:hint="eastAsia"/>
                      <w:sz w:val="21"/>
                      <w:szCs w:val="21"/>
                    </w:rPr>
                    <w:t>S</w:t>
                  </w:r>
                </w:p>
              </w:tc>
              <w:tc>
                <w:tcPr>
                  <w:tcW w:w="506" w:type="pct"/>
                  <w:vAlign w:val="center"/>
                </w:tcPr>
                <w:p>
                  <w:pPr>
                    <w:spacing w:line="240" w:lineRule="auto"/>
                    <w:ind w:firstLine="0" w:firstLineChars="0"/>
                    <w:jc w:val="center"/>
                    <w:rPr>
                      <w:sz w:val="21"/>
                      <w:szCs w:val="21"/>
                    </w:rPr>
                  </w:pPr>
                  <w:r>
                    <w:rPr>
                      <w:rFonts w:hint="eastAsia"/>
                      <w:sz w:val="21"/>
                      <w:szCs w:val="21"/>
                    </w:rPr>
                    <w:t>1</w:t>
                  </w:r>
                  <w:r>
                    <w:rPr>
                      <w:sz w:val="21"/>
                      <w:szCs w:val="21"/>
                    </w:rPr>
                    <w:t>.92</w:t>
                  </w:r>
                </w:p>
              </w:tc>
              <w:tc>
                <w:tcPr>
                  <w:tcW w:w="506" w:type="pct"/>
                  <w:vMerge w:val="continue"/>
                  <w:vAlign w:val="center"/>
                </w:tcPr>
                <w:p>
                  <w:pPr>
                    <w:spacing w:line="240" w:lineRule="auto"/>
                    <w:ind w:firstLine="0" w:firstLineChars="0"/>
                    <w:jc w:val="center"/>
                    <w:rPr>
                      <w:sz w:val="21"/>
                      <w:szCs w:val="21"/>
                    </w:rPr>
                  </w:pPr>
                </w:p>
              </w:tc>
              <w:tc>
                <w:tcPr>
                  <w:tcW w:w="1970"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vMerge w:val="continue"/>
                  <w:vAlign w:val="center"/>
                </w:tcPr>
                <w:p>
                  <w:pPr>
                    <w:spacing w:line="240" w:lineRule="auto"/>
                    <w:ind w:firstLine="0" w:firstLineChars="0"/>
                    <w:jc w:val="center"/>
                    <w:rPr>
                      <w:sz w:val="21"/>
                      <w:szCs w:val="21"/>
                    </w:rPr>
                  </w:pPr>
                </w:p>
              </w:tc>
              <w:tc>
                <w:tcPr>
                  <w:tcW w:w="1015" w:type="pct"/>
                  <w:vAlign w:val="center"/>
                </w:tcPr>
                <w:p>
                  <w:pPr>
                    <w:pStyle w:val="142"/>
                    <w:widowControl w:val="0"/>
                    <w:snapToGrid/>
                  </w:pPr>
                  <w:bookmarkStart w:id="10" w:name="_Hlk57277223"/>
                  <w:r>
                    <w:rPr>
                      <w:rFonts w:hint="eastAsia"/>
                    </w:rPr>
                    <w:t>水峪贯村</w:t>
                  </w:r>
                  <w:bookmarkEnd w:id="10"/>
                </w:p>
                <w:p>
                  <w:pPr>
                    <w:spacing w:line="240" w:lineRule="auto"/>
                    <w:ind w:firstLine="0" w:firstLineChars="0"/>
                    <w:jc w:val="center"/>
                    <w:rPr>
                      <w:sz w:val="21"/>
                      <w:szCs w:val="21"/>
                    </w:rPr>
                  </w:pPr>
                  <w:r>
                    <w:rPr>
                      <w:sz w:val="21"/>
                      <w:szCs w:val="21"/>
                    </w:rPr>
                    <w:t>E 111.939135</w:t>
                  </w:r>
                </w:p>
                <w:p>
                  <w:pPr>
                    <w:pStyle w:val="142"/>
                    <w:widowControl w:val="0"/>
                    <w:snapToGrid/>
                  </w:pPr>
                  <w:r>
                    <w:t>N 37.653770</w:t>
                  </w:r>
                </w:p>
              </w:tc>
              <w:tc>
                <w:tcPr>
                  <w:tcW w:w="505" w:type="pct"/>
                  <w:vAlign w:val="center"/>
                </w:tcPr>
                <w:p>
                  <w:pPr>
                    <w:spacing w:line="240" w:lineRule="auto"/>
                    <w:ind w:firstLine="0" w:firstLineChars="0"/>
                    <w:jc w:val="center"/>
                    <w:rPr>
                      <w:sz w:val="21"/>
                      <w:szCs w:val="21"/>
                    </w:rPr>
                  </w:pPr>
                  <w:r>
                    <w:rPr>
                      <w:rFonts w:hint="eastAsia"/>
                      <w:sz w:val="21"/>
                      <w:szCs w:val="21"/>
                    </w:rPr>
                    <w:t>S</w:t>
                  </w:r>
                  <w:r>
                    <w:rPr>
                      <w:sz w:val="21"/>
                      <w:szCs w:val="21"/>
                    </w:rPr>
                    <w:t>E</w:t>
                  </w:r>
                </w:p>
              </w:tc>
              <w:tc>
                <w:tcPr>
                  <w:tcW w:w="506" w:type="pct"/>
                  <w:vAlign w:val="center"/>
                </w:tcPr>
                <w:p>
                  <w:pPr>
                    <w:spacing w:line="240" w:lineRule="auto"/>
                    <w:ind w:firstLine="0" w:firstLineChars="0"/>
                    <w:jc w:val="center"/>
                    <w:rPr>
                      <w:sz w:val="21"/>
                      <w:szCs w:val="21"/>
                    </w:rPr>
                  </w:pPr>
                  <w:r>
                    <w:rPr>
                      <w:rFonts w:hint="eastAsia"/>
                      <w:sz w:val="21"/>
                      <w:szCs w:val="21"/>
                    </w:rPr>
                    <w:t>2</w:t>
                  </w:r>
                  <w:r>
                    <w:rPr>
                      <w:sz w:val="21"/>
                      <w:szCs w:val="21"/>
                    </w:rPr>
                    <w:t>.2</w:t>
                  </w:r>
                </w:p>
              </w:tc>
              <w:tc>
                <w:tcPr>
                  <w:tcW w:w="506" w:type="pct"/>
                  <w:vMerge w:val="continue"/>
                  <w:vAlign w:val="center"/>
                </w:tcPr>
                <w:p>
                  <w:pPr>
                    <w:spacing w:line="240" w:lineRule="auto"/>
                    <w:ind w:firstLine="0" w:firstLineChars="0"/>
                    <w:jc w:val="center"/>
                    <w:rPr>
                      <w:sz w:val="21"/>
                      <w:szCs w:val="21"/>
                    </w:rPr>
                  </w:pPr>
                </w:p>
              </w:tc>
              <w:tc>
                <w:tcPr>
                  <w:tcW w:w="1970"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vMerge w:val="restart"/>
                  <w:vAlign w:val="center"/>
                </w:tcPr>
                <w:p>
                  <w:pPr>
                    <w:spacing w:line="240" w:lineRule="auto"/>
                    <w:ind w:firstLine="0" w:firstLineChars="0"/>
                    <w:jc w:val="center"/>
                    <w:rPr>
                      <w:sz w:val="21"/>
                      <w:szCs w:val="21"/>
                    </w:rPr>
                  </w:pPr>
                  <w:r>
                    <w:rPr>
                      <w:sz w:val="21"/>
                      <w:szCs w:val="21"/>
                    </w:rPr>
                    <w:t>地表水</w:t>
                  </w:r>
                </w:p>
              </w:tc>
              <w:tc>
                <w:tcPr>
                  <w:tcW w:w="1015" w:type="pct"/>
                  <w:vAlign w:val="center"/>
                </w:tcPr>
                <w:p>
                  <w:pPr>
                    <w:pStyle w:val="142"/>
                    <w:widowControl w:val="0"/>
                    <w:snapToGrid/>
                  </w:pPr>
                  <w:r>
                    <w:rPr>
                      <w:rFonts w:hint="eastAsia"/>
                    </w:rPr>
                    <w:t>西冶河</w:t>
                  </w:r>
                </w:p>
              </w:tc>
              <w:tc>
                <w:tcPr>
                  <w:tcW w:w="505" w:type="pct"/>
                  <w:vAlign w:val="center"/>
                </w:tcPr>
                <w:p>
                  <w:pPr>
                    <w:spacing w:line="240" w:lineRule="auto"/>
                    <w:ind w:firstLine="0" w:firstLineChars="0"/>
                    <w:jc w:val="center"/>
                    <w:rPr>
                      <w:sz w:val="21"/>
                      <w:szCs w:val="21"/>
                    </w:rPr>
                  </w:pPr>
                  <w:r>
                    <w:rPr>
                      <w:rFonts w:hint="eastAsia"/>
                      <w:sz w:val="21"/>
                      <w:szCs w:val="21"/>
                    </w:rPr>
                    <w:t>W</w:t>
                  </w:r>
                </w:p>
              </w:tc>
              <w:tc>
                <w:tcPr>
                  <w:tcW w:w="506" w:type="pct"/>
                  <w:vAlign w:val="center"/>
                </w:tcPr>
                <w:p>
                  <w:pPr>
                    <w:spacing w:line="240" w:lineRule="auto"/>
                    <w:ind w:firstLine="0" w:firstLineChars="0"/>
                    <w:jc w:val="center"/>
                    <w:rPr>
                      <w:sz w:val="21"/>
                      <w:szCs w:val="21"/>
                    </w:rPr>
                  </w:pPr>
                  <w:r>
                    <w:rPr>
                      <w:rFonts w:hint="eastAsia"/>
                      <w:sz w:val="21"/>
                      <w:szCs w:val="21"/>
                    </w:rPr>
                    <w:t>0</w:t>
                  </w:r>
                  <w:r>
                    <w:rPr>
                      <w:sz w:val="21"/>
                      <w:szCs w:val="21"/>
                    </w:rPr>
                    <w:t>.01</w:t>
                  </w:r>
                </w:p>
              </w:tc>
              <w:tc>
                <w:tcPr>
                  <w:tcW w:w="506" w:type="pct"/>
                  <w:vMerge w:val="restart"/>
                  <w:vAlign w:val="center"/>
                </w:tcPr>
                <w:p>
                  <w:pPr>
                    <w:spacing w:line="240" w:lineRule="auto"/>
                    <w:ind w:firstLine="0" w:firstLineChars="0"/>
                    <w:jc w:val="center"/>
                    <w:rPr>
                      <w:sz w:val="21"/>
                      <w:szCs w:val="21"/>
                    </w:rPr>
                  </w:pPr>
                  <w:r>
                    <w:rPr>
                      <w:rFonts w:hint="eastAsia"/>
                      <w:sz w:val="21"/>
                      <w:szCs w:val="21"/>
                    </w:rPr>
                    <w:t>地表水</w:t>
                  </w:r>
                </w:p>
              </w:tc>
              <w:tc>
                <w:tcPr>
                  <w:tcW w:w="1970" w:type="pct"/>
                  <w:vMerge w:val="restart"/>
                  <w:vAlign w:val="center"/>
                </w:tcPr>
                <w:p>
                  <w:pPr>
                    <w:pStyle w:val="174"/>
                    <w:spacing w:line="240" w:lineRule="auto"/>
                    <w:ind w:firstLine="0" w:firstLineChars="0"/>
                    <w:rPr>
                      <w:color w:val="auto"/>
                      <w:szCs w:val="21"/>
                    </w:rPr>
                  </w:pPr>
                  <w:r>
                    <w:rPr>
                      <w:b w:val="0"/>
                      <w:color w:val="auto"/>
                      <w:szCs w:val="21"/>
                    </w:rPr>
                    <w:t>《地表水环境质量标准》（GB38382-2002）</w:t>
                  </w:r>
                  <w:r>
                    <w:rPr>
                      <w:rFonts w:hint="eastAsia" w:ascii="宋体" w:hAnsi="宋体" w:cs="宋体"/>
                      <w:b w:val="0"/>
                      <w:color w:val="auto"/>
                      <w:szCs w:val="21"/>
                    </w:rPr>
                    <w:t>Ⅲ</w:t>
                  </w:r>
                  <w:r>
                    <w:rPr>
                      <w:b w:val="0"/>
                      <w:color w:val="auto"/>
                      <w:szCs w:val="21"/>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vMerge w:val="continue"/>
                  <w:vAlign w:val="center"/>
                </w:tcPr>
                <w:p>
                  <w:pPr>
                    <w:spacing w:line="240" w:lineRule="auto"/>
                    <w:ind w:firstLine="0" w:firstLineChars="0"/>
                    <w:jc w:val="center"/>
                    <w:rPr>
                      <w:sz w:val="21"/>
                      <w:szCs w:val="21"/>
                    </w:rPr>
                  </w:pPr>
                </w:p>
              </w:tc>
              <w:tc>
                <w:tcPr>
                  <w:tcW w:w="1015" w:type="pct"/>
                  <w:vAlign w:val="center"/>
                </w:tcPr>
                <w:p>
                  <w:pPr>
                    <w:pStyle w:val="142"/>
                    <w:widowControl w:val="0"/>
                    <w:snapToGrid/>
                  </w:pPr>
                  <w:r>
                    <w:rPr>
                      <w:rFonts w:hint="eastAsia"/>
                    </w:rPr>
                    <w:t>文峪河</w:t>
                  </w:r>
                </w:p>
              </w:tc>
              <w:tc>
                <w:tcPr>
                  <w:tcW w:w="505" w:type="pct"/>
                  <w:vAlign w:val="center"/>
                </w:tcPr>
                <w:p>
                  <w:pPr>
                    <w:spacing w:line="240" w:lineRule="auto"/>
                    <w:ind w:firstLine="0" w:firstLineChars="0"/>
                    <w:jc w:val="center"/>
                    <w:rPr>
                      <w:sz w:val="21"/>
                      <w:szCs w:val="21"/>
                    </w:rPr>
                  </w:pPr>
                  <w:r>
                    <w:rPr>
                      <w:rFonts w:hint="eastAsia"/>
                      <w:sz w:val="21"/>
                      <w:szCs w:val="21"/>
                    </w:rPr>
                    <w:t>SE</w:t>
                  </w:r>
                </w:p>
              </w:tc>
              <w:tc>
                <w:tcPr>
                  <w:tcW w:w="506" w:type="pct"/>
                  <w:vAlign w:val="center"/>
                </w:tcPr>
                <w:p>
                  <w:pPr>
                    <w:spacing w:line="240" w:lineRule="auto"/>
                    <w:ind w:firstLine="0" w:firstLineChars="0"/>
                    <w:jc w:val="center"/>
                    <w:rPr>
                      <w:sz w:val="21"/>
                      <w:szCs w:val="21"/>
                    </w:rPr>
                  </w:pPr>
                  <w:r>
                    <w:rPr>
                      <w:sz w:val="21"/>
                      <w:szCs w:val="21"/>
                    </w:rPr>
                    <w:t>1</w:t>
                  </w:r>
                  <w:r>
                    <w:rPr>
                      <w:rFonts w:hint="eastAsia"/>
                      <w:sz w:val="21"/>
                      <w:szCs w:val="21"/>
                    </w:rPr>
                    <w:t>7</w:t>
                  </w:r>
                </w:p>
              </w:tc>
              <w:tc>
                <w:tcPr>
                  <w:tcW w:w="506" w:type="pct"/>
                  <w:vMerge w:val="continue"/>
                  <w:vAlign w:val="center"/>
                </w:tcPr>
                <w:p>
                  <w:pPr>
                    <w:spacing w:line="240" w:lineRule="auto"/>
                    <w:ind w:firstLine="0" w:firstLineChars="0"/>
                    <w:jc w:val="center"/>
                    <w:rPr>
                      <w:sz w:val="21"/>
                      <w:szCs w:val="21"/>
                    </w:rPr>
                  </w:pPr>
                </w:p>
              </w:tc>
              <w:tc>
                <w:tcPr>
                  <w:tcW w:w="1970" w:type="pct"/>
                  <w:vMerge w:val="continue"/>
                  <w:vAlign w:val="center"/>
                </w:tcPr>
                <w:p>
                  <w:pPr>
                    <w:pStyle w:val="174"/>
                    <w:spacing w:line="240" w:lineRule="auto"/>
                    <w:ind w:firstLine="0" w:firstLineChars="0"/>
                    <w:rPr>
                      <w:b w:val="0"/>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vAlign w:val="center"/>
                </w:tcPr>
                <w:p>
                  <w:pPr>
                    <w:spacing w:line="240" w:lineRule="auto"/>
                    <w:ind w:firstLine="0" w:firstLineChars="0"/>
                    <w:jc w:val="center"/>
                    <w:rPr>
                      <w:sz w:val="21"/>
                      <w:szCs w:val="21"/>
                    </w:rPr>
                  </w:pPr>
                  <w:r>
                    <w:rPr>
                      <w:sz w:val="21"/>
                      <w:szCs w:val="21"/>
                    </w:rPr>
                    <w:t>地下水</w:t>
                  </w:r>
                </w:p>
              </w:tc>
              <w:tc>
                <w:tcPr>
                  <w:tcW w:w="1015" w:type="pct"/>
                  <w:vAlign w:val="center"/>
                </w:tcPr>
                <w:p>
                  <w:pPr>
                    <w:spacing w:line="240" w:lineRule="auto"/>
                    <w:ind w:firstLine="0" w:firstLineChars="0"/>
                    <w:jc w:val="center"/>
                    <w:rPr>
                      <w:sz w:val="21"/>
                      <w:szCs w:val="21"/>
                    </w:rPr>
                  </w:pPr>
                  <w:r>
                    <w:rPr>
                      <w:sz w:val="21"/>
                      <w:szCs w:val="21"/>
                    </w:rPr>
                    <w:t>厂址附近地下水</w:t>
                  </w:r>
                </w:p>
              </w:tc>
              <w:tc>
                <w:tcPr>
                  <w:tcW w:w="505" w:type="pct"/>
                  <w:vAlign w:val="center"/>
                </w:tcPr>
                <w:p>
                  <w:pPr>
                    <w:spacing w:line="240" w:lineRule="auto"/>
                    <w:ind w:firstLine="0" w:firstLineChars="0"/>
                    <w:jc w:val="center"/>
                    <w:rPr>
                      <w:sz w:val="21"/>
                      <w:szCs w:val="21"/>
                    </w:rPr>
                  </w:pPr>
                  <w:r>
                    <w:rPr>
                      <w:rFonts w:hint="eastAsia"/>
                      <w:sz w:val="21"/>
                      <w:szCs w:val="21"/>
                    </w:rPr>
                    <w:t>/</w:t>
                  </w:r>
                </w:p>
              </w:tc>
              <w:tc>
                <w:tcPr>
                  <w:tcW w:w="506" w:type="pct"/>
                  <w:vAlign w:val="center"/>
                </w:tcPr>
                <w:p>
                  <w:pPr>
                    <w:spacing w:line="240" w:lineRule="auto"/>
                    <w:ind w:firstLine="0" w:firstLineChars="0"/>
                    <w:jc w:val="center"/>
                    <w:rPr>
                      <w:sz w:val="21"/>
                      <w:szCs w:val="21"/>
                    </w:rPr>
                  </w:pPr>
                  <w:r>
                    <w:rPr>
                      <w:rFonts w:hint="eastAsia"/>
                      <w:sz w:val="21"/>
                      <w:szCs w:val="21"/>
                    </w:rPr>
                    <w:t>/</w:t>
                  </w:r>
                </w:p>
              </w:tc>
              <w:tc>
                <w:tcPr>
                  <w:tcW w:w="506" w:type="pct"/>
                  <w:vAlign w:val="center"/>
                </w:tcPr>
                <w:p>
                  <w:pPr>
                    <w:spacing w:line="240" w:lineRule="auto"/>
                    <w:ind w:firstLine="0" w:firstLineChars="0"/>
                    <w:jc w:val="center"/>
                    <w:rPr>
                      <w:sz w:val="21"/>
                      <w:szCs w:val="21"/>
                    </w:rPr>
                  </w:pPr>
                  <w:r>
                    <w:rPr>
                      <w:sz w:val="21"/>
                      <w:szCs w:val="21"/>
                    </w:rPr>
                    <w:t>地下水</w:t>
                  </w:r>
                </w:p>
              </w:tc>
              <w:tc>
                <w:tcPr>
                  <w:tcW w:w="1970" w:type="pct"/>
                  <w:vAlign w:val="center"/>
                </w:tcPr>
                <w:p>
                  <w:pPr>
                    <w:pStyle w:val="174"/>
                    <w:framePr w:hSpace="0" w:wrap="auto" w:vAnchor="margin" w:hAnchor="text" w:yAlign="inline"/>
                    <w:spacing w:line="240" w:lineRule="auto"/>
                    <w:ind w:firstLine="0" w:firstLineChars="0"/>
                    <w:rPr>
                      <w:b w:val="0"/>
                      <w:color w:val="auto"/>
                      <w:szCs w:val="21"/>
                    </w:rPr>
                  </w:pPr>
                  <w:r>
                    <w:rPr>
                      <w:b w:val="0"/>
                      <w:color w:val="auto"/>
                      <w:szCs w:val="21"/>
                    </w:rPr>
                    <w:t>《地下水质量标准》</w:t>
                  </w:r>
                  <w:r>
                    <w:rPr>
                      <w:rFonts w:hint="eastAsia"/>
                      <w:b w:val="0"/>
                      <w:color w:val="auto"/>
                      <w:szCs w:val="21"/>
                    </w:rPr>
                    <w:t>（GB/T14848-2017）</w:t>
                  </w:r>
                  <w:r>
                    <w:rPr>
                      <w:rFonts w:hint="eastAsia" w:ascii="宋体" w:hAnsi="宋体" w:cs="宋体"/>
                      <w:b w:val="0"/>
                      <w:color w:val="auto"/>
                      <w:szCs w:val="21"/>
                    </w:rPr>
                    <w:t>Ⅲ</w:t>
                  </w:r>
                  <w:r>
                    <w:rPr>
                      <w:b w:val="0"/>
                      <w:color w:val="auto"/>
                      <w:szCs w:val="21"/>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vAlign w:val="center"/>
                </w:tcPr>
                <w:p>
                  <w:pPr>
                    <w:spacing w:line="240" w:lineRule="auto"/>
                    <w:ind w:firstLine="0" w:firstLineChars="0"/>
                    <w:jc w:val="center"/>
                    <w:rPr>
                      <w:sz w:val="21"/>
                      <w:szCs w:val="21"/>
                    </w:rPr>
                  </w:pPr>
                  <w:r>
                    <w:rPr>
                      <w:sz w:val="21"/>
                      <w:szCs w:val="21"/>
                    </w:rPr>
                    <w:t>噪声</w:t>
                  </w:r>
                </w:p>
              </w:tc>
              <w:tc>
                <w:tcPr>
                  <w:tcW w:w="1015" w:type="pct"/>
                  <w:vAlign w:val="center"/>
                </w:tcPr>
                <w:p>
                  <w:pPr>
                    <w:spacing w:line="240" w:lineRule="auto"/>
                    <w:ind w:firstLine="0" w:firstLineChars="0"/>
                    <w:jc w:val="center"/>
                    <w:rPr>
                      <w:sz w:val="21"/>
                      <w:szCs w:val="21"/>
                    </w:rPr>
                  </w:pPr>
                  <w:r>
                    <w:rPr>
                      <w:sz w:val="21"/>
                      <w:szCs w:val="21"/>
                    </w:rPr>
                    <w:t>厂界</w:t>
                  </w:r>
                </w:p>
              </w:tc>
              <w:tc>
                <w:tcPr>
                  <w:tcW w:w="505" w:type="pct"/>
                  <w:vAlign w:val="center"/>
                </w:tcPr>
                <w:p>
                  <w:pPr>
                    <w:spacing w:line="240" w:lineRule="auto"/>
                    <w:ind w:firstLine="0" w:firstLineChars="0"/>
                    <w:jc w:val="center"/>
                    <w:rPr>
                      <w:sz w:val="21"/>
                      <w:szCs w:val="21"/>
                    </w:rPr>
                  </w:pPr>
                  <w:r>
                    <w:rPr>
                      <w:rFonts w:hint="eastAsia"/>
                      <w:sz w:val="21"/>
                      <w:szCs w:val="21"/>
                    </w:rPr>
                    <w:t>/</w:t>
                  </w:r>
                </w:p>
              </w:tc>
              <w:tc>
                <w:tcPr>
                  <w:tcW w:w="506" w:type="pct"/>
                  <w:vAlign w:val="center"/>
                </w:tcPr>
                <w:p>
                  <w:pPr>
                    <w:spacing w:line="240" w:lineRule="auto"/>
                    <w:ind w:firstLine="0" w:firstLineChars="0"/>
                    <w:jc w:val="center"/>
                    <w:rPr>
                      <w:sz w:val="21"/>
                      <w:szCs w:val="21"/>
                    </w:rPr>
                  </w:pPr>
                  <w:r>
                    <w:rPr>
                      <w:rFonts w:hint="eastAsia"/>
                      <w:sz w:val="21"/>
                      <w:szCs w:val="21"/>
                    </w:rPr>
                    <w:t>/</w:t>
                  </w:r>
                </w:p>
              </w:tc>
              <w:tc>
                <w:tcPr>
                  <w:tcW w:w="506" w:type="pct"/>
                  <w:vAlign w:val="center"/>
                </w:tcPr>
                <w:p>
                  <w:pPr>
                    <w:spacing w:line="240" w:lineRule="auto"/>
                    <w:ind w:firstLine="0" w:firstLineChars="0"/>
                    <w:jc w:val="center"/>
                    <w:rPr>
                      <w:sz w:val="21"/>
                      <w:szCs w:val="21"/>
                    </w:rPr>
                  </w:pPr>
                  <w:r>
                    <w:rPr>
                      <w:rFonts w:hint="eastAsia"/>
                      <w:sz w:val="21"/>
                      <w:szCs w:val="21"/>
                    </w:rPr>
                    <w:t>声环境</w:t>
                  </w:r>
                </w:p>
              </w:tc>
              <w:tc>
                <w:tcPr>
                  <w:tcW w:w="1970" w:type="pct"/>
                  <w:vAlign w:val="center"/>
                </w:tcPr>
                <w:p>
                  <w:pPr>
                    <w:pStyle w:val="174"/>
                    <w:framePr w:hSpace="0" w:wrap="auto" w:vAnchor="margin" w:hAnchor="text" w:yAlign="inline"/>
                    <w:spacing w:line="240" w:lineRule="auto"/>
                    <w:ind w:firstLine="0" w:firstLineChars="0"/>
                    <w:rPr>
                      <w:b w:val="0"/>
                      <w:color w:val="auto"/>
                      <w:szCs w:val="21"/>
                    </w:rPr>
                  </w:pPr>
                  <w:r>
                    <w:rPr>
                      <w:rFonts w:hAnsi="宋体"/>
                      <w:b w:val="0"/>
                      <w:color w:val="auto"/>
                      <w:szCs w:val="21"/>
                    </w:rPr>
                    <w:t>《工业企业厂界环境噪声排放标准》</w:t>
                  </w:r>
                  <w:r>
                    <w:rPr>
                      <w:rFonts w:hint="eastAsia" w:hAnsi="宋体"/>
                      <w:b w:val="0"/>
                      <w:color w:val="auto"/>
                      <w:szCs w:val="21"/>
                    </w:rPr>
                    <w:t>（</w:t>
                  </w:r>
                  <w:r>
                    <w:rPr>
                      <w:rFonts w:hAnsi="宋体"/>
                      <w:b w:val="0"/>
                      <w:color w:val="auto"/>
                      <w:szCs w:val="21"/>
                    </w:rPr>
                    <w:t>GB12</w:t>
                  </w:r>
                  <w:r>
                    <w:rPr>
                      <w:rFonts w:hint="eastAsia" w:hAnsi="宋体"/>
                      <w:b w:val="0"/>
                      <w:color w:val="auto"/>
                      <w:szCs w:val="21"/>
                    </w:rPr>
                    <w:t>348</w:t>
                  </w:r>
                  <w:r>
                    <w:rPr>
                      <w:rFonts w:hAnsi="宋体"/>
                      <w:b w:val="0"/>
                      <w:color w:val="auto"/>
                      <w:szCs w:val="21"/>
                    </w:rPr>
                    <w:t>-20</w:t>
                  </w:r>
                  <w:r>
                    <w:rPr>
                      <w:rFonts w:hint="eastAsia" w:hAnsi="宋体"/>
                      <w:b w:val="0"/>
                      <w:color w:val="auto"/>
                      <w:szCs w:val="21"/>
                    </w:rPr>
                    <w:t>08）</w:t>
                  </w:r>
                  <w:r>
                    <w:rPr>
                      <w:b w:val="0"/>
                      <w:color w:val="auto"/>
                      <w:szCs w:val="21"/>
                    </w:rPr>
                    <w:t>2</w:t>
                  </w:r>
                  <w:r>
                    <w:rPr>
                      <w:rFonts w:hAnsi="宋体"/>
                      <w:b w:val="0"/>
                      <w:color w:val="auto"/>
                      <w:szCs w:val="21"/>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vAlign w:val="center"/>
                </w:tcPr>
                <w:p>
                  <w:pPr>
                    <w:spacing w:line="240" w:lineRule="auto"/>
                    <w:ind w:firstLine="0" w:firstLineChars="0"/>
                    <w:jc w:val="center"/>
                    <w:rPr>
                      <w:sz w:val="21"/>
                      <w:szCs w:val="21"/>
                    </w:rPr>
                  </w:pPr>
                  <w:r>
                    <w:rPr>
                      <w:rFonts w:hint="eastAsia"/>
                      <w:sz w:val="21"/>
                      <w:szCs w:val="21"/>
                    </w:rPr>
                    <w:t>土壤</w:t>
                  </w:r>
                </w:p>
              </w:tc>
              <w:tc>
                <w:tcPr>
                  <w:tcW w:w="1015" w:type="pct"/>
                  <w:vAlign w:val="center"/>
                </w:tcPr>
                <w:p>
                  <w:pPr>
                    <w:spacing w:line="240" w:lineRule="auto"/>
                    <w:ind w:firstLine="0" w:firstLineChars="0"/>
                    <w:jc w:val="center"/>
                    <w:rPr>
                      <w:sz w:val="21"/>
                      <w:szCs w:val="21"/>
                    </w:rPr>
                  </w:pPr>
                  <w:r>
                    <w:rPr>
                      <w:rFonts w:hint="eastAsia"/>
                      <w:sz w:val="21"/>
                      <w:szCs w:val="21"/>
                    </w:rPr>
                    <w:t>场地占地范围内</w:t>
                  </w:r>
                </w:p>
              </w:tc>
              <w:tc>
                <w:tcPr>
                  <w:tcW w:w="505" w:type="pct"/>
                  <w:vAlign w:val="center"/>
                </w:tcPr>
                <w:p>
                  <w:pPr>
                    <w:spacing w:line="240" w:lineRule="auto"/>
                    <w:ind w:firstLine="0" w:firstLineChars="0"/>
                    <w:jc w:val="center"/>
                    <w:rPr>
                      <w:sz w:val="21"/>
                      <w:szCs w:val="21"/>
                    </w:rPr>
                  </w:pPr>
                  <w:r>
                    <w:rPr>
                      <w:rFonts w:hint="eastAsia"/>
                      <w:sz w:val="21"/>
                      <w:szCs w:val="21"/>
                    </w:rPr>
                    <w:t>/</w:t>
                  </w:r>
                </w:p>
              </w:tc>
              <w:tc>
                <w:tcPr>
                  <w:tcW w:w="506" w:type="pct"/>
                  <w:vAlign w:val="center"/>
                </w:tcPr>
                <w:p>
                  <w:pPr>
                    <w:spacing w:line="240" w:lineRule="auto"/>
                    <w:ind w:firstLine="0" w:firstLineChars="0"/>
                    <w:jc w:val="center"/>
                    <w:rPr>
                      <w:sz w:val="21"/>
                      <w:szCs w:val="21"/>
                    </w:rPr>
                  </w:pPr>
                  <w:r>
                    <w:rPr>
                      <w:rFonts w:hint="eastAsia"/>
                      <w:sz w:val="21"/>
                      <w:szCs w:val="21"/>
                    </w:rPr>
                    <w:t>/</w:t>
                  </w:r>
                </w:p>
              </w:tc>
              <w:tc>
                <w:tcPr>
                  <w:tcW w:w="506" w:type="pct"/>
                  <w:vAlign w:val="center"/>
                </w:tcPr>
                <w:p>
                  <w:pPr>
                    <w:spacing w:line="240" w:lineRule="auto"/>
                    <w:ind w:firstLine="0" w:firstLineChars="0"/>
                    <w:jc w:val="center"/>
                    <w:rPr>
                      <w:sz w:val="21"/>
                      <w:szCs w:val="21"/>
                    </w:rPr>
                  </w:pPr>
                  <w:r>
                    <w:rPr>
                      <w:rFonts w:hint="eastAsia"/>
                      <w:sz w:val="21"/>
                      <w:szCs w:val="21"/>
                    </w:rPr>
                    <w:t>土壤</w:t>
                  </w:r>
                </w:p>
                <w:p>
                  <w:pPr>
                    <w:spacing w:line="240" w:lineRule="auto"/>
                    <w:ind w:firstLine="0" w:firstLineChars="0"/>
                    <w:jc w:val="center"/>
                    <w:rPr>
                      <w:sz w:val="21"/>
                      <w:szCs w:val="21"/>
                    </w:rPr>
                  </w:pPr>
                  <w:r>
                    <w:rPr>
                      <w:rFonts w:hint="eastAsia"/>
                      <w:sz w:val="21"/>
                      <w:szCs w:val="21"/>
                    </w:rPr>
                    <w:t>质量</w:t>
                  </w:r>
                </w:p>
              </w:tc>
              <w:tc>
                <w:tcPr>
                  <w:tcW w:w="1970" w:type="pct"/>
                  <w:vAlign w:val="center"/>
                </w:tcPr>
                <w:p>
                  <w:pPr>
                    <w:pStyle w:val="174"/>
                    <w:framePr w:hSpace="0" w:wrap="auto" w:vAnchor="margin" w:hAnchor="text" w:yAlign="inline"/>
                    <w:spacing w:line="240" w:lineRule="auto"/>
                    <w:ind w:firstLine="0" w:firstLineChars="0"/>
                    <w:rPr>
                      <w:b w:val="0"/>
                      <w:color w:val="auto"/>
                      <w:szCs w:val="21"/>
                    </w:rPr>
                  </w:pPr>
                  <w:r>
                    <w:rPr>
                      <w:rFonts w:hint="eastAsia"/>
                      <w:b w:val="0"/>
                      <w:color w:val="auto"/>
                      <w:szCs w:val="21"/>
                    </w:rPr>
                    <w:t>《土壤环境质量 建设用地土壤污染风险管控标准》（试行）（G</w:t>
                  </w:r>
                  <w:r>
                    <w:rPr>
                      <w:b w:val="0"/>
                      <w:color w:val="auto"/>
                      <w:szCs w:val="21"/>
                    </w:rPr>
                    <w:t>B36600-2018</w:t>
                  </w:r>
                  <w:r>
                    <w:rPr>
                      <w:rFonts w:hint="eastAsia"/>
                      <w:b w:val="0"/>
                      <w:color w:val="auto"/>
                      <w:szCs w:val="21"/>
                    </w:rPr>
                    <w:t>）中第二类用地建设用地土壤污染风险筛选值</w:t>
                  </w:r>
                </w:p>
              </w:tc>
            </w:tr>
          </w:tbl>
          <w:p>
            <w:pPr>
              <w:pStyle w:val="169"/>
              <w:spacing w:line="440" w:lineRule="exact"/>
            </w:pPr>
          </w:p>
          <w:p>
            <w:pPr>
              <w:pStyle w:val="187"/>
              <w:spacing w:line="40" w:lineRule="exact"/>
            </w:pPr>
          </w:p>
          <w:p>
            <w:pPr>
              <w:pStyle w:val="187"/>
              <w:spacing w:line="40" w:lineRule="exact"/>
            </w:pPr>
          </w:p>
          <w:p>
            <w:pPr>
              <w:pStyle w:val="187"/>
              <w:spacing w:line="40" w:lineRule="exact"/>
            </w:pPr>
          </w:p>
          <w:p>
            <w:pPr>
              <w:pStyle w:val="187"/>
              <w:spacing w:line="40" w:lineRule="exact"/>
            </w:pPr>
          </w:p>
        </w:tc>
      </w:tr>
    </w:tbl>
    <w:p>
      <w:pPr>
        <w:ind w:firstLine="480"/>
        <w:sectPr>
          <w:pgSz w:w="11907" w:h="16840"/>
          <w:pgMar w:top="1418" w:right="1361" w:bottom="1418" w:left="1474" w:header="851" w:footer="992" w:gutter="0"/>
          <w:cols w:space="720" w:num="1"/>
          <w:docGrid w:linePitch="312" w:charSpace="0"/>
        </w:sectPr>
      </w:pPr>
    </w:p>
    <w:p>
      <w:pPr>
        <w:pStyle w:val="186"/>
      </w:pPr>
      <w:r>
        <w:t>评价适用标准</w:t>
      </w:r>
    </w:p>
    <w:tbl>
      <w:tblPr>
        <w:tblStyle w:val="7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51" w:hRule="atLeast"/>
        </w:trPr>
        <w:tc>
          <w:tcPr>
            <w:tcW w:w="8948" w:type="dxa"/>
            <w:vAlign w:val="center"/>
          </w:tcPr>
          <w:p>
            <w:pPr>
              <w:ind w:firstLine="0" w:firstLineChars="0"/>
              <w:rPr>
                <w:b/>
              </w:rPr>
            </w:pPr>
            <w:r>
              <w:rPr>
                <w:rFonts w:hint="eastAsia"/>
                <w:b/>
              </w:rPr>
              <w:t>一、</w:t>
            </w:r>
            <w:r>
              <w:rPr>
                <w:b/>
              </w:rPr>
              <w:t>环境质量标准</w:t>
            </w:r>
          </w:p>
          <w:p>
            <w:pPr>
              <w:ind w:firstLine="0" w:firstLineChars="0"/>
            </w:pPr>
            <w:r>
              <w:rPr>
                <w:rFonts w:hint="eastAsia"/>
                <w:b/>
              </w:rPr>
              <w:t>1、</w:t>
            </w:r>
            <w:r>
              <w:rPr>
                <w:b/>
              </w:rPr>
              <w:t>大气：</w:t>
            </w:r>
            <w:r>
              <w:rPr>
                <w:rFonts w:hint="eastAsia"/>
              </w:rPr>
              <w:t>环境空气中常规因子执行</w:t>
            </w:r>
            <w:r>
              <w:t>《环境空气质量标准》（GB3095-</w:t>
            </w:r>
            <w:r>
              <w:rPr>
                <w:rFonts w:hint="eastAsia"/>
              </w:rPr>
              <w:t>2012</w:t>
            </w:r>
            <w:r>
              <w:t>）</w:t>
            </w:r>
            <w:r>
              <w:rPr>
                <w:rFonts w:hint="eastAsia"/>
              </w:rPr>
              <w:t>及其修改单</w:t>
            </w:r>
            <w:r>
              <w:t>中二级标准。</w:t>
            </w:r>
          </w:p>
          <w:p>
            <w:pPr>
              <w:ind w:firstLine="0" w:firstLineChars="0"/>
              <w:jc w:val="center"/>
              <w:rPr>
                <w:rFonts w:ascii="黑体" w:hAnsi="黑体" w:eastAsia="黑体"/>
              </w:rPr>
            </w:pPr>
            <w:r>
              <w:rPr>
                <w:rFonts w:hint="eastAsia" w:ascii="黑体" w:hAnsi="黑体" w:eastAsia="黑体"/>
              </w:rPr>
              <w:t>表</w:t>
            </w:r>
            <w:r>
              <w:rPr>
                <w:rFonts w:ascii="黑体" w:hAnsi="黑体" w:eastAsia="黑体"/>
              </w:rPr>
              <w:t xml:space="preserve">23 </w:t>
            </w:r>
            <w:r>
              <w:rPr>
                <w:rFonts w:hint="eastAsia" w:ascii="黑体" w:hAnsi="黑体" w:eastAsia="黑体"/>
              </w:rPr>
              <w:t xml:space="preserve"> </w:t>
            </w:r>
            <w:r>
              <w:rPr>
                <w:rFonts w:ascii="黑体" w:hAnsi="黑体" w:eastAsia="黑体"/>
              </w:rPr>
              <w:t>《环境空气质量标准》二级标准</w:t>
            </w:r>
          </w:p>
          <w:tbl>
            <w:tblPr>
              <w:tblStyle w:val="70"/>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414"/>
              <w:gridCol w:w="1414"/>
              <w:gridCol w:w="1702"/>
              <w:gridCol w:w="1417"/>
              <w:gridCol w:w="277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1" w:type="pct"/>
                  <w:vMerge w:val="restart"/>
                  <w:vAlign w:val="center"/>
                </w:tcPr>
                <w:p>
                  <w:pPr>
                    <w:pStyle w:val="174"/>
                    <w:framePr w:hSpace="0" w:wrap="auto" w:vAnchor="margin" w:hAnchor="text" w:yAlign="inline"/>
                    <w:spacing w:line="240" w:lineRule="auto"/>
                    <w:ind w:firstLine="0" w:firstLineChars="0"/>
                    <w:rPr>
                      <w:b w:val="0"/>
                      <w:color w:val="000000"/>
                    </w:rPr>
                  </w:pPr>
                  <w:r>
                    <w:rPr>
                      <w:b w:val="0"/>
                      <w:color w:val="000000"/>
                    </w:rPr>
                    <w:t>污染因子</w:t>
                  </w:r>
                </w:p>
              </w:tc>
              <w:tc>
                <w:tcPr>
                  <w:tcW w:w="2600" w:type="pct"/>
                  <w:gridSpan w:val="3"/>
                  <w:vAlign w:val="center"/>
                </w:tcPr>
                <w:p>
                  <w:pPr>
                    <w:pStyle w:val="174"/>
                    <w:framePr w:hSpace="0" w:wrap="auto" w:vAnchor="margin" w:hAnchor="text" w:yAlign="inline"/>
                    <w:spacing w:line="240" w:lineRule="auto"/>
                    <w:ind w:firstLine="0" w:firstLineChars="0"/>
                    <w:rPr>
                      <w:b w:val="0"/>
                      <w:color w:val="000000"/>
                    </w:rPr>
                  </w:pPr>
                  <w:r>
                    <w:rPr>
                      <w:b w:val="0"/>
                      <w:color w:val="000000"/>
                    </w:rPr>
                    <w:t>环境质量标准（μg/m</w:t>
                  </w:r>
                  <w:r>
                    <w:rPr>
                      <w:b w:val="0"/>
                      <w:color w:val="000000"/>
                      <w:vertAlign w:val="superscript"/>
                    </w:rPr>
                    <w:t>3</w:t>
                  </w:r>
                  <w:r>
                    <w:rPr>
                      <w:b w:val="0"/>
                      <w:color w:val="000000"/>
                    </w:rPr>
                    <w:t>）</w:t>
                  </w:r>
                </w:p>
              </w:tc>
              <w:tc>
                <w:tcPr>
                  <w:tcW w:w="1589" w:type="pct"/>
                  <w:vMerge w:val="restart"/>
                  <w:vAlign w:val="center"/>
                </w:tcPr>
                <w:p>
                  <w:pPr>
                    <w:pStyle w:val="174"/>
                    <w:framePr w:hSpace="0" w:wrap="auto" w:vAnchor="margin" w:hAnchor="text" w:yAlign="inline"/>
                    <w:spacing w:line="240" w:lineRule="auto"/>
                    <w:ind w:firstLine="0" w:firstLineChars="0"/>
                    <w:rPr>
                      <w:b w:val="0"/>
                      <w:color w:val="000000"/>
                    </w:rPr>
                  </w:pPr>
                  <w:r>
                    <w:rPr>
                      <w:b w:val="0"/>
                      <w:color w:val="000000"/>
                    </w:rPr>
                    <w:t>依据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1" w:type="pct"/>
                  <w:vMerge w:val="continue"/>
                  <w:vAlign w:val="center"/>
                </w:tcPr>
                <w:p>
                  <w:pPr>
                    <w:pStyle w:val="174"/>
                    <w:framePr w:hSpace="0" w:wrap="auto" w:vAnchor="margin" w:hAnchor="text" w:yAlign="inline"/>
                    <w:spacing w:line="240" w:lineRule="auto"/>
                    <w:ind w:firstLine="0" w:firstLineChars="0"/>
                    <w:rPr>
                      <w:b w:val="0"/>
                      <w:color w:val="000000"/>
                    </w:rPr>
                  </w:pPr>
                </w:p>
              </w:tc>
              <w:tc>
                <w:tcPr>
                  <w:tcW w:w="811" w:type="pct"/>
                  <w:vAlign w:val="center"/>
                </w:tcPr>
                <w:p>
                  <w:pPr>
                    <w:pStyle w:val="174"/>
                    <w:framePr w:hSpace="0" w:wrap="auto" w:vAnchor="margin" w:hAnchor="text" w:yAlign="inline"/>
                    <w:spacing w:line="240" w:lineRule="auto"/>
                    <w:ind w:firstLine="0" w:firstLineChars="0"/>
                    <w:rPr>
                      <w:b w:val="0"/>
                      <w:color w:val="000000"/>
                    </w:rPr>
                  </w:pPr>
                  <w:r>
                    <w:rPr>
                      <w:b w:val="0"/>
                      <w:color w:val="000000"/>
                    </w:rPr>
                    <w:t>1小时平均</w:t>
                  </w:r>
                </w:p>
              </w:tc>
              <w:tc>
                <w:tcPr>
                  <w:tcW w:w="976" w:type="pct"/>
                  <w:vAlign w:val="center"/>
                </w:tcPr>
                <w:p>
                  <w:pPr>
                    <w:pStyle w:val="174"/>
                    <w:framePr w:hSpace="0" w:wrap="auto" w:vAnchor="margin" w:hAnchor="text" w:yAlign="inline"/>
                    <w:spacing w:line="240" w:lineRule="auto"/>
                    <w:ind w:firstLine="0" w:firstLineChars="0"/>
                    <w:rPr>
                      <w:b w:val="0"/>
                      <w:color w:val="000000"/>
                    </w:rPr>
                  </w:pPr>
                  <w:r>
                    <w:rPr>
                      <w:b w:val="0"/>
                      <w:color w:val="000000"/>
                    </w:rPr>
                    <w:t>24小时平均</w:t>
                  </w:r>
                </w:p>
              </w:tc>
              <w:tc>
                <w:tcPr>
                  <w:tcW w:w="813" w:type="pct"/>
                  <w:vAlign w:val="center"/>
                </w:tcPr>
                <w:p>
                  <w:pPr>
                    <w:pStyle w:val="174"/>
                    <w:framePr w:hSpace="0" w:wrap="auto" w:vAnchor="margin" w:hAnchor="text" w:yAlign="inline"/>
                    <w:spacing w:line="240" w:lineRule="auto"/>
                    <w:ind w:firstLine="0" w:firstLineChars="0"/>
                    <w:rPr>
                      <w:b w:val="0"/>
                      <w:color w:val="000000"/>
                    </w:rPr>
                  </w:pPr>
                  <w:r>
                    <w:rPr>
                      <w:b w:val="0"/>
                      <w:color w:val="000000"/>
                    </w:rPr>
                    <w:t>年平均</w:t>
                  </w:r>
                </w:p>
              </w:tc>
              <w:tc>
                <w:tcPr>
                  <w:tcW w:w="1589" w:type="pct"/>
                  <w:vMerge w:val="continue"/>
                  <w:vAlign w:val="center"/>
                </w:tcPr>
                <w:p>
                  <w:pPr>
                    <w:pStyle w:val="174"/>
                    <w:framePr w:hSpace="0" w:wrap="auto" w:vAnchor="margin" w:hAnchor="text" w:yAlign="inline"/>
                    <w:spacing w:line="240" w:lineRule="auto"/>
                    <w:ind w:firstLine="0" w:firstLineChars="0"/>
                    <w:rPr>
                      <w:b w:val="0"/>
                      <w:color w:val="00000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1" w:type="pct"/>
                  <w:vAlign w:val="center"/>
                </w:tcPr>
                <w:p>
                  <w:pPr>
                    <w:pStyle w:val="174"/>
                    <w:framePr w:hSpace="0" w:wrap="auto" w:vAnchor="margin" w:hAnchor="text" w:yAlign="inline"/>
                    <w:spacing w:line="240" w:lineRule="auto"/>
                    <w:ind w:firstLine="0" w:firstLineChars="0"/>
                    <w:rPr>
                      <w:b w:val="0"/>
                      <w:color w:val="000000"/>
                    </w:rPr>
                  </w:pPr>
                  <w:r>
                    <w:rPr>
                      <w:b w:val="0"/>
                      <w:color w:val="000000"/>
                    </w:rPr>
                    <w:t>SO</w:t>
                  </w:r>
                  <w:r>
                    <w:rPr>
                      <w:b w:val="0"/>
                      <w:color w:val="000000"/>
                      <w:vertAlign w:val="subscript"/>
                    </w:rPr>
                    <w:t>2</w:t>
                  </w:r>
                </w:p>
              </w:tc>
              <w:tc>
                <w:tcPr>
                  <w:tcW w:w="811" w:type="pct"/>
                  <w:vAlign w:val="center"/>
                </w:tcPr>
                <w:p>
                  <w:pPr>
                    <w:pStyle w:val="174"/>
                    <w:framePr w:hSpace="0" w:wrap="auto" w:vAnchor="margin" w:hAnchor="text" w:yAlign="inline"/>
                    <w:spacing w:line="240" w:lineRule="auto"/>
                    <w:ind w:firstLine="0" w:firstLineChars="0"/>
                    <w:rPr>
                      <w:b w:val="0"/>
                      <w:color w:val="000000"/>
                    </w:rPr>
                  </w:pPr>
                  <w:r>
                    <w:rPr>
                      <w:b w:val="0"/>
                      <w:color w:val="000000"/>
                    </w:rPr>
                    <w:t>500</w:t>
                  </w:r>
                </w:p>
              </w:tc>
              <w:tc>
                <w:tcPr>
                  <w:tcW w:w="976" w:type="pct"/>
                  <w:vAlign w:val="center"/>
                </w:tcPr>
                <w:p>
                  <w:pPr>
                    <w:pStyle w:val="174"/>
                    <w:framePr w:hSpace="0" w:wrap="auto" w:vAnchor="margin" w:hAnchor="text" w:yAlign="inline"/>
                    <w:spacing w:line="240" w:lineRule="auto"/>
                    <w:ind w:firstLine="0" w:firstLineChars="0"/>
                    <w:rPr>
                      <w:b w:val="0"/>
                      <w:color w:val="000000"/>
                    </w:rPr>
                  </w:pPr>
                  <w:r>
                    <w:rPr>
                      <w:b w:val="0"/>
                      <w:color w:val="000000"/>
                    </w:rPr>
                    <w:t>150</w:t>
                  </w:r>
                </w:p>
              </w:tc>
              <w:tc>
                <w:tcPr>
                  <w:tcW w:w="813" w:type="pct"/>
                  <w:vAlign w:val="center"/>
                </w:tcPr>
                <w:p>
                  <w:pPr>
                    <w:pStyle w:val="174"/>
                    <w:framePr w:hSpace="0" w:wrap="auto" w:vAnchor="margin" w:hAnchor="text" w:yAlign="inline"/>
                    <w:spacing w:line="240" w:lineRule="auto"/>
                    <w:ind w:firstLine="0" w:firstLineChars="0"/>
                    <w:rPr>
                      <w:b w:val="0"/>
                      <w:color w:val="000000"/>
                    </w:rPr>
                  </w:pPr>
                  <w:r>
                    <w:rPr>
                      <w:b w:val="0"/>
                      <w:color w:val="000000"/>
                    </w:rPr>
                    <w:t>60</w:t>
                  </w:r>
                </w:p>
              </w:tc>
              <w:tc>
                <w:tcPr>
                  <w:tcW w:w="1589" w:type="pct"/>
                  <w:vMerge w:val="restart"/>
                  <w:vAlign w:val="center"/>
                </w:tcPr>
                <w:p>
                  <w:pPr>
                    <w:pStyle w:val="174"/>
                    <w:framePr w:hSpace="0" w:wrap="auto" w:vAnchor="margin" w:hAnchor="text" w:yAlign="inline"/>
                    <w:spacing w:line="240" w:lineRule="auto"/>
                    <w:ind w:firstLine="0" w:firstLineChars="0"/>
                    <w:rPr>
                      <w:b w:val="0"/>
                      <w:color w:val="000000"/>
                    </w:rPr>
                  </w:pPr>
                  <w:r>
                    <w:rPr>
                      <w:b w:val="0"/>
                      <w:color w:val="000000"/>
                    </w:rPr>
                    <w:t>《环境空气质量标准》</w:t>
                  </w:r>
                </w:p>
                <w:p>
                  <w:pPr>
                    <w:pStyle w:val="174"/>
                    <w:framePr w:hSpace="0" w:wrap="auto" w:vAnchor="margin" w:hAnchor="text" w:yAlign="inline"/>
                    <w:spacing w:line="240" w:lineRule="auto"/>
                    <w:ind w:firstLine="0" w:firstLineChars="0"/>
                    <w:rPr>
                      <w:b w:val="0"/>
                      <w:color w:val="000000"/>
                    </w:rPr>
                  </w:pPr>
                  <w:r>
                    <w:rPr>
                      <w:b w:val="0"/>
                      <w:color w:val="000000"/>
                    </w:rPr>
                    <w:t>（GB3095-2012）二级标准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1" w:type="pct"/>
                  <w:vAlign w:val="center"/>
                </w:tcPr>
                <w:p>
                  <w:pPr>
                    <w:pStyle w:val="174"/>
                    <w:framePr w:hSpace="0" w:wrap="auto" w:vAnchor="margin" w:hAnchor="text" w:yAlign="inline"/>
                    <w:spacing w:line="240" w:lineRule="auto"/>
                    <w:ind w:firstLine="0" w:firstLineChars="0"/>
                    <w:rPr>
                      <w:b w:val="0"/>
                      <w:color w:val="000000"/>
                    </w:rPr>
                  </w:pPr>
                  <w:r>
                    <w:rPr>
                      <w:b w:val="0"/>
                      <w:color w:val="000000"/>
                    </w:rPr>
                    <w:t>NO</w:t>
                  </w:r>
                  <w:r>
                    <w:rPr>
                      <w:b w:val="0"/>
                      <w:color w:val="000000"/>
                      <w:vertAlign w:val="subscript"/>
                    </w:rPr>
                    <w:t>2</w:t>
                  </w:r>
                </w:p>
              </w:tc>
              <w:tc>
                <w:tcPr>
                  <w:tcW w:w="811" w:type="pct"/>
                  <w:vAlign w:val="center"/>
                </w:tcPr>
                <w:p>
                  <w:pPr>
                    <w:pStyle w:val="174"/>
                    <w:framePr w:hSpace="0" w:wrap="auto" w:vAnchor="margin" w:hAnchor="text" w:yAlign="inline"/>
                    <w:spacing w:line="240" w:lineRule="auto"/>
                    <w:ind w:firstLine="0" w:firstLineChars="0"/>
                    <w:rPr>
                      <w:b w:val="0"/>
                      <w:color w:val="000000"/>
                    </w:rPr>
                  </w:pPr>
                  <w:r>
                    <w:rPr>
                      <w:b w:val="0"/>
                      <w:color w:val="000000"/>
                    </w:rPr>
                    <w:t>200</w:t>
                  </w:r>
                </w:p>
              </w:tc>
              <w:tc>
                <w:tcPr>
                  <w:tcW w:w="976" w:type="pct"/>
                  <w:vAlign w:val="center"/>
                </w:tcPr>
                <w:p>
                  <w:pPr>
                    <w:pStyle w:val="174"/>
                    <w:framePr w:hSpace="0" w:wrap="auto" w:vAnchor="margin" w:hAnchor="text" w:yAlign="inline"/>
                    <w:spacing w:line="240" w:lineRule="auto"/>
                    <w:ind w:firstLine="0" w:firstLineChars="0"/>
                    <w:rPr>
                      <w:b w:val="0"/>
                      <w:color w:val="000000"/>
                    </w:rPr>
                  </w:pPr>
                  <w:r>
                    <w:rPr>
                      <w:b w:val="0"/>
                      <w:color w:val="000000"/>
                    </w:rPr>
                    <w:t>80</w:t>
                  </w:r>
                </w:p>
              </w:tc>
              <w:tc>
                <w:tcPr>
                  <w:tcW w:w="813" w:type="pct"/>
                  <w:vAlign w:val="center"/>
                </w:tcPr>
                <w:p>
                  <w:pPr>
                    <w:pStyle w:val="174"/>
                    <w:framePr w:hSpace="0" w:wrap="auto" w:vAnchor="margin" w:hAnchor="text" w:yAlign="inline"/>
                    <w:spacing w:line="240" w:lineRule="auto"/>
                    <w:ind w:firstLine="0" w:firstLineChars="0"/>
                    <w:rPr>
                      <w:b w:val="0"/>
                      <w:color w:val="000000"/>
                    </w:rPr>
                  </w:pPr>
                  <w:r>
                    <w:rPr>
                      <w:b w:val="0"/>
                      <w:color w:val="000000"/>
                    </w:rPr>
                    <w:t>40</w:t>
                  </w:r>
                </w:p>
              </w:tc>
              <w:tc>
                <w:tcPr>
                  <w:tcW w:w="1589" w:type="pct"/>
                  <w:vMerge w:val="continue"/>
                  <w:vAlign w:val="center"/>
                </w:tcPr>
                <w:p>
                  <w:pPr>
                    <w:snapToGrid w:val="0"/>
                    <w:spacing w:line="240" w:lineRule="auto"/>
                    <w:ind w:firstLine="0" w:firstLineChars="0"/>
                    <w:jc w:val="center"/>
                    <w:rPr>
                      <w:color w:val="000000"/>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1" w:type="pct"/>
                  <w:vAlign w:val="center"/>
                </w:tcPr>
                <w:p>
                  <w:pPr>
                    <w:pStyle w:val="174"/>
                    <w:framePr w:hSpace="0" w:wrap="auto" w:vAnchor="margin" w:hAnchor="text" w:yAlign="inline"/>
                    <w:spacing w:line="240" w:lineRule="auto"/>
                    <w:ind w:firstLine="0" w:firstLineChars="0"/>
                    <w:rPr>
                      <w:b w:val="0"/>
                      <w:color w:val="000000"/>
                    </w:rPr>
                  </w:pPr>
                  <w:r>
                    <w:rPr>
                      <w:b w:val="0"/>
                      <w:color w:val="000000"/>
                    </w:rPr>
                    <w:t>PM</w:t>
                  </w:r>
                  <w:r>
                    <w:rPr>
                      <w:b w:val="0"/>
                      <w:color w:val="000000"/>
                      <w:vertAlign w:val="subscript"/>
                    </w:rPr>
                    <w:t>10</w:t>
                  </w:r>
                </w:p>
              </w:tc>
              <w:tc>
                <w:tcPr>
                  <w:tcW w:w="811" w:type="pct"/>
                  <w:vAlign w:val="center"/>
                </w:tcPr>
                <w:p>
                  <w:pPr>
                    <w:pStyle w:val="174"/>
                    <w:framePr w:hSpace="0" w:wrap="auto" w:vAnchor="margin" w:hAnchor="text" w:yAlign="inline"/>
                    <w:spacing w:line="240" w:lineRule="auto"/>
                    <w:ind w:firstLine="0" w:firstLineChars="0"/>
                    <w:rPr>
                      <w:b w:val="0"/>
                      <w:color w:val="000000"/>
                    </w:rPr>
                  </w:pPr>
                  <w:r>
                    <w:rPr>
                      <w:b w:val="0"/>
                      <w:color w:val="000000"/>
                    </w:rPr>
                    <w:t>－</w:t>
                  </w:r>
                </w:p>
              </w:tc>
              <w:tc>
                <w:tcPr>
                  <w:tcW w:w="976" w:type="pct"/>
                  <w:vAlign w:val="center"/>
                </w:tcPr>
                <w:p>
                  <w:pPr>
                    <w:pStyle w:val="174"/>
                    <w:framePr w:hSpace="0" w:wrap="auto" w:vAnchor="margin" w:hAnchor="text" w:yAlign="inline"/>
                    <w:spacing w:line="240" w:lineRule="auto"/>
                    <w:ind w:firstLine="0" w:firstLineChars="0"/>
                    <w:rPr>
                      <w:b w:val="0"/>
                      <w:color w:val="000000"/>
                    </w:rPr>
                  </w:pPr>
                  <w:r>
                    <w:rPr>
                      <w:b w:val="0"/>
                      <w:color w:val="000000"/>
                    </w:rPr>
                    <w:t>150</w:t>
                  </w:r>
                </w:p>
              </w:tc>
              <w:tc>
                <w:tcPr>
                  <w:tcW w:w="813" w:type="pct"/>
                  <w:vAlign w:val="center"/>
                </w:tcPr>
                <w:p>
                  <w:pPr>
                    <w:pStyle w:val="174"/>
                    <w:framePr w:hSpace="0" w:wrap="auto" w:vAnchor="margin" w:hAnchor="text" w:yAlign="inline"/>
                    <w:spacing w:line="240" w:lineRule="auto"/>
                    <w:ind w:firstLine="0" w:firstLineChars="0"/>
                    <w:rPr>
                      <w:b w:val="0"/>
                      <w:color w:val="000000"/>
                    </w:rPr>
                  </w:pPr>
                  <w:r>
                    <w:rPr>
                      <w:b w:val="0"/>
                      <w:color w:val="000000"/>
                    </w:rPr>
                    <w:t>70</w:t>
                  </w:r>
                </w:p>
              </w:tc>
              <w:tc>
                <w:tcPr>
                  <w:tcW w:w="1589" w:type="pct"/>
                  <w:vMerge w:val="continue"/>
                  <w:vAlign w:val="center"/>
                </w:tcPr>
                <w:p>
                  <w:pPr>
                    <w:snapToGrid w:val="0"/>
                    <w:spacing w:line="240" w:lineRule="auto"/>
                    <w:ind w:firstLine="0" w:firstLineChars="0"/>
                    <w:jc w:val="center"/>
                    <w:rPr>
                      <w:color w:val="000000"/>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1" w:type="pct"/>
                  <w:vAlign w:val="center"/>
                </w:tcPr>
                <w:p>
                  <w:pPr>
                    <w:pStyle w:val="174"/>
                    <w:framePr w:hSpace="0" w:wrap="auto" w:vAnchor="margin" w:hAnchor="text" w:yAlign="inline"/>
                    <w:spacing w:line="240" w:lineRule="auto"/>
                    <w:ind w:firstLine="0" w:firstLineChars="0"/>
                    <w:rPr>
                      <w:b w:val="0"/>
                      <w:color w:val="000000"/>
                    </w:rPr>
                  </w:pPr>
                  <w:r>
                    <w:rPr>
                      <w:b w:val="0"/>
                      <w:color w:val="000000"/>
                    </w:rPr>
                    <w:t>PM</w:t>
                  </w:r>
                  <w:r>
                    <w:rPr>
                      <w:b w:val="0"/>
                      <w:color w:val="000000"/>
                      <w:vertAlign w:val="subscript"/>
                    </w:rPr>
                    <w:t>2.5</w:t>
                  </w:r>
                </w:p>
              </w:tc>
              <w:tc>
                <w:tcPr>
                  <w:tcW w:w="811" w:type="pct"/>
                  <w:vAlign w:val="center"/>
                </w:tcPr>
                <w:p>
                  <w:pPr>
                    <w:pStyle w:val="174"/>
                    <w:framePr w:hSpace="0" w:wrap="auto" w:vAnchor="margin" w:hAnchor="text" w:yAlign="inline"/>
                    <w:spacing w:line="240" w:lineRule="auto"/>
                    <w:ind w:firstLine="0" w:firstLineChars="0"/>
                    <w:rPr>
                      <w:b w:val="0"/>
                      <w:color w:val="000000"/>
                    </w:rPr>
                  </w:pPr>
                  <w:r>
                    <w:rPr>
                      <w:b w:val="0"/>
                      <w:color w:val="000000"/>
                    </w:rPr>
                    <w:t>－</w:t>
                  </w:r>
                </w:p>
              </w:tc>
              <w:tc>
                <w:tcPr>
                  <w:tcW w:w="976" w:type="pct"/>
                  <w:vAlign w:val="center"/>
                </w:tcPr>
                <w:p>
                  <w:pPr>
                    <w:pStyle w:val="174"/>
                    <w:framePr w:hSpace="0" w:wrap="auto" w:vAnchor="margin" w:hAnchor="text" w:yAlign="inline"/>
                    <w:spacing w:line="240" w:lineRule="auto"/>
                    <w:ind w:firstLine="0" w:firstLineChars="0"/>
                    <w:rPr>
                      <w:b w:val="0"/>
                      <w:color w:val="000000"/>
                    </w:rPr>
                  </w:pPr>
                  <w:r>
                    <w:rPr>
                      <w:rFonts w:hint="eastAsia"/>
                      <w:b w:val="0"/>
                      <w:color w:val="000000"/>
                    </w:rPr>
                    <w:t>7</w:t>
                  </w:r>
                  <w:r>
                    <w:rPr>
                      <w:b w:val="0"/>
                      <w:color w:val="000000"/>
                    </w:rPr>
                    <w:t>5</w:t>
                  </w:r>
                </w:p>
              </w:tc>
              <w:tc>
                <w:tcPr>
                  <w:tcW w:w="813" w:type="pct"/>
                  <w:vAlign w:val="center"/>
                </w:tcPr>
                <w:p>
                  <w:pPr>
                    <w:pStyle w:val="174"/>
                    <w:framePr w:hSpace="0" w:wrap="auto" w:vAnchor="margin" w:hAnchor="text" w:yAlign="inline"/>
                    <w:spacing w:line="240" w:lineRule="auto"/>
                    <w:ind w:firstLine="0" w:firstLineChars="0"/>
                    <w:rPr>
                      <w:b w:val="0"/>
                      <w:color w:val="000000"/>
                    </w:rPr>
                  </w:pPr>
                  <w:r>
                    <w:rPr>
                      <w:rFonts w:hint="eastAsia"/>
                      <w:b w:val="0"/>
                      <w:color w:val="000000"/>
                    </w:rPr>
                    <w:t>3</w:t>
                  </w:r>
                  <w:r>
                    <w:rPr>
                      <w:b w:val="0"/>
                      <w:color w:val="000000"/>
                    </w:rPr>
                    <w:t>5</w:t>
                  </w:r>
                </w:p>
              </w:tc>
              <w:tc>
                <w:tcPr>
                  <w:tcW w:w="1589" w:type="pct"/>
                  <w:vMerge w:val="continue"/>
                  <w:vAlign w:val="center"/>
                </w:tcPr>
                <w:p>
                  <w:pPr>
                    <w:snapToGrid w:val="0"/>
                    <w:spacing w:line="240" w:lineRule="auto"/>
                    <w:ind w:firstLine="0" w:firstLineChars="0"/>
                    <w:jc w:val="center"/>
                    <w:rPr>
                      <w:color w:val="000000"/>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1" w:type="pct"/>
                  <w:vAlign w:val="center"/>
                </w:tcPr>
                <w:p>
                  <w:pPr>
                    <w:pStyle w:val="174"/>
                    <w:framePr w:hSpace="0" w:wrap="auto" w:vAnchor="margin" w:hAnchor="text" w:yAlign="inline"/>
                    <w:spacing w:line="240" w:lineRule="auto"/>
                    <w:ind w:firstLine="0" w:firstLineChars="0"/>
                    <w:rPr>
                      <w:b w:val="0"/>
                      <w:color w:val="000000"/>
                    </w:rPr>
                  </w:pPr>
                  <w:r>
                    <w:rPr>
                      <w:rFonts w:hint="eastAsia"/>
                      <w:b w:val="0"/>
                      <w:color w:val="000000"/>
                    </w:rPr>
                    <w:t>C</w:t>
                  </w:r>
                  <w:r>
                    <w:rPr>
                      <w:b w:val="0"/>
                      <w:color w:val="000000"/>
                    </w:rPr>
                    <w:t>O</w:t>
                  </w:r>
                </w:p>
              </w:tc>
              <w:tc>
                <w:tcPr>
                  <w:tcW w:w="811" w:type="pct"/>
                  <w:vAlign w:val="center"/>
                </w:tcPr>
                <w:p>
                  <w:pPr>
                    <w:pStyle w:val="174"/>
                    <w:framePr w:hSpace="0" w:wrap="auto" w:vAnchor="margin" w:hAnchor="text" w:yAlign="inline"/>
                    <w:spacing w:line="240" w:lineRule="auto"/>
                    <w:ind w:firstLine="0" w:firstLineChars="0"/>
                    <w:rPr>
                      <w:b w:val="0"/>
                      <w:color w:val="000000"/>
                    </w:rPr>
                  </w:pPr>
                  <w:r>
                    <w:rPr>
                      <w:rFonts w:hint="eastAsia"/>
                      <w:b w:val="0"/>
                      <w:color w:val="000000"/>
                    </w:rPr>
                    <w:t>1</w:t>
                  </w:r>
                  <w:r>
                    <w:rPr>
                      <w:b w:val="0"/>
                      <w:color w:val="000000"/>
                    </w:rPr>
                    <w:t>0mg/m</w:t>
                  </w:r>
                  <w:r>
                    <w:rPr>
                      <w:b w:val="0"/>
                      <w:color w:val="000000"/>
                      <w:vertAlign w:val="superscript"/>
                    </w:rPr>
                    <w:t>3</w:t>
                  </w:r>
                </w:p>
              </w:tc>
              <w:tc>
                <w:tcPr>
                  <w:tcW w:w="976" w:type="pct"/>
                  <w:vAlign w:val="center"/>
                </w:tcPr>
                <w:p>
                  <w:pPr>
                    <w:pStyle w:val="174"/>
                    <w:framePr w:hSpace="0" w:wrap="auto" w:vAnchor="margin" w:hAnchor="text" w:yAlign="inline"/>
                    <w:spacing w:line="240" w:lineRule="auto"/>
                    <w:ind w:firstLine="0" w:firstLineChars="0"/>
                    <w:rPr>
                      <w:b w:val="0"/>
                      <w:color w:val="000000"/>
                    </w:rPr>
                  </w:pPr>
                  <w:r>
                    <w:rPr>
                      <w:rFonts w:hint="eastAsia"/>
                      <w:b w:val="0"/>
                      <w:color w:val="000000"/>
                    </w:rPr>
                    <w:t>4</w:t>
                  </w:r>
                  <w:r>
                    <w:rPr>
                      <w:b w:val="0"/>
                      <w:color w:val="000000"/>
                    </w:rPr>
                    <w:t>mg/m</w:t>
                  </w:r>
                  <w:r>
                    <w:rPr>
                      <w:b w:val="0"/>
                      <w:color w:val="000000"/>
                      <w:vertAlign w:val="superscript"/>
                    </w:rPr>
                    <w:t>3</w:t>
                  </w:r>
                </w:p>
              </w:tc>
              <w:tc>
                <w:tcPr>
                  <w:tcW w:w="813" w:type="pct"/>
                  <w:vAlign w:val="center"/>
                </w:tcPr>
                <w:p>
                  <w:pPr>
                    <w:pStyle w:val="174"/>
                    <w:framePr w:hSpace="0" w:wrap="auto" w:vAnchor="margin" w:hAnchor="text" w:yAlign="inline"/>
                    <w:spacing w:line="240" w:lineRule="auto"/>
                    <w:ind w:firstLine="0" w:firstLineChars="0"/>
                    <w:rPr>
                      <w:b w:val="0"/>
                      <w:color w:val="000000"/>
                    </w:rPr>
                  </w:pPr>
                  <w:r>
                    <w:rPr>
                      <w:b w:val="0"/>
                      <w:color w:val="000000"/>
                    </w:rPr>
                    <w:t>－</w:t>
                  </w:r>
                </w:p>
              </w:tc>
              <w:tc>
                <w:tcPr>
                  <w:tcW w:w="1589" w:type="pct"/>
                  <w:vMerge w:val="continue"/>
                  <w:vAlign w:val="center"/>
                </w:tcPr>
                <w:p>
                  <w:pPr>
                    <w:snapToGrid w:val="0"/>
                    <w:spacing w:line="240" w:lineRule="auto"/>
                    <w:ind w:firstLine="0" w:firstLineChars="0"/>
                    <w:jc w:val="center"/>
                    <w:rPr>
                      <w:color w:val="000000"/>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1" w:type="pct"/>
                  <w:vAlign w:val="center"/>
                </w:tcPr>
                <w:p>
                  <w:pPr>
                    <w:pStyle w:val="174"/>
                    <w:framePr w:hSpace="0" w:wrap="auto" w:vAnchor="margin" w:hAnchor="text" w:yAlign="inline"/>
                    <w:spacing w:line="240" w:lineRule="auto"/>
                    <w:ind w:firstLine="0" w:firstLineChars="0"/>
                    <w:rPr>
                      <w:b w:val="0"/>
                      <w:color w:val="000000"/>
                    </w:rPr>
                  </w:pPr>
                  <w:r>
                    <w:rPr>
                      <w:rFonts w:hint="eastAsia"/>
                      <w:b w:val="0"/>
                      <w:color w:val="000000"/>
                    </w:rPr>
                    <w:t>O</w:t>
                  </w:r>
                  <w:r>
                    <w:rPr>
                      <w:b w:val="0"/>
                      <w:color w:val="000000"/>
                      <w:vertAlign w:val="subscript"/>
                    </w:rPr>
                    <w:t>3</w:t>
                  </w:r>
                </w:p>
              </w:tc>
              <w:tc>
                <w:tcPr>
                  <w:tcW w:w="811" w:type="pct"/>
                  <w:vAlign w:val="center"/>
                </w:tcPr>
                <w:p>
                  <w:pPr>
                    <w:pStyle w:val="174"/>
                    <w:framePr w:hSpace="0" w:wrap="auto" w:vAnchor="margin" w:hAnchor="text" w:yAlign="inline"/>
                    <w:spacing w:line="240" w:lineRule="auto"/>
                    <w:ind w:firstLine="0" w:firstLineChars="0"/>
                    <w:rPr>
                      <w:b w:val="0"/>
                      <w:color w:val="000000"/>
                    </w:rPr>
                  </w:pPr>
                  <w:r>
                    <w:rPr>
                      <w:rFonts w:hint="eastAsia"/>
                      <w:b w:val="0"/>
                      <w:color w:val="000000"/>
                    </w:rPr>
                    <w:t>2</w:t>
                  </w:r>
                  <w:r>
                    <w:rPr>
                      <w:b w:val="0"/>
                      <w:color w:val="000000"/>
                    </w:rPr>
                    <w:t>00</w:t>
                  </w:r>
                </w:p>
              </w:tc>
              <w:tc>
                <w:tcPr>
                  <w:tcW w:w="976" w:type="pct"/>
                  <w:vAlign w:val="center"/>
                </w:tcPr>
                <w:p>
                  <w:pPr>
                    <w:pStyle w:val="174"/>
                    <w:framePr w:hSpace="0" w:wrap="auto" w:vAnchor="margin" w:hAnchor="text" w:yAlign="inline"/>
                    <w:spacing w:line="240" w:lineRule="auto"/>
                    <w:ind w:firstLine="0" w:firstLineChars="0"/>
                    <w:rPr>
                      <w:b w:val="0"/>
                      <w:color w:val="000000"/>
                    </w:rPr>
                  </w:pPr>
                  <w:r>
                    <w:rPr>
                      <w:rFonts w:hint="eastAsia"/>
                      <w:b w:val="0"/>
                      <w:color w:val="000000"/>
                    </w:rPr>
                    <w:t>1</w:t>
                  </w:r>
                  <w:r>
                    <w:rPr>
                      <w:b w:val="0"/>
                      <w:color w:val="000000"/>
                    </w:rPr>
                    <w:t>6</w:t>
                  </w:r>
                </w:p>
                <w:p>
                  <w:pPr>
                    <w:pStyle w:val="174"/>
                    <w:framePr w:hSpace="0" w:wrap="auto" w:vAnchor="margin" w:hAnchor="text" w:yAlign="inline"/>
                    <w:spacing w:line="240" w:lineRule="auto"/>
                    <w:ind w:firstLine="0" w:firstLineChars="0"/>
                    <w:rPr>
                      <w:b w:val="0"/>
                      <w:color w:val="000000"/>
                    </w:rPr>
                  </w:pPr>
                  <w:r>
                    <w:rPr>
                      <w:rFonts w:hint="eastAsia"/>
                      <w:b w:val="0"/>
                      <w:color w:val="000000"/>
                    </w:rPr>
                    <w:t>(日最大8</w:t>
                  </w:r>
                  <w:r>
                    <w:rPr>
                      <w:b w:val="0"/>
                      <w:color w:val="000000"/>
                    </w:rPr>
                    <w:t>h</w:t>
                  </w:r>
                  <w:r>
                    <w:rPr>
                      <w:rFonts w:hint="eastAsia"/>
                      <w:b w:val="0"/>
                      <w:color w:val="000000"/>
                    </w:rPr>
                    <w:t>平均)</w:t>
                  </w:r>
                </w:p>
              </w:tc>
              <w:tc>
                <w:tcPr>
                  <w:tcW w:w="813" w:type="pct"/>
                  <w:vAlign w:val="center"/>
                </w:tcPr>
                <w:p>
                  <w:pPr>
                    <w:pStyle w:val="174"/>
                    <w:framePr w:hSpace="0" w:wrap="auto" w:vAnchor="margin" w:hAnchor="text" w:yAlign="inline"/>
                    <w:spacing w:line="240" w:lineRule="auto"/>
                    <w:ind w:firstLine="0" w:firstLineChars="0"/>
                    <w:rPr>
                      <w:b w:val="0"/>
                      <w:color w:val="000000"/>
                    </w:rPr>
                  </w:pPr>
                  <w:r>
                    <w:rPr>
                      <w:b w:val="0"/>
                      <w:color w:val="000000"/>
                    </w:rPr>
                    <w:t>－</w:t>
                  </w:r>
                </w:p>
              </w:tc>
              <w:tc>
                <w:tcPr>
                  <w:tcW w:w="1589" w:type="pct"/>
                  <w:vMerge w:val="continue"/>
                  <w:vAlign w:val="center"/>
                </w:tcPr>
                <w:p>
                  <w:pPr>
                    <w:snapToGrid w:val="0"/>
                    <w:spacing w:line="240" w:lineRule="auto"/>
                    <w:ind w:firstLine="0" w:firstLineChars="0"/>
                    <w:jc w:val="center"/>
                    <w:rPr>
                      <w:color w:val="000000"/>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1" w:type="pct"/>
                  <w:vAlign w:val="center"/>
                </w:tcPr>
                <w:p>
                  <w:pPr>
                    <w:pStyle w:val="174"/>
                    <w:framePr w:hSpace="0" w:wrap="auto" w:vAnchor="margin" w:hAnchor="text" w:yAlign="inline"/>
                    <w:spacing w:line="240" w:lineRule="auto"/>
                    <w:ind w:firstLine="0" w:firstLineChars="0"/>
                    <w:rPr>
                      <w:b w:val="0"/>
                      <w:color w:val="000000"/>
                    </w:rPr>
                  </w:pPr>
                  <w:r>
                    <w:rPr>
                      <w:b w:val="0"/>
                      <w:color w:val="000000"/>
                    </w:rPr>
                    <w:t>TSP</w:t>
                  </w:r>
                </w:p>
              </w:tc>
              <w:tc>
                <w:tcPr>
                  <w:tcW w:w="811" w:type="pct"/>
                  <w:vAlign w:val="center"/>
                </w:tcPr>
                <w:p>
                  <w:pPr>
                    <w:pStyle w:val="174"/>
                    <w:framePr w:hSpace="0" w:wrap="auto" w:vAnchor="margin" w:hAnchor="text" w:yAlign="inline"/>
                    <w:spacing w:line="240" w:lineRule="auto"/>
                    <w:ind w:firstLine="0" w:firstLineChars="0"/>
                    <w:rPr>
                      <w:b w:val="0"/>
                      <w:color w:val="000000"/>
                    </w:rPr>
                  </w:pPr>
                  <w:r>
                    <w:rPr>
                      <w:b w:val="0"/>
                      <w:color w:val="000000"/>
                    </w:rPr>
                    <w:t>－</w:t>
                  </w:r>
                </w:p>
              </w:tc>
              <w:tc>
                <w:tcPr>
                  <w:tcW w:w="976" w:type="pct"/>
                  <w:vAlign w:val="center"/>
                </w:tcPr>
                <w:p>
                  <w:pPr>
                    <w:pStyle w:val="174"/>
                    <w:framePr w:hSpace="0" w:wrap="auto" w:vAnchor="margin" w:hAnchor="text" w:yAlign="inline"/>
                    <w:spacing w:line="240" w:lineRule="auto"/>
                    <w:ind w:firstLine="0" w:firstLineChars="0"/>
                    <w:rPr>
                      <w:b w:val="0"/>
                      <w:color w:val="000000"/>
                    </w:rPr>
                  </w:pPr>
                  <w:r>
                    <w:rPr>
                      <w:b w:val="0"/>
                      <w:color w:val="000000"/>
                    </w:rPr>
                    <w:t>300</w:t>
                  </w:r>
                </w:p>
              </w:tc>
              <w:tc>
                <w:tcPr>
                  <w:tcW w:w="813" w:type="pct"/>
                  <w:vAlign w:val="center"/>
                </w:tcPr>
                <w:p>
                  <w:pPr>
                    <w:pStyle w:val="174"/>
                    <w:framePr w:hSpace="0" w:wrap="auto" w:vAnchor="margin" w:hAnchor="text" w:yAlign="inline"/>
                    <w:spacing w:line="240" w:lineRule="auto"/>
                    <w:ind w:firstLine="0" w:firstLineChars="0"/>
                    <w:rPr>
                      <w:b w:val="0"/>
                      <w:color w:val="000000"/>
                    </w:rPr>
                  </w:pPr>
                  <w:r>
                    <w:rPr>
                      <w:b w:val="0"/>
                      <w:color w:val="000000"/>
                    </w:rPr>
                    <w:t>200</w:t>
                  </w:r>
                </w:p>
              </w:tc>
              <w:tc>
                <w:tcPr>
                  <w:tcW w:w="1589" w:type="pct"/>
                  <w:vMerge w:val="continue"/>
                  <w:vAlign w:val="center"/>
                </w:tcPr>
                <w:p>
                  <w:pPr>
                    <w:snapToGrid w:val="0"/>
                    <w:spacing w:line="240" w:lineRule="auto"/>
                    <w:ind w:firstLine="0" w:firstLineChars="0"/>
                    <w:jc w:val="center"/>
                    <w:rPr>
                      <w:color w:val="000000"/>
                      <w:szCs w:val="21"/>
                    </w:rPr>
                  </w:pPr>
                </w:p>
              </w:tc>
            </w:tr>
          </w:tbl>
          <w:p>
            <w:pPr>
              <w:ind w:firstLine="0" w:firstLineChars="0"/>
            </w:pPr>
            <w:r>
              <w:rPr>
                <w:b/>
              </w:rPr>
              <w:t>2、地表水：</w:t>
            </w:r>
            <w:r>
              <w:t>根据《山西省地表水水环境功能区划》（DB14/67-2019），</w:t>
            </w:r>
            <w:r>
              <w:rPr>
                <w:rFonts w:hint="eastAsia"/>
              </w:rPr>
              <w:t>文峪</w:t>
            </w:r>
            <w:r>
              <w:t>河（</w:t>
            </w:r>
            <w:r>
              <w:rPr>
                <w:rFonts w:hint="eastAsia"/>
              </w:rPr>
              <w:t>长立</w:t>
            </w:r>
            <w:r>
              <w:t>—</w:t>
            </w:r>
            <w:r>
              <w:rPr>
                <w:rFonts w:hint="eastAsia"/>
              </w:rPr>
              <w:t>文峪</w:t>
            </w:r>
            <w:r>
              <w:t>河</w:t>
            </w:r>
            <w:r>
              <w:rPr>
                <w:rFonts w:hint="eastAsia"/>
              </w:rPr>
              <w:t>水库入口</w:t>
            </w:r>
            <w:r>
              <w:t>段）水环境功能为</w:t>
            </w:r>
            <w:r>
              <w:rPr>
                <w:rFonts w:hint="eastAsia"/>
              </w:rPr>
              <w:t>保留区水源</w:t>
            </w:r>
            <w:r>
              <w:t>保护，执行《地表水环境质量标准》（GB3838-2002）中</w:t>
            </w:r>
            <w:r>
              <w:rPr>
                <w:rFonts w:hint="eastAsia"/>
                <w:szCs w:val="24"/>
              </w:rPr>
              <w:t>III</w:t>
            </w:r>
            <w:r>
              <w:t>类水质要求。</w:t>
            </w:r>
          </w:p>
          <w:p>
            <w:pPr>
              <w:ind w:firstLine="0" w:firstLineChars="0"/>
              <w:jc w:val="center"/>
              <w:rPr>
                <w:rFonts w:ascii="黑体" w:hAnsi="黑体" w:eastAsia="黑体"/>
              </w:rPr>
            </w:pPr>
            <w:r>
              <w:rPr>
                <w:rFonts w:ascii="黑体" w:hAnsi="黑体" w:eastAsia="黑体"/>
              </w:rPr>
              <w:t>表24</w:t>
            </w:r>
            <w:r>
              <w:rPr>
                <w:rFonts w:hint="eastAsia" w:ascii="黑体" w:hAnsi="黑体" w:eastAsia="黑体"/>
              </w:rPr>
              <w:t xml:space="preserve"> 《</w:t>
            </w:r>
            <w:r>
              <w:rPr>
                <w:rFonts w:ascii="黑体" w:hAnsi="黑体" w:eastAsia="黑体"/>
              </w:rPr>
              <w:t>地表水环境质量标准</w:t>
            </w:r>
            <w:r>
              <w:rPr>
                <w:rFonts w:hint="eastAsia" w:ascii="黑体" w:hAnsi="黑体" w:eastAsia="黑体"/>
              </w:rPr>
              <w:t>》中</w:t>
            </w:r>
            <w:r>
              <w:t>III</w:t>
            </w:r>
            <w:r>
              <w:rPr>
                <w:rFonts w:ascii="黑体" w:hAnsi="黑体" w:eastAsia="黑体"/>
              </w:rPr>
              <w:t>类标准  单位：mg/L</w:t>
            </w:r>
          </w:p>
          <w:tbl>
            <w:tblPr>
              <w:tblStyle w:val="70"/>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0" w:type="dxa"/>
                <w:bottom w:w="0" w:type="dxa"/>
                <w:right w:w="0" w:type="dxa"/>
              </w:tblCellMar>
            </w:tblPr>
            <w:tblGrid>
              <w:gridCol w:w="875"/>
              <w:gridCol w:w="842"/>
              <w:gridCol w:w="1216"/>
              <w:gridCol w:w="1373"/>
              <w:gridCol w:w="1185"/>
              <w:gridCol w:w="817"/>
              <w:gridCol w:w="784"/>
              <w:gridCol w:w="162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502" w:type="pct"/>
                  <w:tcMar>
                    <w:left w:w="0" w:type="dxa"/>
                    <w:right w:w="0" w:type="dxa"/>
                  </w:tcMar>
                  <w:vAlign w:val="center"/>
                </w:tcPr>
                <w:p>
                  <w:pPr>
                    <w:widowControl/>
                    <w:spacing w:line="240" w:lineRule="auto"/>
                    <w:ind w:firstLine="0" w:firstLineChars="0"/>
                    <w:jc w:val="center"/>
                    <w:rPr>
                      <w:kern w:val="0"/>
                      <w:sz w:val="21"/>
                      <w:szCs w:val="21"/>
                    </w:rPr>
                  </w:pPr>
                  <w:r>
                    <w:rPr>
                      <w:kern w:val="0"/>
                      <w:sz w:val="21"/>
                      <w:szCs w:val="21"/>
                    </w:rPr>
                    <w:t>污染物</w:t>
                  </w:r>
                </w:p>
              </w:tc>
              <w:tc>
                <w:tcPr>
                  <w:tcW w:w="483" w:type="pct"/>
                  <w:vAlign w:val="center"/>
                </w:tcPr>
                <w:p>
                  <w:pPr>
                    <w:widowControl/>
                    <w:spacing w:line="240" w:lineRule="auto"/>
                    <w:ind w:firstLine="0" w:firstLineChars="0"/>
                    <w:jc w:val="center"/>
                    <w:rPr>
                      <w:kern w:val="0"/>
                      <w:sz w:val="21"/>
                      <w:szCs w:val="21"/>
                    </w:rPr>
                  </w:pPr>
                  <w:r>
                    <w:rPr>
                      <w:kern w:val="0"/>
                      <w:sz w:val="21"/>
                      <w:szCs w:val="21"/>
                    </w:rPr>
                    <w:t>pH值</w:t>
                  </w:r>
                </w:p>
              </w:tc>
              <w:tc>
                <w:tcPr>
                  <w:tcW w:w="698" w:type="pct"/>
                  <w:vAlign w:val="center"/>
                </w:tcPr>
                <w:p>
                  <w:pPr>
                    <w:widowControl/>
                    <w:spacing w:line="240" w:lineRule="auto"/>
                    <w:ind w:firstLine="0" w:firstLineChars="0"/>
                    <w:jc w:val="center"/>
                    <w:rPr>
                      <w:kern w:val="0"/>
                      <w:sz w:val="21"/>
                      <w:szCs w:val="21"/>
                    </w:rPr>
                  </w:pPr>
                  <w:r>
                    <w:rPr>
                      <w:kern w:val="0"/>
                      <w:sz w:val="21"/>
                      <w:szCs w:val="21"/>
                    </w:rPr>
                    <w:t>溶解氧</w:t>
                  </w:r>
                </w:p>
              </w:tc>
              <w:tc>
                <w:tcPr>
                  <w:tcW w:w="788" w:type="pct"/>
                  <w:vAlign w:val="center"/>
                </w:tcPr>
                <w:p>
                  <w:pPr>
                    <w:widowControl/>
                    <w:spacing w:line="240" w:lineRule="auto"/>
                    <w:ind w:firstLine="0" w:firstLineChars="0"/>
                    <w:jc w:val="center"/>
                    <w:rPr>
                      <w:kern w:val="0"/>
                      <w:sz w:val="21"/>
                      <w:szCs w:val="21"/>
                    </w:rPr>
                  </w:pPr>
                  <w:r>
                    <w:rPr>
                      <w:kern w:val="0"/>
                      <w:sz w:val="21"/>
                      <w:szCs w:val="21"/>
                    </w:rPr>
                    <w:t>高锰酸盐指数</w:t>
                  </w:r>
                </w:p>
              </w:tc>
              <w:tc>
                <w:tcPr>
                  <w:tcW w:w="680" w:type="pct"/>
                  <w:vAlign w:val="center"/>
                </w:tcPr>
                <w:p>
                  <w:pPr>
                    <w:widowControl/>
                    <w:spacing w:line="240" w:lineRule="auto"/>
                    <w:ind w:firstLine="0" w:firstLineChars="0"/>
                    <w:jc w:val="center"/>
                    <w:rPr>
                      <w:kern w:val="0"/>
                      <w:sz w:val="21"/>
                      <w:szCs w:val="21"/>
                    </w:rPr>
                  </w:pPr>
                  <w:r>
                    <w:rPr>
                      <w:kern w:val="0"/>
                      <w:sz w:val="21"/>
                      <w:szCs w:val="21"/>
                    </w:rPr>
                    <w:t>生化需氧量</w:t>
                  </w:r>
                </w:p>
              </w:tc>
              <w:tc>
                <w:tcPr>
                  <w:tcW w:w="469" w:type="pct"/>
                  <w:vAlign w:val="center"/>
                </w:tcPr>
                <w:p>
                  <w:pPr>
                    <w:widowControl/>
                    <w:spacing w:line="240" w:lineRule="auto"/>
                    <w:ind w:firstLine="0" w:firstLineChars="0"/>
                    <w:jc w:val="center"/>
                    <w:rPr>
                      <w:kern w:val="0"/>
                      <w:sz w:val="21"/>
                      <w:szCs w:val="21"/>
                    </w:rPr>
                  </w:pPr>
                  <w:r>
                    <w:rPr>
                      <w:kern w:val="0"/>
                      <w:sz w:val="21"/>
                      <w:szCs w:val="21"/>
                    </w:rPr>
                    <w:t>氨氮</w:t>
                  </w:r>
                </w:p>
              </w:tc>
              <w:tc>
                <w:tcPr>
                  <w:tcW w:w="450" w:type="pct"/>
                  <w:vAlign w:val="center"/>
                </w:tcPr>
                <w:p>
                  <w:pPr>
                    <w:widowControl/>
                    <w:spacing w:line="240" w:lineRule="auto"/>
                    <w:ind w:firstLine="0" w:firstLineChars="0"/>
                    <w:jc w:val="center"/>
                    <w:rPr>
                      <w:kern w:val="0"/>
                      <w:sz w:val="21"/>
                      <w:szCs w:val="21"/>
                    </w:rPr>
                  </w:pPr>
                  <w:r>
                    <w:rPr>
                      <w:kern w:val="0"/>
                      <w:sz w:val="21"/>
                      <w:szCs w:val="21"/>
                    </w:rPr>
                    <w:t>石油类</w:t>
                  </w:r>
                </w:p>
              </w:tc>
              <w:tc>
                <w:tcPr>
                  <w:tcW w:w="930" w:type="pct"/>
                  <w:vAlign w:val="center"/>
                </w:tcPr>
                <w:p>
                  <w:pPr>
                    <w:widowControl/>
                    <w:spacing w:line="240" w:lineRule="auto"/>
                    <w:ind w:firstLine="0" w:firstLineChars="0"/>
                    <w:jc w:val="center"/>
                    <w:rPr>
                      <w:kern w:val="0"/>
                      <w:sz w:val="21"/>
                      <w:szCs w:val="21"/>
                    </w:rPr>
                  </w:pPr>
                  <w:r>
                    <w:rPr>
                      <w:kern w:val="0"/>
                      <w:sz w:val="21"/>
                      <w:szCs w:val="21"/>
                    </w:rPr>
                    <w:t>挥发酚</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502" w:type="pct"/>
                  <w:tcMar>
                    <w:left w:w="0" w:type="dxa"/>
                    <w:right w:w="0" w:type="dxa"/>
                  </w:tcMar>
                  <w:vAlign w:val="center"/>
                </w:tcPr>
                <w:p>
                  <w:pPr>
                    <w:widowControl/>
                    <w:spacing w:line="240" w:lineRule="auto"/>
                    <w:ind w:firstLine="0" w:firstLineChars="0"/>
                    <w:jc w:val="center"/>
                    <w:rPr>
                      <w:kern w:val="0"/>
                      <w:sz w:val="21"/>
                      <w:szCs w:val="21"/>
                    </w:rPr>
                  </w:pPr>
                  <w:r>
                    <w:rPr>
                      <w:kern w:val="0"/>
                      <w:sz w:val="21"/>
                      <w:szCs w:val="21"/>
                    </w:rPr>
                    <w:t>标准值</w:t>
                  </w:r>
                </w:p>
              </w:tc>
              <w:tc>
                <w:tcPr>
                  <w:tcW w:w="483" w:type="pct"/>
                  <w:vAlign w:val="center"/>
                </w:tcPr>
                <w:p>
                  <w:pPr>
                    <w:widowControl/>
                    <w:spacing w:line="240" w:lineRule="auto"/>
                    <w:ind w:firstLine="0" w:firstLineChars="0"/>
                    <w:jc w:val="center"/>
                    <w:rPr>
                      <w:kern w:val="0"/>
                      <w:sz w:val="21"/>
                      <w:szCs w:val="21"/>
                    </w:rPr>
                  </w:pPr>
                  <w:r>
                    <w:rPr>
                      <w:kern w:val="0"/>
                      <w:sz w:val="21"/>
                      <w:szCs w:val="21"/>
                    </w:rPr>
                    <w:t>6～9</w:t>
                  </w:r>
                </w:p>
              </w:tc>
              <w:tc>
                <w:tcPr>
                  <w:tcW w:w="698" w:type="pct"/>
                  <w:vAlign w:val="center"/>
                </w:tcPr>
                <w:p>
                  <w:pPr>
                    <w:widowControl/>
                    <w:spacing w:line="240" w:lineRule="auto"/>
                    <w:ind w:firstLine="0" w:firstLineChars="0"/>
                    <w:jc w:val="center"/>
                    <w:rPr>
                      <w:kern w:val="0"/>
                      <w:sz w:val="21"/>
                      <w:szCs w:val="21"/>
                    </w:rPr>
                  </w:pPr>
                  <w:r>
                    <w:rPr>
                      <w:kern w:val="0"/>
                      <w:sz w:val="21"/>
                      <w:szCs w:val="21"/>
                    </w:rPr>
                    <w:t>≥</w:t>
                  </w:r>
                  <w:r>
                    <w:rPr>
                      <w:rFonts w:hint="eastAsia"/>
                      <w:kern w:val="0"/>
                      <w:sz w:val="21"/>
                      <w:szCs w:val="21"/>
                    </w:rPr>
                    <w:t>5</w:t>
                  </w:r>
                </w:p>
              </w:tc>
              <w:tc>
                <w:tcPr>
                  <w:tcW w:w="788" w:type="pct"/>
                  <w:vAlign w:val="center"/>
                </w:tcPr>
                <w:p>
                  <w:pPr>
                    <w:widowControl/>
                    <w:spacing w:line="240" w:lineRule="auto"/>
                    <w:ind w:firstLine="0" w:firstLineChars="0"/>
                    <w:jc w:val="center"/>
                    <w:rPr>
                      <w:kern w:val="0"/>
                      <w:sz w:val="21"/>
                      <w:szCs w:val="21"/>
                    </w:rPr>
                  </w:pPr>
                  <w:r>
                    <w:rPr>
                      <w:kern w:val="0"/>
                      <w:sz w:val="21"/>
                      <w:szCs w:val="21"/>
                    </w:rPr>
                    <w:t>≤</w:t>
                  </w:r>
                  <w:r>
                    <w:rPr>
                      <w:rFonts w:hint="eastAsia"/>
                      <w:kern w:val="0"/>
                      <w:sz w:val="21"/>
                      <w:szCs w:val="21"/>
                    </w:rPr>
                    <w:t>6</w:t>
                  </w:r>
                </w:p>
              </w:tc>
              <w:tc>
                <w:tcPr>
                  <w:tcW w:w="680" w:type="pct"/>
                  <w:vAlign w:val="center"/>
                </w:tcPr>
                <w:p>
                  <w:pPr>
                    <w:widowControl/>
                    <w:spacing w:line="240" w:lineRule="auto"/>
                    <w:ind w:firstLine="0" w:firstLineChars="0"/>
                    <w:jc w:val="center"/>
                    <w:rPr>
                      <w:kern w:val="0"/>
                      <w:sz w:val="21"/>
                      <w:szCs w:val="21"/>
                    </w:rPr>
                  </w:pPr>
                  <w:r>
                    <w:rPr>
                      <w:kern w:val="0"/>
                      <w:sz w:val="21"/>
                      <w:szCs w:val="21"/>
                    </w:rPr>
                    <w:t>≤</w:t>
                  </w:r>
                  <w:r>
                    <w:rPr>
                      <w:rFonts w:hint="eastAsia"/>
                      <w:kern w:val="0"/>
                      <w:sz w:val="21"/>
                      <w:szCs w:val="21"/>
                    </w:rPr>
                    <w:t>20</w:t>
                  </w:r>
                </w:p>
              </w:tc>
              <w:tc>
                <w:tcPr>
                  <w:tcW w:w="469" w:type="pct"/>
                  <w:vAlign w:val="center"/>
                </w:tcPr>
                <w:p>
                  <w:pPr>
                    <w:widowControl/>
                    <w:spacing w:line="240" w:lineRule="auto"/>
                    <w:ind w:firstLine="0" w:firstLineChars="0"/>
                    <w:jc w:val="center"/>
                    <w:rPr>
                      <w:kern w:val="0"/>
                      <w:sz w:val="21"/>
                      <w:szCs w:val="21"/>
                    </w:rPr>
                  </w:pPr>
                  <w:r>
                    <w:rPr>
                      <w:kern w:val="0"/>
                      <w:sz w:val="21"/>
                      <w:szCs w:val="21"/>
                    </w:rPr>
                    <w:t>≤1.</w:t>
                  </w:r>
                  <w:r>
                    <w:rPr>
                      <w:rFonts w:hint="eastAsia"/>
                      <w:kern w:val="0"/>
                      <w:sz w:val="21"/>
                      <w:szCs w:val="21"/>
                    </w:rPr>
                    <w:t>0</w:t>
                  </w:r>
                </w:p>
              </w:tc>
              <w:tc>
                <w:tcPr>
                  <w:tcW w:w="450" w:type="pct"/>
                  <w:vAlign w:val="center"/>
                </w:tcPr>
                <w:p>
                  <w:pPr>
                    <w:widowControl/>
                    <w:spacing w:line="240" w:lineRule="auto"/>
                    <w:ind w:firstLine="0" w:firstLineChars="0"/>
                    <w:jc w:val="center"/>
                    <w:rPr>
                      <w:kern w:val="0"/>
                      <w:sz w:val="21"/>
                      <w:szCs w:val="21"/>
                    </w:rPr>
                  </w:pPr>
                  <w:r>
                    <w:rPr>
                      <w:kern w:val="0"/>
                      <w:sz w:val="21"/>
                      <w:szCs w:val="21"/>
                    </w:rPr>
                    <w:t>≤0.</w:t>
                  </w:r>
                  <w:r>
                    <w:rPr>
                      <w:rFonts w:hint="eastAsia"/>
                      <w:kern w:val="0"/>
                      <w:sz w:val="21"/>
                      <w:szCs w:val="21"/>
                    </w:rPr>
                    <w:t>0</w:t>
                  </w:r>
                  <w:r>
                    <w:rPr>
                      <w:kern w:val="0"/>
                      <w:sz w:val="21"/>
                      <w:szCs w:val="21"/>
                    </w:rPr>
                    <w:t>5</w:t>
                  </w:r>
                </w:p>
              </w:tc>
              <w:tc>
                <w:tcPr>
                  <w:tcW w:w="930" w:type="pct"/>
                  <w:vAlign w:val="center"/>
                </w:tcPr>
                <w:p>
                  <w:pPr>
                    <w:widowControl/>
                    <w:spacing w:line="240" w:lineRule="auto"/>
                    <w:ind w:firstLine="0" w:firstLineChars="0"/>
                    <w:jc w:val="center"/>
                    <w:rPr>
                      <w:kern w:val="0"/>
                      <w:sz w:val="21"/>
                      <w:szCs w:val="21"/>
                    </w:rPr>
                  </w:pPr>
                  <w:r>
                    <w:rPr>
                      <w:kern w:val="0"/>
                      <w:sz w:val="21"/>
                      <w:szCs w:val="21"/>
                    </w:rPr>
                    <w:t>≤0.</w:t>
                  </w:r>
                  <w:r>
                    <w:rPr>
                      <w:rFonts w:hint="eastAsia"/>
                      <w:kern w:val="0"/>
                      <w:sz w:val="21"/>
                      <w:szCs w:val="21"/>
                    </w:rPr>
                    <w:t>005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502" w:type="pct"/>
                  <w:tcMar>
                    <w:left w:w="0" w:type="dxa"/>
                    <w:right w:w="0" w:type="dxa"/>
                  </w:tcMar>
                  <w:vAlign w:val="center"/>
                </w:tcPr>
                <w:p>
                  <w:pPr>
                    <w:widowControl/>
                    <w:spacing w:line="240" w:lineRule="auto"/>
                    <w:ind w:firstLine="0" w:firstLineChars="0"/>
                    <w:jc w:val="center"/>
                    <w:rPr>
                      <w:kern w:val="0"/>
                      <w:sz w:val="21"/>
                      <w:szCs w:val="21"/>
                    </w:rPr>
                  </w:pPr>
                  <w:r>
                    <w:rPr>
                      <w:kern w:val="0"/>
                      <w:sz w:val="21"/>
                      <w:szCs w:val="21"/>
                    </w:rPr>
                    <w:t>污</w:t>
                  </w:r>
                  <w:r>
                    <w:rPr>
                      <w:rFonts w:hint="eastAsia"/>
                      <w:kern w:val="0"/>
                      <w:sz w:val="21"/>
                      <w:szCs w:val="21"/>
                    </w:rPr>
                    <w:t>染</w:t>
                  </w:r>
                  <w:r>
                    <w:rPr>
                      <w:kern w:val="0"/>
                      <w:sz w:val="21"/>
                      <w:szCs w:val="21"/>
                    </w:rPr>
                    <w:t>物</w:t>
                  </w:r>
                </w:p>
              </w:tc>
              <w:tc>
                <w:tcPr>
                  <w:tcW w:w="483" w:type="pct"/>
                  <w:vAlign w:val="center"/>
                </w:tcPr>
                <w:p>
                  <w:pPr>
                    <w:widowControl/>
                    <w:spacing w:line="240" w:lineRule="auto"/>
                    <w:ind w:firstLine="0" w:firstLineChars="0"/>
                    <w:jc w:val="center"/>
                    <w:rPr>
                      <w:kern w:val="0"/>
                      <w:sz w:val="21"/>
                      <w:szCs w:val="21"/>
                    </w:rPr>
                  </w:pPr>
                  <w:r>
                    <w:rPr>
                      <w:kern w:val="0"/>
                      <w:sz w:val="21"/>
                      <w:szCs w:val="21"/>
                    </w:rPr>
                    <w:t>汞</w:t>
                  </w:r>
                </w:p>
              </w:tc>
              <w:tc>
                <w:tcPr>
                  <w:tcW w:w="698" w:type="pct"/>
                  <w:vAlign w:val="center"/>
                </w:tcPr>
                <w:p>
                  <w:pPr>
                    <w:widowControl/>
                    <w:spacing w:line="240" w:lineRule="auto"/>
                    <w:ind w:firstLine="0" w:firstLineChars="0"/>
                    <w:jc w:val="center"/>
                    <w:rPr>
                      <w:kern w:val="0"/>
                      <w:sz w:val="21"/>
                      <w:szCs w:val="21"/>
                    </w:rPr>
                  </w:pPr>
                  <w:r>
                    <w:rPr>
                      <w:kern w:val="0"/>
                      <w:sz w:val="21"/>
                      <w:szCs w:val="21"/>
                    </w:rPr>
                    <w:t>铅</w:t>
                  </w:r>
                </w:p>
              </w:tc>
              <w:tc>
                <w:tcPr>
                  <w:tcW w:w="788" w:type="pct"/>
                  <w:vAlign w:val="center"/>
                </w:tcPr>
                <w:p>
                  <w:pPr>
                    <w:widowControl/>
                    <w:spacing w:line="240" w:lineRule="auto"/>
                    <w:ind w:firstLine="0" w:firstLineChars="0"/>
                    <w:jc w:val="center"/>
                    <w:rPr>
                      <w:kern w:val="0"/>
                      <w:sz w:val="21"/>
                      <w:szCs w:val="21"/>
                    </w:rPr>
                  </w:pPr>
                  <w:r>
                    <w:rPr>
                      <w:kern w:val="0"/>
                      <w:sz w:val="21"/>
                      <w:szCs w:val="21"/>
                    </w:rPr>
                    <w:t>化学需氧量</w:t>
                  </w:r>
                </w:p>
              </w:tc>
              <w:tc>
                <w:tcPr>
                  <w:tcW w:w="680" w:type="pct"/>
                  <w:vAlign w:val="center"/>
                </w:tcPr>
                <w:p>
                  <w:pPr>
                    <w:widowControl/>
                    <w:spacing w:line="240" w:lineRule="auto"/>
                    <w:ind w:firstLine="0" w:firstLineChars="0"/>
                    <w:jc w:val="center"/>
                    <w:rPr>
                      <w:kern w:val="0"/>
                      <w:sz w:val="21"/>
                      <w:szCs w:val="21"/>
                    </w:rPr>
                  </w:pPr>
                  <w:r>
                    <w:rPr>
                      <w:kern w:val="0"/>
                      <w:sz w:val="21"/>
                      <w:szCs w:val="21"/>
                    </w:rPr>
                    <w:t>总氮</w:t>
                  </w:r>
                </w:p>
              </w:tc>
              <w:tc>
                <w:tcPr>
                  <w:tcW w:w="469" w:type="pct"/>
                  <w:vAlign w:val="center"/>
                </w:tcPr>
                <w:p>
                  <w:pPr>
                    <w:widowControl/>
                    <w:spacing w:line="240" w:lineRule="auto"/>
                    <w:ind w:firstLine="0" w:firstLineChars="0"/>
                    <w:jc w:val="center"/>
                    <w:rPr>
                      <w:kern w:val="0"/>
                      <w:sz w:val="21"/>
                      <w:szCs w:val="21"/>
                    </w:rPr>
                  </w:pPr>
                  <w:r>
                    <w:rPr>
                      <w:kern w:val="0"/>
                      <w:sz w:val="21"/>
                      <w:szCs w:val="21"/>
                    </w:rPr>
                    <w:t>总磷</w:t>
                  </w:r>
                </w:p>
              </w:tc>
              <w:tc>
                <w:tcPr>
                  <w:tcW w:w="450" w:type="pct"/>
                  <w:vAlign w:val="center"/>
                </w:tcPr>
                <w:p>
                  <w:pPr>
                    <w:widowControl/>
                    <w:spacing w:line="240" w:lineRule="auto"/>
                    <w:ind w:firstLine="0" w:firstLineChars="0"/>
                    <w:jc w:val="center"/>
                    <w:rPr>
                      <w:kern w:val="0"/>
                      <w:sz w:val="21"/>
                      <w:szCs w:val="21"/>
                    </w:rPr>
                  </w:pPr>
                  <w:r>
                    <w:rPr>
                      <w:kern w:val="0"/>
                      <w:sz w:val="21"/>
                      <w:szCs w:val="21"/>
                    </w:rPr>
                    <w:t>铜</w:t>
                  </w:r>
                </w:p>
              </w:tc>
              <w:tc>
                <w:tcPr>
                  <w:tcW w:w="930" w:type="pct"/>
                  <w:vAlign w:val="center"/>
                </w:tcPr>
                <w:p>
                  <w:pPr>
                    <w:widowControl/>
                    <w:spacing w:line="240" w:lineRule="auto"/>
                    <w:ind w:firstLine="0" w:firstLineChars="0"/>
                    <w:jc w:val="center"/>
                    <w:rPr>
                      <w:kern w:val="0"/>
                      <w:sz w:val="21"/>
                      <w:szCs w:val="21"/>
                    </w:rPr>
                  </w:pPr>
                  <w:r>
                    <w:rPr>
                      <w:kern w:val="0"/>
                      <w:sz w:val="21"/>
                      <w:szCs w:val="21"/>
                    </w:rPr>
                    <w:t>锌</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502" w:type="pct"/>
                  <w:tcMar>
                    <w:left w:w="0" w:type="dxa"/>
                    <w:right w:w="0" w:type="dxa"/>
                  </w:tcMar>
                  <w:vAlign w:val="center"/>
                </w:tcPr>
                <w:p>
                  <w:pPr>
                    <w:widowControl/>
                    <w:spacing w:line="240" w:lineRule="auto"/>
                    <w:ind w:firstLine="0" w:firstLineChars="0"/>
                    <w:jc w:val="center"/>
                    <w:rPr>
                      <w:kern w:val="0"/>
                      <w:sz w:val="21"/>
                      <w:szCs w:val="21"/>
                    </w:rPr>
                  </w:pPr>
                  <w:r>
                    <w:rPr>
                      <w:kern w:val="0"/>
                      <w:sz w:val="21"/>
                      <w:szCs w:val="21"/>
                    </w:rPr>
                    <w:t>标准值</w:t>
                  </w:r>
                </w:p>
              </w:tc>
              <w:tc>
                <w:tcPr>
                  <w:tcW w:w="483" w:type="pct"/>
                  <w:vAlign w:val="center"/>
                </w:tcPr>
                <w:p>
                  <w:pPr>
                    <w:widowControl/>
                    <w:spacing w:line="240" w:lineRule="auto"/>
                    <w:ind w:firstLine="0" w:firstLineChars="0"/>
                    <w:jc w:val="center"/>
                    <w:rPr>
                      <w:kern w:val="0"/>
                      <w:sz w:val="21"/>
                      <w:szCs w:val="21"/>
                    </w:rPr>
                  </w:pPr>
                  <w:r>
                    <w:rPr>
                      <w:kern w:val="0"/>
                      <w:sz w:val="21"/>
                      <w:szCs w:val="21"/>
                    </w:rPr>
                    <w:t>≤0.00</w:t>
                  </w:r>
                  <w:r>
                    <w:rPr>
                      <w:rFonts w:hint="eastAsia"/>
                      <w:kern w:val="0"/>
                      <w:sz w:val="21"/>
                      <w:szCs w:val="21"/>
                    </w:rPr>
                    <w:t>0</w:t>
                  </w:r>
                  <w:r>
                    <w:rPr>
                      <w:kern w:val="0"/>
                      <w:sz w:val="21"/>
                      <w:szCs w:val="21"/>
                    </w:rPr>
                    <w:t>1</w:t>
                  </w:r>
                </w:p>
              </w:tc>
              <w:tc>
                <w:tcPr>
                  <w:tcW w:w="698" w:type="pct"/>
                  <w:vAlign w:val="center"/>
                </w:tcPr>
                <w:p>
                  <w:pPr>
                    <w:widowControl/>
                    <w:spacing w:line="240" w:lineRule="auto"/>
                    <w:ind w:firstLine="0" w:firstLineChars="0"/>
                    <w:jc w:val="center"/>
                    <w:rPr>
                      <w:kern w:val="0"/>
                      <w:sz w:val="21"/>
                      <w:szCs w:val="21"/>
                    </w:rPr>
                  </w:pPr>
                  <w:r>
                    <w:rPr>
                      <w:kern w:val="0"/>
                      <w:sz w:val="21"/>
                      <w:szCs w:val="21"/>
                    </w:rPr>
                    <w:t>≤0.05</w:t>
                  </w:r>
                </w:p>
              </w:tc>
              <w:tc>
                <w:tcPr>
                  <w:tcW w:w="788" w:type="pct"/>
                  <w:vAlign w:val="center"/>
                </w:tcPr>
                <w:p>
                  <w:pPr>
                    <w:widowControl/>
                    <w:spacing w:line="240" w:lineRule="auto"/>
                    <w:ind w:firstLine="0" w:firstLineChars="0"/>
                    <w:jc w:val="center"/>
                    <w:rPr>
                      <w:kern w:val="0"/>
                      <w:sz w:val="21"/>
                      <w:szCs w:val="21"/>
                    </w:rPr>
                  </w:pPr>
                  <w:r>
                    <w:rPr>
                      <w:kern w:val="0"/>
                      <w:sz w:val="21"/>
                      <w:szCs w:val="21"/>
                    </w:rPr>
                    <w:t>≤</w:t>
                  </w:r>
                  <w:r>
                    <w:rPr>
                      <w:rFonts w:hint="eastAsia"/>
                      <w:kern w:val="0"/>
                      <w:sz w:val="21"/>
                      <w:szCs w:val="21"/>
                    </w:rPr>
                    <w:t>2</w:t>
                  </w:r>
                  <w:r>
                    <w:rPr>
                      <w:kern w:val="0"/>
                      <w:sz w:val="21"/>
                      <w:szCs w:val="21"/>
                    </w:rPr>
                    <w:t>0</w:t>
                  </w:r>
                </w:p>
              </w:tc>
              <w:tc>
                <w:tcPr>
                  <w:tcW w:w="680" w:type="pct"/>
                  <w:vAlign w:val="center"/>
                </w:tcPr>
                <w:p>
                  <w:pPr>
                    <w:widowControl/>
                    <w:spacing w:line="240" w:lineRule="auto"/>
                    <w:ind w:firstLine="0" w:firstLineChars="0"/>
                    <w:jc w:val="center"/>
                    <w:rPr>
                      <w:kern w:val="0"/>
                      <w:sz w:val="21"/>
                      <w:szCs w:val="21"/>
                    </w:rPr>
                  </w:pPr>
                  <w:r>
                    <w:rPr>
                      <w:kern w:val="0"/>
                      <w:sz w:val="21"/>
                      <w:szCs w:val="21"/>
                    </w:rPr>
                    <w:t>≤1.</w:t>
                  </w:r>
                  <w:r>
                    <w:rPr>
                      <w:rFonts w:hint="eastAsia"/>
                      <w:kern w:val="0"/>
                      <w:sz w:val="21"/>
                      <w:szCs w:val="21"/>
                    </w:rPr>
                    <w:t>0</w:t>
                  </w:r>
                </w:p>
              </w:tc>
              <w:tc>
                <w:tcPr>
                  <w:tcW w:w="469" w:type="pct"/>
                  <w:vAlign w:val="center"/>
                </w:tcPr>
                <w:p>
                  <w:pPr>
                    <w:widowControl/>
                    <w:spacing w:line="240" w:lineRule="auto"/>
                    <w:ind w:firstLine="0" w:firstLineChars="0"/>
                    <w:jc w:val="center"/>
                    <w:rPr>
                      <w:kern w:val="0"/>
                      <w:sz w:val="21"/>
                      <w:szCs w:val="21"/>
                    </w:rPr>
                  </w:pPr>
                  <w:r>
                    <w:rPr>
                      <w:kern w:val="0"/>
                      <w:sz w:val="21"/>
                      <w:szCs w:val="21"/>
                    </w:rPr>
                    <w:t>≤0.</w:t>
                  </w:r>
                  <w:r>
                    <w:rPr>
                      <w:rFonts w:hint="eastAsia"/>
                      <w:kern w:val="0"/>
                      <w:sz w:val="21"/>
                      <w:szCs w:val="21"/>
                    </w:rPr>
                    <w:t>2</w:t>
                  </w:r>
                </w:p>
              </w:tc>
              <w:tc>
                <w:tcPr>
                  <w:tcW w:w="450" w:type="pct"/>
                  <w:vAlign w:val="center"/>
                </w:tcPr>
                <w:p>
                  <w:pPr>
                    <w:widowControl/>
                    <w:spacing w:line="240" w:lineRule="auto"/>
                    <w:ind w:firstLine="0" w:firstLineChars="0"/>
                    <w:jc w:val="center"/>
                    <w:rPr>
                      <w:kern w:val="0"/>
                      <w:sz w:val="21"/>
                      <w:szCs w:val="21"/>
                    </w:rPr>
                  </w:pPr>
                  <w:r>
                    <w:rPr>
                      <w:kern w:val="0"/>
                      <w:sz w:val="21"/>
                      <w:szCs w:val="21"/>
                    </w:rPr>
                    <w:t>≤1.0</w:t>
                  </w:r>
                </w:p>
              </w:tc>
              <w:tc>
                <w:tcPr>
                  <w:tcW w:w="930" w:type="pct"/>
                  <w:vAlign w:val="center"/>
                </w:tcPr>
                <w:p>
                  <w:pPr>
                    <w:widowControl/>
                    <w:spacing w:line="240" w:lineRule="auto"/>
                    <w:ind w:firstLine="0" w:firstLineChars="0"/>
                    <w:jc w:val="center"/>
                    <w:rPr>
                      <w:kern w:val="0"/>
                      <w:sz w:val="21"/>
                      <w:szCs w:val="21"/>
                    </w:rPr>
                  </w:pPr>
                  <w:r>
                    <w:rPr>
                      <w:kern w:val="0"/>
                      <w:sz w:val="21"/>
                      <w:szCs w:val="21"/>
                    </w:rPr>
                    <w:t>≤</w:t>
                  </w:r>
                  <w:r>
                    <w:rPr>
                      <w:rFonts w:hint="eastAsia"/>
                      <w:kern w:val="0"/>
                      <w:sz w:val="21"/>
                      <w:szCs w:val="21"/>
                    </w:rPr>
                    <w:t>1</w:t>
                  </w:r>
                  <w:r>
                    <w:rPr>
                      <w:kern w:val="0"/>
                      <w:sz w:val="21"/>
                      <w:szCs w:val="21"/>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502" w:type="pct"/>
                  <w:tcMar>
                    <w:left w:w="0" w:type="dxa"/>
                    <w:right w:w="0" w:type="dxa"/>
                  </w:tcMar>
                  <w:vAlign w:val="center"/>
                </w:tcPr>
                <w:p>
                  <w:pPr>
                    <w:widowControl/>
                    <w:spacing w:line="240" w:lineRule="auto"/>
                    <w:ind w:firstLine="0" w:firstLineChars="0"/>
                    <w:jc w:val="center"/>
                    <w:rPr>
                      <w:kern w:val="0"/>
                      <w:sz w:val="21"/>
                      <w:szCs w:val="21"/>
                    </w:rPr>
                  </w:pPr>
                  <w:r>
                    <w:rPr>
                      <w:kern w:val="0"/>
                      <w:sz w:val="21"/>
                      <w:szCs w:val="21"/>
                    </w:rPr>
                    <w:t>污染物</w:t>
                  </w:r>
                </w:p>
              </w:tc>
              <w:tc>
                <w:tcPr>
                  <w:tcW w:w="483" w:type="pct"/>
                  <w:vAlign w:val="center"/>
                </w:tcPr>
                <w:p>
                  <w:pPr>
                    <w:widowControl/>
                    <w:spacing w:line="240" w:lineRule="auto"/>
                    <w:ind w:firstLine="0" w:firstLineChars="0"/>
                    <w:jc w:val="center"/>
                    <w:rPr>
                      <w:kern w:val="0"/>
                      <w:sz w:val="21"/>
                      <w:szCs w:val="21"/>
                    </w:rPr>
                  </w:pPr>
                  <w:r>
                    <w:rPr>
                      <w:kern w:val="0"/>
                      <w:sz w:val="21"/>
                      <w:szCs w:val="21"/>
                    </w:rPr>
                    <w:t>氟化物</w:t>
                  </w:r>
                </w:p>
              </w:tc>
              <w:tc>
                <w:tcPr>
                  <w:tcW w:w="698" w:type="pct"/>
                  <w:vAlign w:val="center"/>
                </w:tcPr>
                <w:p>
                  <w:pPr>
                    <w:widowControl/>
                    <w:spacing w:line="240" w:lineRule="auto"/>
                    <w:ind w:firstLine="0" w:firstLineChars="0"/>
                    <w:jc w:val="center"/>
                    <w:rPr>
                      <w:kern w:val="0"/>
                      <w:sz w:val="21"/>
                      <w:szCs w:val="21"/>
                    </w:rPr>
                  </w:pPr>
                  <w:r>
                    <w:rPr>
                      <w:kern w:val="0"/>
                      <w:sz w:val="21"/>
                      <w:szCs w:val="21"/>
                    </w:rPr>
                    <w:t>硒</w:t>
                  </w:r>
                </w:p>
              </w:tc>
              <w:tc>
                <w:tcPr>
                  <w:tcW w:w="788" w:type="pct"/>
                  <w:vAlign w:val="center"/>
                </w:tcPr>
                <w:p>
                  <w:pPr>
                    <w:widowControl/>
                    <w:spacing w:line="240" w:lineRule="auto"/>
                    <w:ind w:firstLine="0" w:firstLineChars="0"/>
                    <w:jc w:val="center"/>
                    <w:rPr>
                      <w:kern w:val="0"/>
                      <w:sz w:val="21"/>
                      <w:szCs w:val="21"/>
                    </w:rPr>
                  </w:pPr>
                  <w:r>
                    <w:rPr>
                      <w:kern w:val="0"/>
                      <w:sz w:val="21"/>
                      <w:szCs w:val="21"/>
                    </w:rPr>
                    <w:t>粪大肠菌群</w:t>
                  </w:r>
                </w:p>
                <w:p>
                  <w:pPr>
                    <w:widowControl/>
                    <w:spacing w:line="240" w:lineRule="auto"/>
                    <w:ind w:firstLine="0" w:firstLineChars="0"/>
                    <w:jc w:val="center"/>
                    <w:rPr>
                      <w:kern w:val="0"/>
                      <w:sz w:val="21"/>
                      <w:szCs w:val="21"/>
                    </w:rPr>
                  </w:pPr>
                  <w:r>
                    <w:rPr>
                      <w:kern w:val="0"/>
                      <w:sz w:val="21"/>
                      <w:szCs w:val="21"/>
                    </w:rPr>
                    <w:t>个/L</w:t>
                  </w:r>
                </w:p>
              </w:tc>
              <w:tc>
                <w:tcPr>
                  <w:tcW w:w="680" w:type="pct"/>
                  <w:vAlign w:val="center"/>
                </w:tcPr>
                <w:p>
                  <w:pPr>
                    <w:widowControl/>
                    <w:spacing w:line="240" w:lineRule="auto"/>
                    <w:ind w:firstLine="0" w:firstLineChars="0"/>
                    <w:jc w:val="center"/>
                    <w:rPr>
                      <w:kern w:val="0"/>
                      <w:sz w:val="21"/>
                      <w:szCs w:val="21"/>
                    </w:rPr>
                  </w:pPr>
                  <w:r>
                    <w:rPr>
                      <w:kern w:val="0"/>
                      <w:sz w:val="21"/>
                      <w:szCs w:val="21"/>
                    </w:rPr>
                    <w:t>硫化物</w:t>
                  </w:r>
                </w:p>
              </w:tc>
              <w:tc>
                <w:tcPr>
                  <w:tcW w:w="469" w:type="pct"/>
                  <w:vAlign w:val="center"/>
                </w:tcPr>
                <w:p>
                  <w:pPr>
                    <w:widowControl/>
                    <w:spacing w:line="240" w:lineRule="auto"/>
                    <w:ind w:firstLine="0" w:firstLineChars="0"/>
                    <w:jc w:val="center"/>
                    <w:rPr>
                      <w:kern w:val="0"/>
                      <w:sz w:val="21"/>
                      <w:szCs w:val="21"/>
                    </w:rPr>
                  </w:pPr>
                  <w:r>
                    <w:rPr>
                      <w:kern w:val="0"/>
                      <w:sz w:val="21"/>
                      <w:szCs w:val="21"/>
                    </w:rPr>
                    <w:t>六价铬</w:t>
                  </w:r>
                </w:p>
              </w:tc>
              <w:tc>
                <w:tcPr>
                  <w:tcW w:w="450" w:type="pct"/>
                  <w:vAlign w:val="center"/>
                </w:tcPr>
                <w:p>
                  <w:pPr>
                    <w:widowControl/>
                    <w:spacing w:line="240" w:lineRule="auto"/>
                    <w:ind w:firstLine="0" w:firstLineChars="0"/>
                    <w:jc w:val="center"/>
                    <w:rPr>
                      <w:kern w:val="0"/>
                      <w:sz w:val="21"/>
                      <w:szCs w:val="21"/>
                    </w:rPr>
                  </w:pPr>
                  <w:r>
                    <w:rPr>
                      <w:kern w:val="0"/>
                      <w:sz w:val="21"/>
                      <w:szCs w:val="21"/>
                    </w:rPr>
                    <w:t>氰化物</w:t>
                  </w:r>
                </w:p>
              </w:tc>
              <w:tc>
                <w:tcPr>
                  <w:tcW w:w="930" w:type="pct"/>
                  <w:vAlign w:val="center"/>
                </w:tcPr>
                <w:p>
                  <w:pPr>
                    <w:widowControl/>
                    <w:spacing w:line="240" w:lineRule="auto"/>
                    <w:ind w:firstLine="0" w:firstLineChars="0"/>
                    <w:jc w:val="center"/>
                    <w:rPr>
                      <w:spacing w:val="-4"/>
                      <w:kern w:val="0"/>
                      <w:sz w:val="21"/>
                      <w:szCs w:val="21"/>
                    </w:rPr>
                  </w:pPr>
                  <w:r>
                    <w:rPr>
                      <w:spacing w:val="-4"/>
                      <w:kern w:val="0"/>
                      <w:sz w:val="21"/>
                      <w:szCs w:val="21"/>
                    </w:rPr>
                    <w:t>阴离子表面活性剂</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502" w:type="pct"/>
                  <w:tcMar>
                    <w:left w:w="0" w:type="dxa"/>
                    <w:right w:w="0" w:type="dxa"/>
                  </w:tcMar>
                  <w:vAlign w:val="center"/>
                </w:tcPr>
                <w:p>
                  <w:pPr>
                    <w:widowControl/>
                    <w:spacing w:line="240" w:lineRule="auto"/>
                    <w:ind w:firstLine="0" w:firstLineChars="0"/>
                    <w:jc w:val="center"/>
                    <w:rPr>
                      <w:kern w:val="0"/>
                      <w:sz w:val="21"/>
                      <w:szCs w:val="21"/>
                    </w:rPr>
                  </w:pPr>
                  <w:r>
                    <w:rPr>
                      <w:kern w:val="0"/>
                      <w:sz w:val="21"/>
                      <w:szCs w:val="21"/>
                    </w:rPr>
                    <w:t>标准值</w:t>
                  </w:r>
                </w:p>
              </w:tc>
              <w:tc>
                <w:tcPr>
                  <w:tcW w:w="483" w:type="pct"/>
                  <w:vAlign w:val="center"/>
                </w:tcPr>
                <w:p>
                  <w:pPr>
                    <w:widowControl/>
                    <w:spacing w:line="240" w:lineRule="auto"/>
                    <w:ind w:firstLine="0" w:firstLineChars="0"/>
                    <w:jc w:val="center"/>
                    <w:rPr>
                      <w:kern w:val="0"/>
                      <w:sz w:val="21"/>
                      <w:szCs w:val="21"/>
                    </w:rPr>
                  </w:pPr>
                  <w:r>
                    <w:rPr>
                      <w:kern w:val="0"/>
                      <w:sz w:val="21"/>
                      <w:szCs w:val="21"/>
                    </w:rPr>
                    <w:t>≤1.</w:t>
                  </w:r>
                  <w:r>
                    <w:rPr>
                      <w:rFonts w:hint="eastAsia"/>
                      <w:kern w:val="0"/>
                      <w:sz w:val="21"/>
                      <w:szCs w:val="21"/>
                    </w:rPr>
                    <w:t>0</w:t>
                  </w:r>
                </w:p>
              </w:tc>
              <w:tc>
                <w:tcPr>
                  <w:tcW w:w="698" w:type="pct"/>
                  <w:vAlign w:val="center"/>
                </w:tcPr>
                <w:p>
                  <w:pPr>
                    <w:widowControl/>
                    <w:spacing w:line="240" w:lineRule="auto"/>
                    <w:ind w:firstLine="0" w:firstLineChars="0"/>
                    <w:jc w:val="center"/>
                    <w:rPr>
                      <w:kern w:val="0"/>
                      <w:sz w:val="21"/>
                      <w:szCs w:val="21"/>
                    </w:rPr>
                  </w:pPr>
                  <w:r>
                    <w:rPr>
                      <w:kern w:val="0"/>
                      <w:sz w:val="21"/>
                      <w:szCs w:val="21"/>
                    </w:rPr>
                    <w:t>≤0.0</w:t>
                  </w:r>
                  <w:r>
                    <w:rPr>
                      <w:rFonts w:hint="eastAsia"/>
                      <w:kern w:val="0"/>
                      <w:sz w:val="21"/>
                      <w:szCs w:val="21"/>
                    </w:rPr>
                    <w:t>1</w:t>
                  </w:r>
                </w:p>
              </w:tc>
              <w:tc>
                <w:tcPr>
                  <w:tcW w:w="788" w:type="pct"/>
                  <w:vAlign w:val="center"/>
                </w:tcPr>
                <w:p>
                  <w:pPr>
                    <w:widowControl/>
                    <w:spacing w:line="240" w:lineRule="auto"/>
                    <w:ind w:firstLine="0" w:firstLineChars="0"/>
                    <w:jc w:val="center"/>
                    <w:rPr>
                      <w:kern w:val="0"/>
                      <w:sz w:val="21"/>
                      <w:szCs w:val="21"/>
                    </w:rPr>
                  </w:pPr>
                  <w:r>
                    <w:rPr>
                      <w:kern w:val="0"/>
                      <w:sz w:val="21"/>
                      <w:szCs w:val="21"/>
                    </w:rPr>
                    <w:t>≤</w:t>
                  </w:r>
                  <w:r>
                    <w:rPr>
                      <w:rFonts w:hint="eastAsia"/>
                      <w:kern w:val="0"/>
                      <w:sz w:val="21"/>
                      <w:szCs w:val="21"/>
                    </w:rPr>
                    <w:t>1</w:t>
                  </w:r>
                  <w:r>
                    <w:rPr>
                      <w:kern w:val="0"/>
                      <w:sz w:val="21"/>
                      <w:szCs w:val="21"/>
                    </w:rPr>
                    <w:t>0000</w:t>
                  </w:r>
                </w:p>
              </w:tc>
              <w:tc>
                <w:tcPr>
                  <w:tcW w:w="680" w:type="pct"/>
                  <w:vAlign w:val="center"/>
                </w:tcPr>
                <w:p>
                  <w:pPr>
                    <w:widowControl/>
                    <w:spacing w:line="240" w:lineRule="auto"/>
                    <w:ind w:firstLine="0" w:firstLineChars="0"/>
                    <w:jc w:val="center"/>
                    <w:rPr>
                      <w:kern w:val="0"/>
                      <w:sz w:val="21"/>
                      <w:szCs w:val="21"/>
                    </w:rPr>
                  </w:pPr>
                  <w:r>
                    <w:rPr>
                      <w:kern w:val="0"/>
                      <w:sz w:val="21"/>
                      <w:szCs w:val="21"/>
                    </w:rPr>
                    <w:t>≤0.</w:t>
                  </w:r>
                  <w:r>
                    <w:rPr>
                      <w:rFonts w:hint="eastAsia"/>
                      <w:kern w:val="0"/>
                      <w:sz w:val="21"/>
                      <w:szCs w:val="21"/>
                    </w:rPr>
                    <w:t>2</w:t>
                  </w:r>
                </w:p>
              </w:tc>
              <w:tc>
                <w:tcPr>
                  <w:tcW w:w="469" w:type="pct"/>
                  <w:vAlign w:val="center"/>
                </w:tcPr>
                <w:p>
                  <w:pPr>
                    <w:widowControl/>
                    <w:spacing w:line="240" w:lineRule="auto"/>
                    <w:ind w:firstLine="0" w:firstLineChars="0"/>
                    <w:jc w:val="center"/>
                    <w:rPr>
                      <w:kern w:val="0"/>
                      <w:sz w:val="21"/>
                      <w:szCs w:val="21"/>
                    </w:rPr>
                  </w:pPr>
                  <w:r>
                    <w:rPr>
                      <w:kern w:val="0"/>
                      <w:sz w:val="21"/>
                      <w:szCs w:val="21"/>
                    </w:rPr>
                    <w:t>≤0.05</w:t>
                  </w:r>
                </w:p>
              </w:tc>
              <w:tc>
                <w:tcPr>
                  <w:tcW w:w="450" w:type="pct"/>
                  <w:vAlign w:val="center"/>
                </w:tcPr>
                <w:p>
                  <w:pPr>
                    <w:widowControl/>
                    <w:spacing w:line="240" w:lineRule="auto"/>
                    <w:ind w:firstLine="0" w:firstLineChars="0"/>
                    <w:jc w:val="center"/>
                    <w:rPr>
                      <w:kern w:val="0"/>
                      <w:sz w:val="21"/>
                      <w:szCs w:val="21"/>
                    </w:rPr>
                  </w:pPr>
                  <w:r>
                    <w:rPr>
                      <w:kern w:val="0"/>
                      <w:sz w:val="21"/>
                      <w:szCs w:val="21"/>
                    </w:rPr>
                    <w:t>≤0.2</w:t>
                  </w:r>
                </w:p>
              </w:tc>
              <w:tc>
                <w:tcPr>
                  <w:tcW w:w="930" w:type="pct"/>
                  <w:vAlign w:val="center"/>
                </w:tcPr>
                <w:p>
                  <w:pPr>
                    <w:widowControl/>
                    <w:spacing w:line="240" w:lineRule="auto"/>
                    <w:ind w:firstLine="0" w:firstLineChars="0"/>
                    <w:jc w:val="center"/>
                    <w:rPr>
                      <w:kern w:val="0"/>
                      <w:sz w:val="21"/>
                      <w:szCs w:val="21"/>
                    </w:rPr>
                  </w:pPr>
                  <w:r>
                    <w:rPr>
                      <w:kern w:val="0"/>
                      <w:sz w:val="21"/>
                      <w:szCs w:val="21"/>
                    </w:rPr>
                    <w:t>≤0.</w:t>
                  </w:r>
                  <w:r>
                    <w:rPr>
                      <w:rFonts w:hint="eastAsia"/>
                      <w:kern w:val="0"/>
                      <w:sz w:val="21"/>
                      <w:szCs w:val="21"/>
                    </w:rPr>
                    <w:t>2</w:t>
                  </w:r>
                </w:p>
              </w:tc>
            </w:tr>
          </w:tbl>
          <w:p>
            <w:pPr>
              <w:ind w:firstLine="0" w:firstLineChars="0"/>
            </w:pPr>
            <w:r>
              <w:rPr>
                <w:b/>
              </w:rPr>
              <w:t>3、地下水：</w:t>
            </w:r>
            <w:r>
              <w:t>执行《地下水质量标准》（GB/T14848-</w:t>
            </w:r>
            <w:r>
              <w:rPr>
                <w:rFonts w:hint="eastAsia"/>
              </w:rPr>
              <w:t>2017</w:t>
            </w:r>
            <w:r>
              <w:t>）中III类标准</w:t>
            </w:r>
            <w:r>
              <w:rPr>
                <w:rFonts w:hint="eastAsia"/>
              </w:rPr>
              <w:t>。</w:t>
            </w:r>
          </w:p>
          <w:p>
            <w:pPr>
              <w:ind w:firstLine="0" w:firstLineChars="0"/>
              <w:jc w:val="center"/>
              <w:rPr>
                <w:rFonts w:ascii="黑体" w:hAnsi="黑体" w:eastAsia="黑体"/>
              </w:rPr>
            </w:pPr>
            <w:r>
              <w:rPr>
                <w:rFonts w:hint="eastAsia" w:ascii="黑体" w:hAnsi="黑体" w:eastAsia="黑体"/>
              </w:rPr>
              <w:t>表</w:t>
            </w:r>
            <w:r>
              <w:rPr>
                <w:rFonts w:ascii="黑体" w:hAnsi="黑体" w:eastAsia="黑体"/>
              </w:rPr>
              <w:t xml:space="preserve">25 </w:t>
            </w:r>
            <w:r>
              <w:rPr>
                <w:rFonts w:hint="eastAsia" w:ascii="黑体" w:hAnsi="黑体" w:eastAsia="黑体"/>
              </w:rPr>
              <w:t xml:space="preserve"> 《</w:t>
            </w:r>
            <w:r>
              <w:rPr>
                <w:rFonts w:ascii="黑体" w:hAnsi="黑体" w:eastAsia="黑体"/>
              </w:rPr>
              <w:t>地下水质量标准</w:t>
            </w:r>
            <w:r>
              <w:rPr>
                <w:rFonts w:hint="eastAsia" w:ascii="黑体" w:hAnsi="黑体" w:eastAsia="黑体"/>
              </w:rPr>
              <w:t>》中</w:t>
            </w:r>
            <w:r>
              <w:rPr>
                <w:rFonts w:ascii="黑体" w:hAnsi="黑体" w:eastAsia="黑体"/>
              </w:rPr>
              <w:t>III类标准</w:t>
            </w:r>
          </w:p>
          <w:tbl>
            <w:tblPr>
              <w:tblStyle w:val="7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6"/>
              <w:gridCol w:w="879"/>
              <w:gridCol w:w="879"/>
              <w:gridCol w:w="879"/>
              <w:gridCol w:w="879"/>
              <w:gridCol w:w="1106"/>
              <w:gridCol w:w="1519"/>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2"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污染物</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pH</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总硬度</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氟化物</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硝酸盐</w:t>
                  </w:r>
                </w:p>
              </w:tc>
              <w:tc>
                <w:tcPr>
                  <w:tcW w:w="63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亚硝酸盐</w:t>
                  </w:r>
                </w:p>
              </w:tc>
              <w:tc>
                <w:tcPr>
                  <w:tcW w:w="871"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硫酸盐</w:t>
                  </w:r>
                </w:p>
              </w:tc>
              <w:tc>
                <w:tcPr>
                  <w:tcW w:w="978"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耗氧量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2"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标准值</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6.5~8.5</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≤450</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≤1.0</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≤20</w:t>
                  </w:r>
                </w:p>
              </w:tc>
              <w:tc>
                <w:tcPr>
                  <w:tcW w:w="63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≤1.00</w:t>
                  </w:r>
                </w:p>
              </w:tc>
              <w:tc>
                <w:tcPr>
                  <w:tcW w:w="871"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≤250</w:t>
                  </w:r>
                </w:p>
              </w:tc>
              <w:tc>
                <w:tcPr>
                  <w:tcW w:w="978"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2"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污染物</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氨氮</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氰化物</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挥发酚</w:t>
                  </w:r>
                </w:p>
              </w:tc>
              <w:tc>
                <w:tcPr>
                  <w:tcW w:w="504"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hAnsi="宋体"/>
                      <w:sz w:val="21"/>
                      <w:szCs w:val="21"/>
                    </w:rPr>
                    <w:t>氯化物</w:t>
                  </w:r>
                </w:p>
              </w:tc>
              <w:tc>
                <w:tcPr>
                  <w:tcW w:w="63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六价铬</w:t>
                  </w:r>
                </w:p>
              </w:tc>
              <w:tc>
                <w:tcPr>
                  <w:tcW w:w="871"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细菌总数个</w:t>
                  </w:r>
                  <w:r>
                    <w:rPr>
                      <w:rFonts w:eastAsia="宋体"/>
                    </w:rPr>
                    <w:t>/L</w:t>
                  </w:r>
                </w:p>
              </w:tc>
              <w:tc>
                <w:tcPr>
                  <w:tcW w:w="978"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总大肠菌群个</w:t>
                  </w:r>
                  <w:r>
                    <w:rPr>
                      <w:rFonts w:eastAsia="宋体"/>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2"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标准值</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≤0.5</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≤0.05</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≤0.002</w:t>
                  </w:r>
                </w:p>
              </w:tc>
              <w:tc>
                <w:tcPr>
                  <w:tcW w:w="504"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sz w:val="21"/>
                      <w:szCs w:val="21"/>
                    </w:rPr>
                    <w:t>250</w:t>
                  </w:r>
                </w:p>
              </w:tc>
              <w:tc>
                <w:tcPr>
                  <w:tcW w:w="63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≤0.05</w:t>
                  </w:r>
                </w:p>
              </w:tc>
              <w:tc>
                <w:tcPr>
                  <w:tcW w:w="871"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≤100</w:t>
                  </w:r>
                </w:p>
              </w:tc>
              <w:tc>
                <w:tcPr>
                  <w:tcW w:w="978"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2"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污染物</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铁</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铅</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镉</w:t>
                  </w:r>
                </w:p>
              </w:tc>
              <w:tc>
                <w:tcPr>
                  <w:tcW w:w="504"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hAnsi="宋体"/>
                      <w:sz w:val="21"/>
                      <w:szCs w:val="21"/>
                    </w:rPr>
                    <w:t>锰</w:t>
                  </w:r>
                </w:p>
              </w:tc>
              <w:tc>
                <w:tcPr>
                  <w:tcW w:w="63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汞</w:t>
                  </w:r>
                </w:p>
              </w:tc>
              <w:tc>
                <w:tcPr>
                  <w:tcW w:w="871"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砷</w:t>
                  </w:r>
                </w:p>
              </w:tc>
              <w:tc>
                <w:tcPr>
                  <w:tcW w:w="978"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溶解性总固体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2"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hint="eastAsia" w:hAnsi="宋体" w:eastAsia="宋体"/>
                    </w:rPr>
                    <w:t>标准值</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≤0.3</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≤0.01</w:t>
                  </w:r>
                </w:p>
              </w:tc>
              <w:tc>
                <w:tcPr>
                  <w:tcW w:w="50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≤0.005</w:t>
                  </w:r>
                </w:p>
              </w:tc>
              <w:tc>
                <w:tcPr>
                  <w:tcW w:w="504"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sz w:val="21"/>
                      <w:szCs w:val="21"/>
                    </w:rPr>
                    <w:t>≤0.1</w:t>
                  </w:r>
                </w:p>
              </w:tc>
              <w:tc>
                <w:tcPr>
                  <w:tcW w:w="634"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≤0.001</w:t>
                  </w:r>
                </w:p>
              </w:tc>
              <w:tc>
                <w:tcPr>
                  <w:tcW w:w="871"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≤0.01</w:t>
                  </w:r>
                </w:p>
              </w:tc>
              <w:tc>
                <w:tcPr>
                  <w:tcW w:w="978" w:type="pct"/>
                  <w:tcBorders>
                    <w:top w:val="single" w:color="auto" w:sz="4" w:space="0"/>
                    <w:left w:val="single" w:color="auto" w:sz="4" w:space="0"/>
                    <w:bottom w:val="single" w:color="auto" w:sz="4" w:space="0"/>
                    <w:right w:val="single" w:color="auto" w:sz="4" w:space="0"/>
                  </w:tcBorders>
                  <w:vAlign w:val="center"/>
                </w:tcPr>
                <w:p>
                  <w:pPr>
                    <w:pStyle w:val="150"/>
                    <w:snapToGrid/>
                    <w:rPr>
                      <w:rFonts w:eastAsia="宋体"/>
                    </w:rPr>
                  </w:pPr>
                  <w:r>
                    <w:rPr>
                      <w:rFonts w:eastAsia="宋体"/>
                    </w:rPr>
                    <w:t>≤1000</w:t>
                  </w:r>
                </w:p>
              </w:tc>
            </w:tr>
          </w:tbl>
          <w:p>
            <w:pPr>
              <w:ind w:firstLine="0" w:firstLineChars="0"/>
            </w:pPr>
            <w:r>
              <w:rPr>
                <w:rFonts w:hint="eastAsia"/>
                <w:b/>
              </w:rPr>
              <w:t>4、</w:t>
            </w:r>
            <w:r>
              <w:rPr>
                <w:b/>
              </w:rPr>
              <w:t>环境噪声：</w:t>
            </w:r>
            <w:r>
              <w:rPr>
                <w:szCs w:val="24"/>
              </w:rPr>
              <w:t>根据《声环境质量标准》（GB3096-2008）和《环境影响评价技术导则 声环境》（HJ2.4-2009）规定，本</w:t>
            </w:r>
            <w:r>
              <w:rPr>
                <w:rFonts w:hint="eastAsia"/>
                <w:szCs w:val="24"/>
              </w:rPr>
              <w:t>项目周边村庄</w:t>
            </w:r>
            <w:r>
              <w:rPr>
                <w:szCs w:val="24"/>
              </w:rPr>
              <w:t>属于</w:t>
            </w:r>
            <w:r>
              <w:rPr>
                <w:rFonts w:hint="eastAsia"/>
                <w:szCs w:val="24"/>
              </w:rPr>
              <w:t>1</w:t>
            </w:r>
            <w:r>
              <w:rPr>
                <w:szCs w:val="24"/>
              </w:rPr>
              <w:t>类</w:t>
            </w:r>
            <w:r>
              <w:rPr>
                <w:rFonts w:hint="eastAsia"/>
                <w:szCs w:val="24"/>
              </w:rPr>
              <w:t>声环境功能</w:t>
            </w:r>
            <w:r>
              <w:rPr>
                <w:szCs w:val="24"/>
              </w:rPr>
              <w:t>区，执行《声环境质量标准》（GB3096-2008）</w:t>
            </w:r>
            <w:r>
              <w:rPr>
                <w:rFonts w:hint="eastAsia"/>
                <w:szCs w:val="24"/>
              </w:rPr>
              <w:t>1</w:t>
            </w:r>
            <w:r>
              <w:rPr>
                <w:szCs w:val="24"/>
              </w:rPr>
              <w:t>类标准</w:t>
            </w:r>
            <w:r>
              <w:rPr>
                <w:rFonts w:hint="eastAsia"/>
                <w:szCs w:val="24"/>
              </w:rPr>
              <w:t>。</w:t>
            </w:r>
          </w:p>
          <w:p>
            <w:pPr>
              <w:ind w:firstLine="0" w:firstLineChars="0"/>
              <w:jc w:val="center"/>
              <w:rPr>
                <w:rFonts w:ascii="黑体" w:hAnsi="黑体" w:eastAsia="黑体"/>
              </w:rPr>
            </w:pPr>
            <w:r>
              <w:rPr>
                <w:rFonts w:ascii="黑体" w:hAnsi="黑体" w:eastAsia="黑体"/>
              </w:rPr>
              <w:t>表26</w:t>
            </w:r>
            <w:r>
              <w:rPr>
                <w:rFonts w:hint="eastAsia" w:ascii="黑体" w:hAnsi="黑体" w:eastAsia="黑体"/>
              </w:rPr>
              <w:t xml:space="preserve"> </w:t>
            </w:r>
            <w:r>
              <w:rPr>
                <w:rFonts w:ascii="黑体" w:hAnsi="黑体" w:eastAsia="黑体"/>
              </w:rPr>
              <w:t>《声环境质量标准》（GB3096-2008）1类声环境功能区标准</w:t>
            </w:r>
          </w:p>
          <w:tbl>
            <w:tblPr>
              <w:tblStyle w:val="7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75"/>
              <w:gridCol w:w="2189"/>
              <w:gridCol w:w="2179"/>
              <w:gridCol w:w="21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7" w:type="pct"/>
                  <w:vAlign w:val="center"/>
                </w:tcPr>
                <w:p>
                  <w:pPr>
                    <w:pStyle w:val="150"/>
                    <w:rPr>
                      <w:rFonts w:eastAsia="宋体"/>
                    </w:rPr>
                  </w:pPr>
                  <w:r>
                    <w:rPr>
                      <w:rFonts w:hAnsi="宋体" w:eastAsia="宋体"/>
                    </w:rPr>
                    <w:t>类</w:t>
                  </w:r>
                  <w:r>
                    <w:rPr>
                      <w:rFonts w:eastAsia="宋体"/>
                    </w:rPr>
                    <w:t xml:space="preserve">   </w:t>
                  </w:r>
                  <w:r>
                    <w:rPr>
                      <w:rFonts w:hAnsi="宋体" w:eastAsia="宋体"/>
                    </w:rPr>
                    <w:t>别</w:t>
                  </w:r>
                </w:p>
              </w:tc>
              <w:tc>
                <w:tcPr>
                  <w:tcW w:w="1255" w:type="pct"/>
                  <w:vAlign w:val="center"/>
                </w:tcPr>
                <w:p>
                  <w:pPr>
                    <w:pStyle w:val="150"/>
                    <w:rPr>
                      <w:rFonts w:eastAsia="宋体"/>
                    </w:rPr>
                  </w:pPr>
                  <w:r>
                    <w:rPr>
                      <w:rFonts w:hAnsi="宋体" w:eastAsia="宋体"/>
                    </w:rPr>
                    <w:t>单位</w:t>
                  </w:r>
                </w:p>
              </w:tc>
              <w:tc>
                <w:tcPr>
                  <w:tcW w:w="1249" w:type="pct"/>
                  <w:vAlign w:val="center"/>
                </w:tcPr>
                <w:p>
                  <w:pPr>
                    <w:pStyle w:val="150"/>
                    <w:rPr>
                      <w:rFonts w:eastAsia="宋体"/>
                    </w:rPr>
                  </w:pPr>
                  <w:r>
                    <w:rPr>
                      <w:rFonts w:hAnsi="宋体" w:eastAsia="宋体"/>
                    </w:rPr>
                    <w:t>昼间</w:t>
                  </w:r>
                </w:p>
              </w:tc>
              <w:tc>
                <w:tcPr>
                  <w:tcW w:w="1249" w:type="pct"/>
                  <w:vAlign w:val="center"/>
                </w:tcPr>
                <w:p>
                  <w:pPr>
                    <w:pStyle w:val="150"/>
                    <w:rPr>
                      <w:rFonts w:eastAsia="宋体"/>
                    </w:rPr>
                  </w:pPr>
                  <w:r>
                    <w:rPr>
                      <w:rFonts w:hAnsi="宋体" w:eastAsia="宋体"/>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7" w:type="pct"/>
                  <w:vAlign w:val="center"/>
                </w:tcPr>
                <w:p>
                  <w:pPr>
                    <w:pStyle w:val="150"/>
                    <w:rPr>
                      <w:rFonts w:eastAsia="宋体"/>
                    </w:rPr>
                  </w:pPr>
                  <w:r>
                    <w:rPr>
                      <w:rFonts w:hint="eastAsia" w:eastAsia="宋体"/>
                    </w:rPr>
                    <w:t>1</w:t>
                  </w:r>
                </w:p>
              </w:tc>
              <w:tc>
                <w:tcPr>
                  <w:tcW w:w="1255" w:type="pct"/>
                  <w:vAlign w:val="center"/>
                </w:tcPr>
                <w:p>
                  <w:pPr>
                    <w:pStyle w:val="150"/>
                    <w:rPr>
                      <w:rFonts w:eastAsia="宋体"/>
                    </w:rPr>
                  </w:pPr>
                  <w:r>
                    <w:rPr>
                      <w:rFonts w:eastAsia="宋体"/>
                    </w:rPr>
                    <w:t>dB(A)</w:t>
                  </w:r>
                </w:p>
              </w:tc>
              <w:tc>
                <w:tcPr>
                  <w:tcW w:w="1249" w:type="pct"/>
                  <w:vAlign w:val="center"/>
                </w:tcPr>
                <w:p>
                  <w:pPr>
                    <w:pStyle w:val="150"/>
                    <w:rPr>
                      <w:rFonts w:eastAsia="宋体"/>
                    </w:rPr>
                  </w:pPr>
                  <w:r>
                    <w:rPr>
                      <w:rFonts w:hint="eastAsia" w:eastAsia="宋体"/>
                    </w:rPr>
                    <w:t>55</w:t>
                  </w:r>
                </w:p>
              </w:tc>
              <w:tc>
                <w:tcPr>
                  <w:tcW w:w="1249" w:type="pct"/>
                  <w:vAlign w:val="center"/>
                </w:tcPr>
                <w:p>
                  <w:pPr>
                    <w:pStyle w:val="150"/>
                    <w:rPr>
                      <w:rFonts w:eastAsia="宋体"/>
                    </w:rPr>
                  </w:pPr>
                  <w:r>
                    <w:rPr>
                      <w:rFonts w:hint="eastAsia" w:eastAsia="宋体"/>
                    </w:rPr>
                    <w:t>45</w:t>
                  </w:r>
                </w:p>
              </w:tc>
            </w:tr>
          </w:tbl>
          <w:p>
            <w:pPr>
              <w:ind w:firstLine="0" w:firstLineChars="0"/>
              <w:rPr>
                <w:b/>
              </w:rPr>
            </w:pPr>
            <w:r>
              <w:rPr>
                <w:b/>
              </w:rPr>
              <w:t>5</w:t>
            </w:r>
            <w:r>
              <w:rPr>
                <w:rFonts w:hint="eastAsia"/>
                <w:b/>
              </w:rPr>
              <w:t>、土壤环境</w:t>
            </w:r>
          </w:p>
          <w:p>
            <w:pPr>
              <w:ind w:firstLine="480"/>
            </w:pPr>
            <w:r>
              <w:rPr>
                <w:rFonts w:hint="eastAsia"/>
              </w:rPr>
              <w:t>根据《土壤环境质量</w:t>
            </w:r>
            <w:r>
              <w:t xml:space="preserve"> </w:t>
            </w:r>
            <w:r>
              <w:rPr>
                <w:rFonts w:hint="eastAsia"/>
              </w:rPr>
              <w:t>建设用地土壤污染风险管控标准》（试行）中建设用地分类，本项目属于第二类用地，执行第二类用地建设用地土壤污染风险筛选值。具体标准值见下表。</w:t>
            </w:r>
          </w:p>
          <w:p>
            <w:pPr>
              <w:ind w:firstLine="0" w:firstLineChars="0"/>
              <w:jc w:val="center"/>
              <w:rPr>
                <w:rFonts w:ascii="黑体" w:hAnsi="黑体" w:eastAsia="黑体"/>
              </w:rPr>
            </w:pPr>
            <w:r>
              <w:rPr>
                <w:rFonts w:hint="eastAsia" w:ascii="黑体" w:hAnsi="黑体" w:eastAsia="黑体"/>
              </w:rPr>
              <w:t>表</w:t>
            </w:r>
            <w:r>
              <w:rPr>
                <w:rFonts w:ascii="黑体" w:hAnsi="黑体" w:eastAsia="黑体"/>
              </w:rPr>
              <w:t>27</w:t>
            </w:r>
            <w:r>
              <w:rPr>
                <w:rFonts w:hint="eastAsia" w:ascii="黑体" w:hAnsi="黑体" w:eastAsia="黑体"/>
              </w:rPr>
              <w:t xml:space="preserve"> 《土壤环境质量 建设用地土壤污染风险管控标准》第二类建设用地标准值</w:t>
            </w:r>
          </w:p>
          <w:tbl>
            <w:tblPr>
              <w:tblStyle w:val="7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9"/>
              <w:gridCol w:w="2167"/>
              <w:gridCol w:w="1165"/>
              <w:gridCol w:w="919"/>
              <w:gridCol w:w="2418"/>
              <w:gridCol w:w="11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b/>
                      <w:bCs/>
                      <w:sz w:val="21"/>
                      <w:szCs w:val="21"/>
                    </w:rPr>
                  </w:pPr>
                  <w:r>
                    <w:rPr>
                      <w:rFonts w:hint="eastAsia"/>
                      <w:b/>
                      <w:bCs/>
                      <w:sz w:val="21"/>
                      <w:szCs w:val="21"/>
                    </w:rPr>
                    <w:t>序号</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b/>
                      <w:bCs/>
                      <w:sz w:val="21"/>
                      <w:szCs w:val="21"/>
                    </w:rPr>
                  </w:pPr>
                  <w:r>
                    <w:rPr>
                      <w:rFonts w:hint="eastAsia"/>
                      <w:b/>
                      <w:bCs/>
                      <w:sz w:val="21"/>
                      <w:szCs w:val="21"/>
                    </w:rPr>
                    <w:t>污染物项目</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b/>
                      <w:bCs/>
                      <w:sz w:val="21"/>
                      <w:szCs w:val="21"/>
                    </w:rPr>
                  </w:pPr>
                  <w:r>
                    <w:rPr>
                      <w:rFonts w:hint="eastAsia"/>
                      <w:b/>
                      <w:bCs/>
                      <w:sz w:val="21"/>
                      <w:szCs w:val="21"/>
                    </w:rPr>
                    <w:t>筛选值</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b/>
                      <w:bCs/>
                      <w:sz w:val="21"/>
                      <w:szCs w:val="21"/>
                    </w:rPr>
                  </w:pPr>
                  <w:r>
                    <w:rPr>
                      <w:rFonts w:hint="eastAsia"/>
                      <w:b/>
                      <w:bCs/>
                      <w:sz w:val="21"/>
                      <w:szCs w:val="21"/>
                    </w:rPr>
                    <w:t>序号</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b/>
                      <w:bCs/>
                      <w:sz w:val="21"/>
                      <w:szCs w:val="21"/>
                    </w:rPr>
                  </w:pPr>
                  <w:r>
                    <w:rPr>
                      <w:rFonts w:hint="eastAsia"/>
                      <w:b/>
                      <w:bCs/>
                      <w:sz w:val="21"/>
                      <w:szCs w:val="21"/>
                    </w:rPr>
                    <w:t>污染物项目</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b/>
                      <w:bCs/>
                      <w:sz w:val="21"/>
                      <w:szCs w:val="21"/>
                    </w:rPr>
                  </w:pPr>
                  <w:r>
                    <w:rPr>
                      <w:rFonts w:hint="eastAsia"/>
                      <w:b/>
                      <w:bCs/>
                      <w:sz w:val="21"/>
                      <w:szCs w:val="21"/>
                    </w:rPr>
                    <w:t>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砷</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60</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24</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1,2,3-</w:t>
                  </w:r>
                  <w:r>
                    <w:rPr>
                      <w:rFonts w:hint="eastAsia"/>
                      <w:sz w:val="21"/>
                      <w:szCs w:val="21"/>
                    </w:rPr>
                    <w:t>三氯丙烷</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镉</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65</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25</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氯乙烯</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3</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铬（六价）</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5.7</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26</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苯</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4</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铜</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18000</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27</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氯苯</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5</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铅</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800</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28</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1,2-</w:t>
                  </w:r>
                  <w:r>
                    <w:rPr>
                      <w:rFonts w:hint="eastAsia"/>
                      <w:sz w:val="21"/>
                      <w:szCs w:val="21"/>
                    </w:rPr>
                    <w:t>二氯苯</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6</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汞</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38</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29</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1,4-</w:t>
                  </w:r>
                  <w:r>
                    <w:rPr>
                      <w:rFonts w:hint="eastAsia"/>
                      <w:sz w:val="21"/>
                      <w:szCs w:val="21"/>
                    </w:rPr>
                    <w:t>二氯苯</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7</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镍</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900</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30</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乙苯</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8</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四氯化碳</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2.8</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31</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苯乙烯</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9</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氯仿</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0.9</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32</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甲苯</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10</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氯甲烷</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37</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33</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间二甲苯</w:t>
                  </w:r>
                  <w:r>
                    <w:rPr>
                      <w:sz w:val="21"/>
                      <w:szCs w:val="21"/>
                    </w:rPr>
                    <w:t>+</w:t>
                  </w:r>
                  <w:r>
                    <w:rPr>
                      <w:rFonts w:hint="eastAsia"/>
                      <w:sz w:val="21"/>
                      <w:szCs w:val="21"/>
                    </w:rPr>
                    <w:t>对二甲苯</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11</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1,1-</w:t>
                  </w:r>
                  <w:r>
                    <w:rPr>
                      <w:rFonts w:hint="eastAsia"/>
                      <w:sz w:val="21"/>
                      <w:szCs w:val="21"/>
                    </w:rPr>
                    <w:t>二氯乙烷</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9</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34</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邻二甲苯</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12</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1,2-</w:t>
                  </w:r>
                  <w:r>
                    <w:rPr>
                      <w:rFonts w:hint="eastAsia"/>
                      <w:sz w:val="21"/>
                      <w:szCs w:val="21"/>
                    </w:rPr>
                    <w:t>二氯乙烷</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5</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35</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硝基苯</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13</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1,1-</w:t>
                  </w:r>
                  <w:r>
                    <w:rPr>
                      <w:rFonts w:hint="eastAsia"/>
                      <w:sz w:val="21"/>
                      <w:szCs w:val="21"/>
                    </w:rPr>
                    <w:t>二氯乙烯</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66</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36</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苯胺</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14</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顺</w:t>
                  </w:r>
                  <w:r>
                    <w:rPr>
                      <w:sz w:val="21"/>
                      <w:szCs w:val="21"/>
                    </w:rPr>
                    <w:t>-1,2-</w:t>
                  </w:r>
                  <w:r>
                    <w:rPr>
                      <w:rFonts w:hint="eastAsia"/>
                      <w:sz w:val="21"/>
                      <w:szCs w:val="21"/>
                    </w:rPr>
                    <w:t>二氯乙烯</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596</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37</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w:t>
                  </w:r>
                  <w:r>
                    <w:rPr>
                      <w:rFonts w:hint="eastAsia"/>
                      <w:sz w:val="21"/>
                      <w:szCs w:val="21"/>
                    </w:rPr>
                    <w:t>氯酚</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15</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反</w:t>
                  </w:r>
                  <w:r>
                    <w:rPr>
                      <w:sz w:val="21"/>
                      <w:szCs w:val="21"/>
                    </w:rPr>
                    <w:t>-1,2-</w:t>
                  </w:r>
                  <w:r>
                    <w:rPr>
                      <w:rFonts w:hint="eastAsia"/>
                      <w:sz w:val="21"/>
                      <w:szCs w:val="21"/>
                    </w:rPr>
                    <w:t>二氯乙烯</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54</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38</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苯并</w:t>
                  </w:r>
                  <w:r>
                    <w:rPr>
                      <w:sz w:val="21"/>
                      <w:szCs w:val="21"/>
                    </w:rPr>
                    <w:t>[a]</w:t>
                  </w:r>
                  <w:r>
                    <w:rPr>
                      <w:rFonts w:hint="eastAsia"/>
                      <w:sz w:val="21"/>
                      <w:szCs w:val="21"/>
                    </w:rPr>
                    <w:t>蒽</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16</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二氯甲烷</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616</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39</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苯并</w:t>
                  </w:r>
                  <w:r>
                    <w:rPr>
                      <w:sz w:val="21"/>
                      <w:szCs w:val="21"/>
                    </w:rPr>
                    <w:t>[a]</w:t>
                  </w:r>
                  <w:r>
                    <w:rPr>
                      <w:rFonts w:hint="eastAsia"/>
                      <w:sz w:val="21"/>
                      <w:szCs w:val="21"/>
                    </w:rPr>
                    <w:t>芘</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17</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1,2-</w:t>
                  </w:r>
                  <w:r>
                    <w:rPr>
                      <w:rFonts w:hint="eastAsia"/>
                      <w:sz w:val="21"/>
                      <w:szCs w:val="21"/>
                    </w:rPr>
                    <w:t>二氯丙烷</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5</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40</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苯并</w:t>
                  </w:r>
                  <w:r>
                    <w:rPr>
                      <w:sz w:val="21"/>
                      <w:szCs w:val="21"/>
                    </w:rPr>
                    <w:t>[b]</w:t>
                  </w:r>
                  <w:r>
                    <w:rPr>
                      <w:rFonts w:hint="eastAsia"/>
                      <w:sz w:val="21"/>
                      <w:szCs w:val="21"/>
                    </w:rPr>
                    <w:t>荧蒽</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18</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1,1,1,2-</w:t>
                  </w:r>
                  <w:r>
                    <w:rPr>
                      <w:rFonts w:hint="eastAsia"/>
                      <w:sz w:val="21"/>
                      <w:szCs w:val="21"/>
                    </w:rPr>
                    <w:t>四氯乙烷</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10</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41</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苯并</w:t>
                  </w:r>
                  <w:r>
                    <w:rPr>
                      <w:sz w:val="21"/>
                      <w:szCs w:val="21"/>
                    </w:rPr>
                    <w:t>[k]</w:t>
                  </w:r>
                  <w:r>
                    <w:rPr>
                      <w:rFonts w:hint="eastAsia"/>
                      <w:sz w:val="21"/>
                      <w:szCs w:val="21"/>
                    </w:rPr>
                    <w:t>荧蒽</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19</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1,1,2,2-</w:t>
                  </w:r>
                  <w:r>
                    <w:rPr>
                      <w:rFonts w:hint="eastAsia"/>
                      <w:sz w:val="21"/>
                      <w:szCs w:val="21"/>
                    </w:rPr>
                    <w:t>四氯乙烷</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6.8</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42</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䓛</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20</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四氯乙烯</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53</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43</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二苯并</w:t>
                  </w:r>
                  <w:r>
                    <w:rPr>
                      <w:sz w:val="21"/>
                      <w:szCs w:val="21"/>
                    </w:rPr>
                    <w:t>[a,h]</w:t>
                  </w:r>
                  <w:r>
                    <w:rPr>
                      <w:rFonts w:hint="eastAsia"/>
                      <w:sz w:val="21"/>
                      <w:szCs w:val="21"/>
                    </w:rPr>
                    <w:t>蒽</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21</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1,1,1-</w:t>
                  </w:r>
                  <w:r>
                    <w:rPr>
                      <w:rFonts w:hint="eastAsia"/>
                      <w:sz w:val="21"/>
                      <w:szCs w:val="21"/>
                    </w:rPr>
                    <w:t>三氯乙烷</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840</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44</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茚并</w:t>
                  </w:r>
                  <w:r>
                    <w:rPr>
                      <w:sz w:val="21"/>
                      <w:szCs w:val="21"/>
                    </w:rPr>
                    <w:t>[1,2,3-cd]</w:t>
                  </w:r>
                  <w:r>
                    <w:rPr>
                      <w:rFonts w:hint="eastAsia"/>
                      <w:sz w:val="21"/>
                      <w:szCs w:val="21"/>
                    </w:rPr>
                    <w:t>芘</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22</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1,1,2-</w:t>
                  </w:r>
                  <w:r>
                    <w:rPr>
                      <w:rFonts w:hint="eastAsia"/>
                      <w:sz w:val="21"/>
                      <w:szCs w:val="21"/>
                    </w:rPr>
                    <w:t>三氯乙烷</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2.8</w:t>
                  </w:r>
                </w:p>
              </w:tc>
              <w:tc>
                <w:tcPr>
                  <w:tcW w:w="5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45</w:t>
                  </w:r>
                </w:p>
              </w:tc>
              <w:tc>
                <w:tcPr>
                  <w:tcW w:w="138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萘</w:t>
                  </w:r>
                </w:p>
              </w:tc>
              <w:tc>
                <w:tcPr>
                  <w:tcW w:w="67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23</w:t>
                  </w:r>
                </w:p>
              </w:tc>
              <w:tc>
                <w:tcPr>
                  <w:tcW w:w="124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三氯乙烯</w:t>
                  </w:r>
                </w:p>
              </w:tc>
              <w:tc>
                <w:tcPr>
                  <w:tcW w:w="66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2.8</w:t>
                  </w:r>
                </w:p>
              </w:tc>
              <w:tc>
                <w:tcPr>
                  <w:tcW w:w="527"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heme="minorHAnsi" w:hAnsiTheme="minorHAnsi" w:eastAsiaTheme="minorEastAsia" w:cstheme="minorBidi"/>
                      <w:sz w:val="21"/>
                      <w:szCs w:val="22"/>
                    </w:rPr>
                  </w:pPr>
                </w:p>
              </w:tc>
              <w:tc>
                <w:tcPr>
                  <w:tcW w:w="1386"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heme="minorHAnsi" w:hAnsiTheme="minorHAnsi" w:eastAsiaTheme="minorEastAsia" w:cstheme="minorBidi"/>
                      <w:sz w:val="21"/>
                      <w:szCs w:val="22"/>
                    </w:rPr>
                  </w:pPr>
                </w:p>
              </w:tc>
              <w:tc>
                <w:tcPr>
                  <w:tcW w:w="679"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heme="minorHAnsi" w:hAnsiTheme="minorHAnsi" w:eastAsiaTheme="minorEastAsia" w:cstheme="minorBidi"/>
                      <w:sz w:val="21"/>
                      <w:szCs w:val="22"/>
                    </w:rPr>
                  </w:pPr>
                </w:p>
              </w:tc>
            </w:tr>
          </w:tbl>
          <w:p>
            <w:pPr>
              <w:ind w:firstLine="0" w:firstLineChars="0"/>
              <w:rPr>
                <w:b/>
              </w:rPr>
            </w:pPr>
          </w:p>
          <w:p>
            <w:pPr>
              <w:ind w:firstLine="0" w:firstLineChars="0"/>
              <w:rPr>
                <w:b/>
              </w:rPr>
            </w:pPr>
          </w:p>
          <w:p>
            <w:pPr>
              <w:ind w:firstLine="0" w:firstLineChars="0"/>
              <w:rPr>
                <w:b/>
              </w:rPr>
            </w:pPr>
          </w:p>
          <w:p>
            <w:pPr>
              <w:ind w:firstLine="0" w:firstLineChars="0"/>
              <w:rPr>
                <w:b/>
              </w:rPr>
            </w:pPr>
            <w:r>
              <w:rPr>
                <w:rFonts w:hint="eastAsia"/>
                <w:b/>
              </w:rPr>
              <w:t>二</w:t>
            </w:r>
            <w:r>
              <w:rPr>
                <w:b/>
              </w:rPr>
              <w:t>、污染物排放标准</w:t>
            </w:r>
          </w:p>
          <w:p>
            <w:pPr>
              <w:ind w:firstLine="0" w:firstLineChars="0"/>
              <w:rPr>
                <w:b/>
              </w:rPr>
            </w:pPr>
            <w:r>
              <w:rPr>
                <w:b/>
              </w:rPr>
              <w:t>1、大气污染物排放标准</w:t>
            </w:r>
          </w:p>
          <w:p>
            <w:pPr>
              <w:ind w:left="115" w:leftChars="48" w:firstLine="480"/>
              <w:jc w:val="left"/>
              <w:rPr>
                <w:spacing w:val="-4"/>
              </w:rPr>
            </w:pPr>
            <w:r>
              <w:rPr>
                <w:rFonts w:hint="eastAsia"/>
                <w:color w:val="000000"/>
              </w:rPr>
              <w:t>尾矿石破碎、粉磨系统粉尘以及无组织粉尘排放执行《大气污染物综合排放标准》（</w:t>
            </w:r>
            <w:r>
              <w:rPr>
                <w:color w:val="000000"/>
              </w:rPr>
              <w:t>GB16297-1996</w:t>
            </w:r>
            <w:r>
              <w:rPr>
                <w:rFonts w:hint="eastAsia"/>
                <w:color w:val="000000"/>
              </w:rPr>
              <w:t>）表</w:t>
            </w:r>
            <w:r>
              <w:rPr>
                <w:color w:val="000000"/>
              </w:rPr>
              <w:t>2</w:t>
            </w:r>
            <w:r>
              <w:rPr>
                <w:rFonts w:hint="eastAsia"/>
                <w:color w:val="000000"/>
              </w:rPr>
              <w:t>中二级标准。</w:t>
            </w:r>
          </w:p>
          <w:p>
            <w:pPr>
              <w:ind w:firstLine="0" w:firstLineChars="0"/>
              <w:jc w:val="center"/>
              <w:rPr>
                <w:rFonts w:ascii="黑体" w:hAnsi="黑体" w:eastAsia="黑体"/>
              </w:rPr>
            </w:pPr>
            <w:r>
              <w:rPr>
                <w:rFonts w:hint="eastAsia" w:ascii="黑体" w:hAnsi="黑体" w:eastAsia="黑体"/>
              </w:rPr>
              <w:t>表</w:t>
            </w:r>
            <w:r>
              <w:rPr>
                <w:rFonts w:ascii="黑体" w:hAnsi="黑体" w:eastAsia="黑体"/>
              </w:rPr>
              <w:t>28</w:t>
            </w:r>
            <w:r>
              <w:rPr>
                <w:rFonts w:hint="eastAsia" w:ascii="黑体" w:hAnsi="黑体" w:eastAsia="黑体"/>
              </w:rPr>
              <w:t xml:space="preserve"> </w:t>
            </w:r>
            <w:r>
              <w:rPr>
                <w:rFonts w:ascii="黑体" w:hAnsi="黑体" w:eastAsia="黑体"/>
              </w:rPr>
              <w:t xml:space="preserve"> 《大气污染物综合排放标准》（GB16297-1996）二级标准</w:t>
            </w:r>
          </w:p>
          <w:tbl>
            <w:tblPr>
              <w:tblStyle w:val="7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3"/>
              <w:gridCol w:w="1896"/>
              <w:gridCol w:w="2196"/>
              <w:gridCol w:w="1157"/>
              <w:gridCol w:w="1172"/>
              <w:gridCol w:w="1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1" w:type="pct"/>
                  <w:vMerge w:val="restart"/>
                  <w:vAlign w:val="center"/>
                </w:tcPr>
                <w:p>
                  <w:pPr>
                    <w:pStyle w:val="142"/>
                    <w:rPr>
                      <w:kern w:val="0"/>
                    </w:rPr>
                  </w:pPr>
                  <w:r>
                    <w:rPr>
                      <w:kern w:val="0"/>
                    </w:rPr>
                    <w:t>污染物</w:t>
                  </w:r>
                </w:p>
              </w:tc>
              <w:tc>
                <w:tcPr>
                  <w:tcW w:w="1087" w:type="pct"/>
                  <w:vMerge w:val="restart"/>
                  <w:vAlign w:val="center"/>
                </w:tcPr>
                <w:p>
                  <w:pPr>
                    <w:pStyle w:val="142"/>
                    <w:rPr>
                      <w:kern w:val="0"/>
                    </w:rPr>
                  </w:pPr>
                  <w:r>
                    <w:rPr>
                      <w:kern w:val="0"/>
                    </w:rPr>
                    <w:t>最高允许</w:t>
                  </w:r>
                </w:p>
                <w:p>
                  <w:pPr>
                    <w:pStyle w:val="142"/>
                    <w:rPr>
                      <w:kern w:val="0"/>
                    </w:rPr>
                  </w:pPr>
                  <w:r>
                    <w:rPr>
                      <w:kern w:val="0"/>
                    </w:rPr>
                    <w:t>排放浓度(mg/m</w:t>
                  </w:r>
                  <w:r>
                    <w:rPr>
                      <w:kern w:val="0"/>
                      <w:vertAlign w:val="superscript"/>
                    </w:rPr>
                    <w:t>3</w:t>
                  </w:r>
                  <w:r>
                    <w:rPr>
                      <w:kern w:val="0"/>
                    </w:rPr>
                    <w:t>)</w:t>
                  </w:r>
                </w:p>
              </w:tc>
              <w:tc>
                <w:tcPr>
                  <w:tcW w:w="1922" w:type="pct"/>
                  <w:gridSpan w:val="2"/>
                  <w:vAlign w:val="center"/>
                </w:tcPr>
                <w:p>
                  <w:pPr>
                    <w:pStyle w:val="142"/>
                    <w:rPr>
                      <w:kern w:val="0"/>
                    </w:rPr>
                  </w:pPr>
                  <w:r>
                    <w:rPr>
                      <w:kern w:val="0"/>
                    </w:rPr>
                    <w:t>最高允许排放速率（kg/h）</w:t>
                  </w:r>
                </w:p>
              </w:tc>
              <w:tc>
                <w:tcPr>
                  <w:tcW w:w="1330" w:type="pct"/>
                  <w:gridSpan w:val="2"/>
                  <w:vMerge w:val="restart"/>
                  <w:vAlign w:val="center"/>
                </w:tcPr>
                <w:p>
                  <w:pPr>
                    <w:pStyle w:val="142"/>
                    <w:rPr>
                      <w:kern w:val="0"/>
                    </w:rPr>
                  </w:pPr>
                  <w:r>
                    <w:rPr>
                      <w:kern w:val="0"/>
                    </w:rPr>
                    <w:t>无组织排放监控浓度限值浓度(mg/m</w:t>
                  </w:r>
                  <w:r>
                    <w:rPr>
                      <w:kern w:val="0"/>
                      <w:vertAlign w:val="superscript"/>
                    </w:rPr>
                    <w:t>3</w:t>
                  </w:r>
                  <w:r>
                    <w:rPr>
                      <w:kern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1" w:type="pct"/>
                  <w:vMerge w:val="continue"/>
                  <w:vAlign w:val="center"/>
                </w:tcPr>
                <w:p>
                  <w:pPr>
                    <w:pStyle w:val="142"/>
                    <w:rPr>
                      <w:kern w:val="0"/>
                    </w:rPr>
                  </w:pPr>
                </w:p>
              </w:tc>
              <w:tc>
                <w:tcPr>
                  <w:tcW w:w="1087" w:type="pct"/>
                  <w:vMerge w:val="continue"/>
                  <w:vAlign w:val="center"/>
                </w:tcPr>
                <w:p>
                  <w:pPr>
                    <w:pStyle w:val="142"/>
                    <w:rPr>
                      <w:kern w:val="0"/>
                    </w:rPr>
                  </w:pPr>
                </w:p>
              </w:tc>
              <w:tc>
                <w:tcPr>
                  <w:tcW w:w="1259" w:type="pct"/>
                  <w:vAlign w:val="center"/>
                </w:tcPr>
                <w:p>
                  <w:pPr>
                    <w:pStyle w:val="142"/>
                    <w:rPr>
                      <w:kern w:val="0"/>
                    </w:rPr>
                  </w:pPr>
                  <w:r>
                    <w:rPr>
                      <w:kern w:val="0"/>
                    </w:rPr>
                    <w:t>排气筒高度(</w:t>
                  </w:r>
                  <w:r>
                    <w:rPr>
                      <w:rFonts w:hint="eastAsia"/>
                      <w:kern w:val="0"/>
                    </w:rPr>
                    <w:t>m</w:t>
                  </w:r>
                  <w:r>
                    <w:rPr>
                      <w:kern w:val="0"/>
                    </w:rPr>
                    <w:t>)</w:t>
                  </w:r>
                </w:p>
              </w:tc>
              <w:tc>
                <w:tcPr>
                  <w:tcW w:w="663" w:type="pct"/>
                  <w:vAlign w:val="center"/>
                </w:tcPr>
                <w:p>
                  <w:pPr>
                    <w:pStyle w:val="142"/>
                    <w:rPr>
                      <w:kern w:val="0"/>
                    </w:rPr>
                  </w:pPr>
                  <w:r>
                    <w:rPr>
                      <w:kern w:val="0"/>
                    </w:rPr>
                    <w:t>二级</w:t>
                  </w:r>
                </w:p>
              </w:tc>
              <w:tc>
                <w:tcPr>
                  <w:tcW w:w="1330" w:type="pct"/>
                  <w:gridSpan w:val="2"/>
                  <w:vMerge w:val="continue"/>
                  <w:vAlign w:val="center"/>
                </w:tcPr>
                <w:p>
                  <w:pPr>
                    <w:pStyle w:val="142"/>
                    <w:rPr>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1" w:type="pct"/>
                  <w:vMerge w:val="restart"/>
                  <w:vAlign w:val="center"/>
                </w:tcPr>
                <w:p>
                  <w:pPr>
                    <w:pStyle w:val="142"/>
                    <w:rPr>
                      <w:kern w:val="0"/>
                    </w:rPr>
                  </w:pPr>
                  <w:r>
                    <w:rPr>
                      <w:rFonts w:hint="eastAsia"/>
                      <w:spacing w:val="-4"/>
                    </w:rPr>
                    <w:t>颗粒物</w:t>
                  </w:r>
                </w:p>
              </w:tc>
              <w:tc>
                <w:tcPr>
                  <w:tcW w:w="1087" w:type="pct"/>
                  <w:vMerge w:val="restart"/>
                  <w:vAlign w:val="center"/>
                </w:tcPr>
                <w:p>
                  <w:pPr>
                    <w:pStyle w:val="142"/>
                    <w:rPr>
                      <w:kern w:val="0"/>
                    </w:rPr>
                  </w:pPr>
                  <w:r>
                    <w:rPr>
                      <w:rFonts w:hint="eastAsia"/>
                      <w:kern w:val="0"/>
                    </w:rPr>
                    <w:t>120</w:t>
                  </w:r>
                </w:p>
              </w:tc>
              <w:tc>
                <w:tcPr>
                  <w:tcW w:w="1259" w:type="pct"/>
                  <w:vAlign w:val="center"/>
                </w:tcPr>
                <w:p>
                  <w:pPr>
                    <w:pStyle w:val="142"/>
                    <w:rPr>
                      <w:kern w:val="0"/>
                    </w:rPr>
                  </w:pPr>
                  <w:r>
                    <w:rPr>
                      <w:kern w:val="0"/>
                    </w:rPr>
                    <w:t>15</w:t>
                  </w:r>
                </w:p>
              </w:tc>
              <w:tc>
                <w:tcPr>
                  <w:tcW w:w="663" w:type="pct"/>
                  <w:vAlign w:val="center"/>
                </w:tcPr>
                <w:p>
                  <w:pPr>
                    <w:pStyle w:val="142"/>
                    <w:rPr>
                      <w:kern w:val="0"/>
                    </w:rPr>
                  </w:pPr>
                  <w:r>
                    <w:rPr>
                      <w:rFonts w:hint="eastAsia"/>
                      <w:kern w:val="0"/>
                    </w:rPr>
                    <w:t>3.5</w:t>
                  </w:r>
                </w:p>
              </w:tc>
              <w:tc>
                <w:tcPr>
                  <w:tcW w:w="672" w:type="pct"/>
                  <w:vMerge w:val="restart"/>
                  <w:vAlign w:val="center"/>
                </w:tcPr>
                <w:p>
                  <w:pPr>
                    <w:pStyle w:val="142"/>
                  </w:pPr>
                  <w:r>
                    <w:t>周界外浓度最高点</w:t>
                  </w:r>
                </w:p>
              </w:tc>
              <w:tc>
                <w:tcPr>
                  <w:tcW w:w="658" w:type="pct"/>
                  <w:vMerge w:val="restart"/>
                  <w:vAlign w:val="center"/>
                </w:tcPr>
                <w:p>
                  <w:pPr>
                    <w:pStyle w:val="142"/>
                  </w:pPr>
                  <w:r>
                    <w:rPr>
                      <w:rFonts w:hint="eastAsi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1" w:type="pct"/>
                  <w:vMerge w:val="continue"/>
                  <w:vAlign w:val="center"/>
                </w:tcPr>
                <w:p>
                  <w:pPr>
                    <w:pStyle w:val="142"/>
                    <w:rPr>
                      <w:kern w:val="0"/>
                    </w:rPr>
                  </w:pPr>
                </w:p>
              </w:tc>
              <w:tc>
                <w:tcPr>
                  <w:tcW w:w="1087" w:type="pct"/>
                  <w:vMerge w:val="continue"/>
                  <w:vAlign w:val="center"/>
                </w:tcPr>
                <w:p>
                  <w:pPr>
                    <w:pStyle w:val="142"/>
                    <w:rPr>
                      <w:kern w:val="0"/>
                    </w:rPr>
                  </w:pPr>
                </w:p>
              </w:tc>
              <w:tc>
                <w:tcPr>
                  <w:tcW w:w="1259" w:type="pct"/>
                  <w:vAlign w:val="center"/>
                </w:tcPr>
                <w:p>
                  <w:pPr>
                    <w:pStyle w:val="142"/>
                    <w:rPr>
                      <w:kern w:val="0"/>
                    </w:rPr>
                  </w:pPr>
                  <w:r>
                    <w:rPr>
                      <w:kern w:val="0"/>
                    </w:rPr>
                    <w:t>20</w:t>
                  </w:r>
                </w:p>
              </w:tc>
              <w:tc>
                <w:tcPr>
                  <w:tcW w:w="663" w:type="pct"/>
                  <w:vAlign w:val="center"/>
                </w:tcPr>
                <w:p>
                  <w:pPr>
                    <w:pStyle w:val="142"/>
                    <w:rPr>
                      <w:kern w:val="0"/>
                    </w:rPr>
                  </w:pPr>
                  <w:r>
                    <w:rPr>
                      <w:rFonts w:hint="eastAsia"/>
                      <w:kern w:val="0"/>
                    </w:rPr>
                    <w:t>5.9</w:t>
                  </w:r>
                </w:p>
              </w:tc>
              <w:tc>
                <w:tcPr>
                  <w:tcW w:w="672" w:type="pct"/>
                  <w:vMerge w:val="continue"/>
                  <w:vAlign w:val="center"/>
                </w:tcPr>
                <w:p>
                  <w:pPr>
                    <w:pStyle w:val="142"/>
                    <w:rPr>
                      <w:kern w:val="0"/>
                    </w:rPr>
                  </w:pPr>
                </w:p>
              </w:tc>
              <w:tc>
                <w:tcPr>
                  <w:tcW w:w="658" w:type="pct"/>
                  <w:vMerge w:val="continue"/>
                  <w:vAlign w:val="center"/>
                </w:tcPr>
                <w:p>
                  <w:pPr>
                    <w:pStyle w:val="142"/>
                    <w:rPr>
                      <w:kern w:val="0"/>
                    </w:rPr>
                  </w:pPr>
                </w:p>
              </w:tc>
            </w:tr>
          </w:tbl>
          <w:p>
            <w:pPr>
              <w:ind w:firstLine="0" w:firstLineChars="0"/>
              <w:rPr>
                <w:b/>
              </w:rPr>
            </w:pPr>
            <w:r>
              <w:rPr>
                <w:b/>
              </w:rPr>
              <w:t>2、噪声排放标准</w:t>
            </w:r>
          </w:p>
          <w:p>
            <w:pPr>
              <w:ind w:firstLine="480"/>
            </w:pPr>
            <w:r>
              <w:rPr>
                <w:rFonts w:hint="eastAsia"/>
              </w:rPr>
              <w:t>施工期</w:t>
            </w:r>
            <w:r>
              <w:t>厂界噪声执行《</w:t>
            </w:r>
            <w:r>
              <w:rPr>
                <w:rFonts w:hint="eastAsia"/>
              </w:rPr>
              <w:t>建筑施工</w:t>
            </w:r>
            <w:r>
              <w:t>厂界环境噪声排放标准》（GB12</w:t>
            </w:r>
            <w:r>
              <w:rPr>
                <w:rFonts w:hint="eastAsia"/>
              </w:rPr>
              <w:t>523</w:t>
            </w:r>
            <w:r>
              <w:t>-20</w:t>
            </w:r>
            <w:r>
              <w:rPr>
                <w:rFonts w:hint="eastAsia"/>
              </w:rPr>
              <w:t>11</w:t>
            </w:r>
            <w:r>
              <w:t>）</w:t>
            </w:r>
            <w:r>
              <w:rPr>
                <w:rFonts w:hint="eastAsia"/>
              </w:rPr>
              <w:t>排放限值要求；项目运营期执行《工业企业厂界环境噪声排放标准》（</w:t>
            </w:r>
            <w:r>
              <w:t>GB12</w:t>
            </w:r>
            <w:r>
              <w:rPr>
                <w:rFonts w:hint="eastAsia"/>
              </w:rPr>
              <w:t>348</w:t>
            </w:r>
            <w:r>
              <w:t>-20</w:t>
            </w:r>
            <w:r>
              <w:rPr>
                <w:rFonts w:hint="eastAsia"/>
              </w:rPr>
              <w:t>08）</w:t>
            </w:r>
            <w:r>
              <w:t>2</w:t>
            </w:r>
            <w:r>
              <w:rPr>
                <w:rFonts w:hint="eastAsia"/>
              </w:rPr>
              <w:t>类声功能区标准。</w:t>
            </w:r>
          </w:p>
          <w:p>
            <w:pPr>
              <w:ind w:firstLine="0" w:firstLineChars="0"/>
              <w:jc w:val="center"/>
              <w:rPr>
                <w:rFonts w:ascii="黑体" w:hAnsi="黑体" w:eastAsia="黑体"/>
              </w:rPr>
            </w:pPr>
            <w:r>
              <w:rPr>
                <w:rFonts w:hint="eastAsia" w:ascii="黑体" w:hAnsi="黑体" w:eastAsia="黑体"/>
              </w:rPr>
              <w:t>表</w:t>
            </w:r>
            <w:r>
              <w:rPr>
                <w:rFonts w:ascii="黑体" w:hAnsi="黑体" w:eastAsia="黑体"/>
              </w:rPr>
              <w:t>29</w:t>
            </w:r>
            <w:r>
              <w:rPr>
                <w:rFonts w:hint="eastAsia" w:ascii="黑体" w:hAnsi="黑体" w:eastAsia="黑体"/>
              </w:rPr>
              <w:t xml:space="preserve">  建筑施工</w:t>
            </w:r>
            <w:r>
              <w:rPr>
                <w:rFonts w:ascii="黑体" w:hAnsi="黑体" w:eastAsia="黑体"/>
              </w:rPr>
              <w:t>厂界噪声</w:t>
            </w:r>
            <w:r>
              <w:rPr>
                <w:rFonts w:hint="eastAsia" w:ascii="黑体" w:hAnsi="黑体" w:eastAsia="黑体"/>
              </w:rPr>
              <w:t>限值 单位dB(A)</w:t>
            </w:r>
          </w:p>
          <w:tbl>
            <w:tblPr>
              <w:tblStyle w:val="70"/>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4316"/>
              <w:gridCol w:w="4406"/>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4" w:type="pct"/>
                  <w:vAlign w:val="center"/>
                </w:tcPr>
                <w:p>
                  <w:pPr>
                    <w:pStyle w:val="187"/>
                    <w:ind w:firstLine="420"/>
                    <w:rPr>
                      <w:sz w:val="21"/>
                      <w:szCs w:val="21"/>
                    </w:rPr>
                  </w:pPr>
                  <w:r>
                    <w:rPr>
                      <w:sz w:val="21"/>
                      <w:szCs w:val="21"/>
                    </w:rPr>
                    <w:t>昼</w:t>
                  </w:r>
                  <w:r>
                    <w:rPr>
                      <w:rFonts w:hint="eastAsia"/>
                      <w:sz w:val="21"/>
                      <w:szCs w:val="21"/>
                    </w:rPr>
                    <w:t>间</w:t>
                  </w:r>
                </w:p>
              </w:tc>
              <w:tc>
                <w:tcPr>
                  <w:tcW w:w="2526" w:type="pct"/>
                  <w:vAlign w:val="center"/>
                </w:tcPr>
                <w:p>
                  <w:pPr>
                    <w:pStyle w:val="187"/>
                    <w:ind w:firstLine="420"/>
                    <w:rPr>
                      <w:sz w:val="21"/>
                      <w:szCs w:val="21"/>
                    </w:rPr>
                  </w:pPr>
                  <w:r>
                    <w:rPr>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4" w:type="pct"/>
                  <w:vAlign w:val="center"/>
                </w:tcPr>
                <w:p>
                  <w:pPr>
                    <w:pStyle w:val="187"/>
                    <w:ind w:firstLine="420"/>
                    <w:rPr>
                      <w:sz w:val="21"/>
                      <w:szCs w:val="21"/>
                    </w:rPr>
                  </w:pPr>
                  <w:r>
                    <w:rPr>
                      <w:rFonts w:hint="eastAsia"/>
                      <w:sz w:val="21"/>
                      <w:szCs w:val="21"/>
                    </w:rPr>
                    <w:t>70</w:t>
                  </w:r>
                </w:p>
              </w:tc>
              <w:tc>
                <w:tcPr>
                  <w:tcW w:w="2526" w:type="pct"/>
                  <w:vAlign w:val="center"/>
                </w:tcPr>
                <w:p>
                  <w:pPr>
                    <w:pStyle w:val="187"/>
                    <w:ind w:firstLine="420"/>
                    <w:rPr>
                      <w:sz w:val="21"/>
                      <w:szCs w:val="21"/>
                    </w:rPr>
                  </w:pPr>
                  <w:r>
                    <w:rPr>
                      <w:rFonts w:hint="eastAsia"/>
                      <w:sz w:val="21"/>
                      <w:szCs w:val="21"/>
                    </w:rPr>
                    <w:t>55</w:t>
                  </w:r>
                </w:p>
              </w:tc>
            </w:tr>
          </w:tbl>
          <w:p>
            <w:pPr>
              <w:ind w:firstLine="0" w:firstLineChars="0"/>
              <w:jc w:val="center"/>
              <w:rPr>
                <w:rFonts w:ascii="黑体" w:hAnsi="黑体" w:eastAsia="黑体"/>
              </w:rPr>
            </w:pPr>
            <w:r>
              <w:rPr>
                <w:rFonts w:hint="eastAsia" w:ascii="黑体" w:hAnsi="黑体" w:eastAsia="黑体"/>
              </w:rPr>
              <w:t>表</w:t>
            </w:r>
            <w:r>
              <w:rPr>
                <w:rFonts w:ascii="黑体" w:hAnsi="黑体" w:eastAsia="黑体"/>
              </w:rPr>
              <w:t>30</w:t>
            </w:r>
            <w:r>
              <w:rPr>
                <w:rFonts w:hint="eastAsia" w:ascii="黑体" w:hAnsi="黑体" w:eastAsia="黑体"/>
              </w:rPr>
              <w:t xml:space="preserve">  工业企业厂界环境噪声排放限值  单位dB(A)</w:t>
            </w:r>
          </w:p>
          <w:tbl>
            <w:tblPr>
              <w:tblStyle w:val="70"/>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2906"/>
              <w:gridCol w:w="2908"/>
              <w:gridCol w:w="290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66" w:type="pct"/>
                  <w:vMerge w:val="restart"/>
                  <w:vAlign w:val="center"/>
                </w:tcPr>
                <w:p>
                  <w:pPr>
                    <w:pStyle w:val="187"/>
                    <w:ind w:firstLine="420"/>
                    <w:rPr>
                      <w:sz w:val="21"/>
                      <w:szCs w:val="21"/>
                    </w:rPr>
                  </w:pPr>
                  <w:r>
                    <w:rPr>
                      <w:rFonts w:hint="eastAsia"/>
                      <w:sz w:val="21"/>
                      <w:szCs w:val="21"/>
                    </w:rPr>
                    <w:t>厂界外声环境功能区类别</w:t>
                  </w:r>
                </w:p>
              </w:tc>
              <w:tc>
                <w:tcPr>
                  <w:tcW w:w="3334" w:type="pct"/>
                  <w:gridSpan w:val="2"/>
                  <w:vAlign w:val="center"/>
                </w:tcPr>
                <w:p>
                  <w:pPr>
                    <w:pStyle w:val="187"/>
                    <w:ind w:firstLine="420"/>
                    <w:rPr>
                      <w:sz w:val="21"/>
                      <w:szCs w:val="21"/>
                    </w:rPr>
                  </w:pPr>
                  <w:r>
                    <w:rPr>
                      <w:rFonts w:hint="eastAsia"/>
                      <w:sz w:val="21"/>
                      <w:szCs w:val="21"/>
                    </w:rPr>
                    <w:t>时    段</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66" w:type="pct"/>
                  <w:vMerge w:val="continue"/>
                  <w:vAlign w:val="center"/>
                </w:tcPr>
                <w:p>
                  <w:pPr>
                    <w:pStyle w:val="187"/>
                    <w:ind w:firstLine="420"/>
                    <w:rPr>
                      <w:sz w:val="21"/>
                      <w:szCs w:val="21"/>
                    </w:rPr>
                  </w:pPr>
                </w:p>
              </w:tc>
              <w:tc>
                <w:tcPr>
                  <w:tcW w:w="1667" w:type="pct"/>
                  <w:vAlign w:val="center"/>
                </w:tcPr>
                <w:p>
                  <w:pPr>
                    <w:pStyle w:val="187"/>
                    <w:ind w:firstLine="420"/>
                    <w:rPr>
                      <w:sz w:val="21"/>
                      <w:szCs w:val="21"/>
                    </w:rPr>
                  </w:pPr>
                  <w:r>
                    <w:rPr>
                      <w:rFonts w:hint="eastAsia"/>
                      <w:sz w:val="21"/>
                      <w:szCs w:val="21"/>
                    </w:rPr>
                    <w:t>昼间</w:t>
                  </w:r>
                </w:p>
              </w:tc>
              <w:tc>
                <w:tcPr>
                  <w:tcW w:w="1667" w:type="pct"/>
                  <w:vAlign w:val="center"/>
                </w:tcPr>
                <w:p>
                  <w:pPr>
                    <w:pStyle w:val="187"/>
                    <w:ind w:firstLine="420"/>
                    <w:rPr>
                      <w:sz w:val="21"/>
                      <w:szCs w:val="21"/>
                    </w:rPr>
                  </w:pPr>
                  <w:r>
                    <w:rPr>
                      <w:rFonts w:hint="eastAsia"/>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66" w:type="pct"/>
                  <w:vAlign w:val="center"/>
                </w:tcPr>
                <w:p>
                  <w:pPr>
                    <w:pStyle w:val="187"/>
                    <w:ind w:firstLine="420"/>
                    <w:rPr>
                      <w:sz w:val="21"/>
                      <w:szCs w:val="21"/>
                    </w:rPr>
                  </w:pPr>
                  <w:r>
                    <w:rPr>
                      <w:sz w:val="21"/>
                      <w:szCs w:val="21"/>
                    </w:rPr>
                    <w:t>2</w:t>
                  </w:r>
                </w:p>
              </w:tc>
              <w:tc>
                <w:tcPr>
                  <w:tcW w:w="1667" w:type="pct"/>
                  <w:vAlign w:val="center"/>
                </w:tcPr>
                <w:p>
                  <w:pPr>
                    <w:pStyle w:val="187"/>
                    <w:ind w:firstLine="420"/>
                    <w:rPr>
                      <w:sz w:val="21"/>
                      <w:szCs w:val="21"/>
                    </w:rPr>
                  </w:pPr>
                  <w:r>
                    <w:rPr>
                      <w:sz w:val="21"/>
                      <w:szCs w:val="21"/>
                    </w:rPr>
                    <w:t>60</w:t>
                  </w:r>
                </w:p>
              </w:tc>
              <w:tc>
                <w:tcPr>
                  <w:tcW w:w="1667" w:type="pct"/>
                  <w:vAlign w:val="center"/>
                </w:tcPr>
                <w:p>
                  <w:pPr>
                    <w:pStyle w:val="187"/>
                    <w:ind w:firstLine="420"/>
                    <w:rPr>
                      <w:sz w:val="21"/>
                      <w:szCs w:val="21"/>
                    </w:rPr>
                  </w:pPr>
                  <w:r>
                    <w:rPr>
                      <w:sz w:val="21"/>
                      <w:szCs w:val="21"/>
                    </w:rPr>
                    <w:t>50</w:t>
                  </w:r>
                </w:p>
              </w:tc>
            </w:tr>
          </w:tbl>
          <w:p>
            <w:pPr>
              <w:ind w:firstLine="0" w:firstLineChars="0"/>
            </w:pPr>
            <w:r>
              <w:rPr>
                <w:rFonts w:hint="eastAsia"/>
                <w:b/>
              </w:rPr>
              <w:t>3、</w:t>
            </w:r>
            <w:r>
              <w:rPr>
                <w:b/>
              </w:rPr>
              <w:t>固体废物：</w:t>
            </w:r>
            <w:r>
              <w:rPr>
                <w:rFonts w:hint="eastAsia"/>
              </w:rPr>
              <w:t>一般固体废物执行《一般工业废物储存、处置场污染控制标准》（GB18599-2001）及2013年修改单。危险废物暂存参照执行《危险废物贮存污染控制标准》（GB18597-2001）及其2013年修改单。</w:t>
            </w:r>
          </w:p>
          <w:p>
            <w:pPr>
              <w:pStyle w:val="172"/>
              <w:ind w:firstLine="0"/>
              <w:rPr>
                <w:rFonts w:ascii="Times New Roman" w:hAnsi="Times New Roman" w:eastAsia="宋体"/>
                <w:b/>
              </w:rPr>
            </w:pPr>
            <w:r>
              <w:rPr>
                <w:rFonts w:ascii="Times New Roman" w:hAnsi="宋体" w:eastAsia="宋体"/>
                <w:b/>
              </w:rPr>
              <w:t>三、总量控制指标</w:t>
            </w:r>
          </w:p>
          <w:p>
            <w:pPr>
              <w:ind w:firstLine="480"/>
              <w:rPr>
                <w:rFonts w:ascii="宋体" w:hAnsi="宋体"/>
              </w:rPr>
            </w:pPr>
            <w:r>
              <w:rPr>
                <w:rFonts w:hint="eastAsia" w:ascii="宋体" w:hAnsi="宋体"/>
              </w:rPr>
              <w:t>根据</w:t>
            </w:r>
            <w:r>
              <w:rPr>
                <w:rFonts w:hAnsi="宋体"/>
              </w:rPr>
              <w:t>《</w:t>
            </w:r>
            <w:r>
              <w:rPr>
                <w:rFonts w:hint="eastAsia" w:hAnsi="宋体"/>
              </w:rPr>
              <w:t>山西省环保厅建设项目主要污染物排放总量核定办法</w:t>
            </w:r>
            <w:r>
              <w:rPr>
                <w:rFonts w:hint="eastAsia" w:ascii="宋体" w:hAnsi="宋体"/>
              </w:rPr>
              <w:t>》</w:t>
            </w:r>
            <w:r>
              <w:t>(</w:t>
            </w:r>
            <w:r>
              <w:rPr>
                <w:rFonts w:hAnsi="宋体"/>
              </w:rPr>
              <w:t>晋环发</w:t>
            </w:r>
            <w:r>
              <w:t>[201</w:t>
            </w:r>
            <w:r>
              <w:rPr>
                <w:rFonts w:hint="eastAsia"/>
              </w:rPr>
              <w:t>5</w:t>
            </w:r>
            <w:r>
              <w:t>]</w:t>
            </w:r>
            <w:r>
              <w:rPr>
                <w:rFonts w:hint="eastAsia"/>
              </w:rPr>
              <w:t>25</w:t>
            </w:r>
            <w:r>
              <w:rPr>
                <w:rFonts w:hAnsi="宋体"/>
              </w:rPr>
              <w:t>号文</w:t>
            </w:r>
            <w:r>
              <w:t>)</w:t>
            </w:r>
            <w:r>
              <w:rPr>
                <w:rFonts w:hint="eastAsia"/>
              </w:rPr>
              <w:t>文件，我省实施总量控制的主要污染因子为：二氧化硫、氮氧化物、烟尘、工业粉尘、化学需氧量、氨氮。</w:t>
            </w:r>
          </w:p>
          <w:p>
            <w:pPr>
              <w:ind w:firstLine="480"/>
            </w:pPr>
            <w:r>
              <w:rPr>
                <w:rFonts w:hint="eastAsia" w:hAnsi="宋体"/>
              </w:rPr>
              <w:t>根据工程分析，</w:t>
            </w:r>
            <w:r>
              <w:rPr>
                <w:rFonts w:hint="eastAsia"/>
              </w:rPr>
              <w:t>本项目</w:t>
            </w:r>
            <w:r>
              <w:rPr>
                <w:rFonts w:hint="eastAsia" w:hAnsi="宋体"/>
              </w:rPr>
              <w:t>主要污染物排放总量控制指标</w:t>
            </w:r>
            <w:r>
              <w:rPr>
                <w:rFonts w:hint="eastAsia"/>
              </w:rPr>
              <w:t>为：工业粉尘</w:t>
            </w:r>
            <w:r>
              <w:t>2.88</w:t>
            </w:r>
            <w:r>
              <w:rPr>
                <w:rFonts w:hint="eastAsia"/>
              </w:rPr>
              <w:t>t/a</w:t>
            </w:r>
            <w:r>
              <w:rPr>
                <w:rFonts w:hint="eastAsia" w:hAnsi="宋体"/>
              </w:rPr>
              <w:t>。</w:t>
            </w:r>
          </w:p>
          <w:p>
            <w:pPr>
              <w:ind w:firstLine="480"/>
              <w:rPr>
                <w:rFonts w:hAnsi="宋体"/>
                <w:szCs w:val="24"/>
              </w:rPr>
            </w:pPr>
            <w:r>
              <w:t>2020</w:t>
            </w:r>
            <w:r>
              <w:rPr>
                <w:rFonts w:hint="eastAsia"/>
              </w:rPr>
              <w:t>年</w:t>
            </w:r>
            <w:r>
              <w:t>10</w:t>
            </w:r>
            <w:r>
              <w:rPr>
                <w:rFonts w:hint="eastAsia"/>
              </w:rPr>
              <w:t>月</w:t>
            </w:r>
            <w:r>
              <w:t>22</w:t>
            </w:r>
            <w:r>
              <w:rPr>
                <w:rFonts w:hint="eastAsia"/>
              </w:rPr>
              <w:t>日，</w:t>
            </w:r>
            <w:r>
              <w:rPr>
                <w:rFonts w:hint="eastAsia" w:hAnsi="宋体"/>
                <w:szCs w:val="24"/>
              </w:rPr>
              <w:t>吕梁市生态环境局交城分局以交环总量[</w:t>
            </w:r>
            <w:r>
              <w:rPr>
                <w:rFonts w:hAnsi="宋体"/>
                <w:szCs w:val="24"/>
              </w:rPr>
              <w:t>2020]46</w:t>
            </w:r>
            <w:r>
              <w:rPr>
                <w:rFonts w:hint="eastAsia" w:hAnsi="宋体"/>
                <w:szCs w:val="24"/>
              </w:rPr>
              <w:t>号文对项目污染物排放总量控制指标予以核定。</w:t>
            </w:r>
          </w:p>
          <w:p>
            <w:pPr>
              <w:ind w:firstLine="480"/>
            </w:pPr>
          </w:p>
        </w:tc>
      </w:tr>
    </w:tbl>
    <w:p>
      <w:pPr>
        <w:pStyle w:val="186"/>
      </w:pPr>
      <w:r>
        <w:t>建设项目工程分析</w:t>
      </w:r>
    </w:p>
    <w:tbl>
      <w:tblPr>
        <w:tblStyle w:val="7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58" w:type="dxa"/>
          </w:tcPr>
          <w:p>
            <w:pPr>
              <w:ind w:firstLine="0" w:firstLineChars="0"/>
              <w:rPr>
                <w:rFonts w:hAnsi="宋体"/>
                <w:b/>
                <w:bCs/>
              </w:rPr>
            </w:pPr>
            <w:r>
              <w:rPr>
                <w:rFonts w:hAnsi="宋体"/>
                <w:b/>
                <w:bCs/>
              </w:rPr>
              <w:t>工艺流程简述（图示）：</w:t>
            </w:r>
          </w:p>
          <w:p>
            <w:pPr>
              <w:ind w:firstLine="0" w:firstLineChars="0"/>
              <w:rPr>
                <w:b/>
                <w:bCs/>
              </w:rPr>
            </w:pPr>
            <w:r>
              <w:rPr>
                <w:rFonts w:hint="eastAsia"/>
                <w:b/>
                <w:bCs/>
              </w:rPr>
              <w:t>施工期：</w:t>
            </w:r>
          </w:p>
          <w:p>
            <w:pPr>
              <w:ind w:firstLine="480"/>
            </w:pPr>
            <w:r>
              <w:rPr>
                <w:rStyle w:val="143"/>
                <w:rFonts w:hint="eastAsia"/>
              </w:rPr>
              <w:t>本项目</w:t>
            </w:r>
            <w:r>
              <w:rPr>
                <w:rFonts w:hint="eastAsia"/>
              </w:rPr>
              <w:t>施工期主要工序为</w:t>
            </w:r>
            <w:bookmarkStart w:id="11" w:name="OLE_LINK2"/>
            <w:bookmarkStart w:id="12" w:name="OLE_LINK1"/>
            <w:r>
              <w:rPr>
                <w:rFonts w:hint="eastAsia"/>
              </w:rPr>
              <w:t>厂房建设</w:t>
            </w:r>
            <w:bookmarkEnd w:id="11"/>
            <w:bookmarkEnd w:id="12"/>
            <w:r>
              <w:rPr>
                <w:rFonts w:hint="eastAsia"/>
              </w:rPr>
              <w:t>和设备安装；污染物主要为厂房建设和设备安装过程中产生的噪声、固体废弃物、废气以及施工人员产生的生活废水等污染物。</w:t>
            </w:r>
          </w:p>
          <w:p>
            <w:pPr>
              <w:spacing w:line="240" w:lineRule="auto"/>
              <w:ind w:firstLine="0" w:firstLineChars="0"/>
              <w:jc w:val="center"/>
            </w:pPr>
            <w:r>
              <w:drawing>
                <wp:inline distT="0" distB="0" distL="0" distR="0">
                  <wp:extent cx="4933950" cy="11334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4933950" cy="1133475"/>
                          </a:xfrm>
                          <a:prstGeom prst="rect">
                            <a:avLst/>
                          </a:prstGeom>
                          <a:noFill/>
                          <a:ln>
                            <a:noFill/>
                          </a:ln>
                        </pic:spPr>
                      </pic:pic>
                    </a:graphicData>
                  </a:graphic>
                </wp:inline>
              </w:drawing>
            </w:r>
          </w:p>
          <w:p>
            <w:pPr>
              <w:ind w:firstLine="0" w:firstLineChars="0"/>
              <w:jc w:val="center"/>
            </w:pPr>
            <w:r>
              <w:rPr>
                <w:rFonts w:hint="eastAsia" w:ascii="黑体" w:hAnsi="黑体" w:eastAsia="黑体"/>
              </w:rPr>
              <w:t>图</w:t>
            </w:r>
            <w:r>
              <w:rPr>
                <w:rFonts w:ascii="黑体" w:hAnsi="黑体" w:eastAsia="黑体"/>
              </w:rPr>
              <w:t>4</w:t>
            </w:r>
            <w:r>
              <w:rPr>
                <w:rFonts w:hint="eastAsia" w:ascii="黑体" w:hAnsi="黑体" w:eastAsia="黑体"/>
              </w:rPr>
              <w:t xml:space="preserve">  施工期工艺流程及产排污环节示意图</w:t>
            </w:r>
          </w:p>
          <w:p>
            <w:pPr>
              <w:ind w:firstLine="0" w:firstLineChars="0"/>
              <w:rPr>
                <w:b/>
                <w:bCs/>
              </w:rPr>
            </w:pPr>
            <w:r>
              <w:rPr>
                <w:rFonts w:hint="eastAsia"/>
                <w:b/>
                <w:bCs/>
              </w:rPr>
              <w:t>运营期：</w:t>
            </w:r>
          </w:p>
          <w:p>
            <w:pPr>
              <w:ind w:firstLine="0" w:firstLineChars="0"/>
              <w:rPr>
                <w:b/>
                <w:bCs/>
              </w:rPr>
            </w:pPr>
            <w:r>
              <w:rPr>
                <w:rFonts w:hint="eastAsia"/>
                <w:b/>
                <w:bCs/>
              </w:rPr>
              <w:t>1、建筑骨料生产线</w:t>
            </w:r>
          </w:p>
          <w:p>
            <w:pPr>
              <w:ind w:firstLine="482"/>
              <w:rPr>
                <w:b/>
                <w:bCs/>
              </w:rPr>
            </w:pPr>
            <w:r>
              <w:rPr>
                <w:rFonts w:hint="eastAsia"/>
                <w:b/>
                <w:bCs/>
              </w:rPr>
              <w:t>（1）鄂破、反击破系统工艺流程简述</w:t>
            </w:r>
          </w:p>
          <w:p>
            <w:pPr>
              <w:ind w:firstLine="480"/>
            </w:pPr>
            <w:r>
              <w:rPr>
                <w:rFonts w:hint="eastAsia"/>
              </w:rPr>
              <w:t>原料尾矿石由装载机送入入料坑，由入料坑下水平振动输送机输送至颚式破碎机进行粗破，经粗破后的物料自由落入鄂破下小料仓，物料经鄂破下小料仓再由水平振动输送机输送至反击式破碎机进行细破，经细破后的物料经反击式破碎机下小料仓再由电机振动给料机输送至提升机入料口，经提升后的物料通过溜槽进入冲击破上料仓。</w:t>
            </w:r>
          </w:p>
          <w:p>
            <w:pPr>
              <w:ind w:firstLine="482"/>
              <w:rPr>
                <w:b/>
                <w:bCs/>
              </w:rPr>
            </w:pPr>
            <w:r>
              <w:rPr>
                <w:rFonts w:hint="eastAsia"/>
                <w:b/>
                <w:bCs/>
              </w:rPr>
              <w:t>（2）立式冲击破工艺流程简述</w:t>
            </w:r>
          </w:p>
          <w:p>
            <w:pPr>
              <w:ind w:firstLine="480"/>
            </w:pPr>
            <w:r>
              <w:rPr>
                <w:rFonts w:hint="eastAsia"/>
              </w:rPr>
              <w:t>①小于25mm物料由上料仓下电磁振动给料机输送至提升机，利用高度差，经提升后的物料通过溜槽自行落入立式冲击破，经立式冲击破破碎后的物料又自行落入立破下皮带机，再由立破下皮带机输送至提升机入料口，经提升后的物料依次进入电机振动给料机和预分筛，再利用高度差，筛上料通过溜槽自行进入立式冲击破再次破碎；破碎机下皮带机在立式冲击破和提升机之间设有悬挂式除铁板（第一道除铁）。</w:t>
            </w:r>
          </w:p>
          <w:p>
            <w:pPr>
              <w:ind w:firstLine="480"/>
            </w:pPr>
            <w:r>
              <w:rPr>
                <w:rFonts w:hint="eastAsia"/>
              </w:rPr>
              <w:t>②充分利用平台高度差，预分筛下物料经溜槽到达提升机入料口，提升后的物料再经分叉溜料槽分别进入两个储料仓（单个料仓设计容量约40吨）。</w:t>
            </w:r>
          </w:p>
          <w:p>
            <w:pPr>
              <w:ind w:firstLine="480"/>
            </w:pPr>
            <w:r>
              <w:rPr>
                <w:rFonts w:hint="eastAsia"/>
              </w:rPr>
              <w:t>③物料经过储料罐下电磁振动给料机输送至仓下皮带机，经皮带上方悬挂式除铁板除铁后（第二道除铁）送至提升机入料口，提升后的物料依次经过电机振动给料机和成品筛后，分出4种产品，产品再通过溜槽分别落入相应的提升机，经提升后的物料通过溜槽分别进入相应的成品料仓（可存放8吨产品）。</w:t>
            </w:r>
          </w:p>
          <w:p>
            <w:pPr>
              <w:ind w:firstLine="480"/>
            </w:pPr>
            <w:r>
              <w:rPr>
                <w:rFonts w:hint="eastAsia"/>
              </w:rPr>
              <w:t>④成品料罐下连接有电磁振动给料机和磁选机，用于对成品的最终除铁（第三道除铁）。经过除铁后的成品物料，用自动包装机小袋自动装袋，也可进行人工吨袋包装，然后叉车取走入库。</w:t>
            </w:r>
          </w:p>
          <w:p>
            <w:pPr>
              <w:ind w:firstLine="480"/>
            </w:pPr>
            <w:r>
              <w:rPr>
                <w:rFonts w:hint="eastAsia"/>
              </w:rPr>
              <w:t>本项目建筑骨料生产线主要工艺流程及产污节点见下图。</w:t>
            </w:r>
          </w:p>
          <w:p>
            <w:pPr>
              <w:spacing w:line="240" w:lineRule="auto"/>
              <w:ind w:firstLine="0" w:firstLineChars="0"/>
              <w:jc w:val="center"/>
            </w:pPr>
            <w:r>
              <w:object>
                <v:shape id="_x0000_i1028" o:spt="75" type="#_x0000_t75" style="height:396pt;width:396pt;" o:ole="t" filled="f" o:preferrelative="t" stroked="f" coordsize="21600,21600">
                  <v:path/>
                  <v:fill on="f" focussize="0,0"/>
                  <v:stroke on="f" joinstyle="miter"/>
                  <v:imagedata r:id="rId23" o:title=""/>
                  <o:lock v:ext="edit" aspectratio="t"/>
                  <w10:wrap type="none"/>
                  <w10:anchorlock/>
                </v:shape>
                <o:OLEObject Type="Embed" ProgID="Visio.Drawing.15" ShapeID="_x0000_i1028" DrawAspect="Content" ObjectID="_1468075728" r:id="rId22">
                  <o:LockedField>false</o:LockedField>
                </o:OLEObject>
              </w:object>
            </w:r>
          </w:p>
          <w:p>
            <w:pPr>
              <w:ind w:firstLine="0" w:firstLineChars="0"/>
              <w:jc w:val="center"/>
              <w:rPr>
                <w:rFonts w:ascii="黑体" w:hAnsi="黑体" w:eastAsia="黑体"/>
              </w:rPr>
            </w:pPr>
            <w:r>
              <w:rPr>
                <w:rFonts w:hint="eastAsia" w:ascii="黑体" w:hAnsi="黑体" w:eastAsia="黑体"/>
              </w:rPr>
              <w:t>图5  建筑骨料生产线主要工艺流程及产污节点图</w:t>
            </w:r>
          </w:p>
          <w:p>
            <w:pPr>
              <w:ind w:firstLine="0" w:firstLineChars="0"/>
              <w:rPr>
                <w:b/>
                <w:bCs/>
              </w:rPr>
            </w:pPr>
            <w:r>
              <w:rPr>
                <w:b/>
                <w:bCs/>
              </w:rPr>
              <w:t>2</w:t>
            </w:r>
            <w:r>
              <w:rPr>
                <w:rFonts w:hint="eastAsia"/>
                <w:b/>
                <w:bCs/>
              </w:rPr>
              <w:t>、微粉生产线</w:t>
            </w:r>
          </w:p>
          <w:p>
            <w:pPr>
              <w:ind w:firstLine="482"/>
              <w:rPr>
                <w:b/>
                <w:bCs/>
              </w:rPr>
            </w:pPr>
            <w:r>
              <w:rPr>
                <w:rFonts w:hint="eastAsia"/>
                <w:b/>
                <w:bCs/>
              </w:rPr>
              <w:t>（1）鄂破系统工艺流程简述</w:t>
            </w:r>
          </w:p>
          <w:p>
            <w:pPr>
              <w:ind w:firstLine="480"/>
            </w:pPr>
            <w:r>
              <w:rPr>
                <w:rFonts w:hint="eastAsia"/>
              </w:rPr>
              <w:t>原料尾矿石由装载机送入入料坑，由入料坑下水平振动输送机输送至颚式破碎机进行粗破，经粗破后的物料自由落入鄂破下小料仓，物料经鄂破下小料仓再由水平振动输送机输送至2台颚式破碎机进行细破，经细破后的物料经颚式破碎机下小料仓再由电机振动给料机输送至提升机入料口，经提升后的物料通过溜槽进入超细破碎机上料仓。</w:t>
            </w:r>
          </w:p>
          <w:p>
            <w:pPr>
              <w:ind w:firstLine="482"/>
              <w:rPr>
                <w:b/>
                <w:bCs/>
              </w:rPr>
            </w:pPr>
            <w:r>
              <w:rPr>
                <w:rFonts w:hint="eastAsia"/>
                <w:b/>
                <w:bCs/>
              </w:rPr>
              <w:t>（</w:t>
            </w:r>
            <w:r>
              <w:rPr>
                <w:b/>
                <w:bCs/>
              </w:rPr>
              <w:t>2</w:t>
            </w:r>
            <w:r>
              <w:rPr>
                <w:rFonts w:hint="eastAsia"/>
                <w:b/>
                <w:bCs/>
              </w:rPr>
              <w:t>）超细破碎机工艺流程简述</w:t>
            </w:r>
          </w:p>
          <w:p>
            <w:pPr>
              <w:ind w:firstLine="480"/>
            </w:pPr>
            <w:r>
              <w:rPr>
                <w:rFonts w:hint="eastAsia"/>
              </w:rPr>
              <w:t>由超细破碎机上料仓下水平振动输送机输送至超细破碎机进行粗破，经破碎后的物料经超细破碎机下小料仓再由水平振动输送机输送至振动筛分机筛分出微粉产品。</w:t>
            </w:r>
          </w:p>
          <w:p>
            <w:pPr>
              <w:ind w:firstLine="480"/>
            </w:pPr>
            <w:r>
              <w:rPr>
                <w:rFonts w:hint="eastAsia"/>
              </w:rPr>
              <w:t>本项目微粉生产线主要工艺流程及产污节点见下图。</w:t>
            </w:r>
          </w:p>
          <w:p>
            <w:pPr>
              <w:spacing w:line="240" w:lineRule="auto"/>
              <w:ind w:firstLine="0" w:firstLineChars="0"/>
              <w:jc w:val="center"/>
            </w:pPr>
            <w:r>
              <w:object>
                <v:shape id="_x0000_i1029" o:spt="75" type="#_x0000_t75" style="height:259.5pt;width:388.5pt;" o:ole="t" filled="f" o:preferrelative="t" stroked="f" coordsize="21600,21600">
                  <v:path/>
                  <v:fill on="f" focussize="0,0"/>
                  <v:stroke on="f" joinstyle="miter"/>
                  <v:imagedata r:id="rId25" o:title=""/>
                  <o:lock v:ext="edit" aspectratio="t"/>
                  <w10:wrap type="none"/>
                  <w10:anchorlock/>
                </v:shape>
                <o:OLEObject Type="Embed" ProgID="Visio.Drawing.15" ShapeID="_x0000_i1029" DrawAspect="Content" ObjectID="_1468075729" r:id="rId24">
                  <o:LockedField>false</o:LockedField>
                </o:OLEObject>
              </w:object>
            </w:r>
          </w:p>
          <w:p>
            <w:pPr>
              <w:ind w:firstLine="0" w:firstLineChars="0"/>
              <w:jc w:val="center"/>
              <w:rPr>
                <w:rFonts w:ascii="黑体" w:hAnsi="黑体" w:eastAsia="黑体"/>
              </w:rPr>
            </w:pPr>
            <w:r>
              <w:rPr>
                <w:rFonts w:hint="eastAsia" w:ascii="黑体" w:hAnsi="黑体" w:eastAsia="黑体"/>
              </w:rPr>
              <w:t>图</w:t>
            </w:r>
            <w:r>
              <w:rPr>
                <w:rFonts w:ascii="黑体" w:hAnsi="黑体" w:eastAsia="黑体"/>
              </w:rPr>
              <w:t>6</w:t>
            </w:r>
            <w:r>
              <w:rPr>
                <w:rFonts w:hint="eastAsia" w:ascii="黑体" w:hAnsi="黑体" w:eastAsia="黑体"/>
              </w:rPr>
              <w:t xml:space="preserve">  微粉生产线主要工艺流程及产污节点图</w:t>
            </w:r>
          </w:p>
          <w:p>
            <w:pPr>
              <w:ind w:firstLine="480" w:firstLineChars="0"/>
              <w:rPr>
                <w:rFonts w:ascii="黑体" w:hAnsi="黑体" w:eastAsia="黑体"/>
              </w:rPr>
            </w:pPr>
          </w:p>
          <w:p>
            <w:pPr>
              <w:ind w:firstLine="480" w:firstLineChars="0"/>
              <w:rPr>
                <w:rFonts w:ascii="黑体" w:hAnsi="黑体" w:eastAsia="黑体"/>
              </w:rPr>
            </w:pPr>
          </w:p>
          <w:p>
            <w:pPr>
              <w:ind w:firstLine="480" w:firstLineChars="0"/>
              <w:rPr>
                <w:rFonts w:ascii="黑体" w:hAnsi="黑体" w:eastAsia="黑体"/>
              </w:rPr>
            </w:pPr>
          </w:p>
          <w:p>
            <w:pPr>
              <w:ind w:firstLine="480" w:firstLineChars="0"/>
              <w:rPr>
                <w:rFonts w:ascii="黑体" w:hAnsi="黑体" w:eastAsia="黑体"/>
              </w:rPr>
            </w:pPr>
          </w:p>
          <w:p>
            <w:pPr>
              <w:ind w:firstLine="480" w:firstLineChars="0"/>
              <w:rPr>
                <w:rFonts w:ascii="黑体" w:hAnsi="黑体" w:eastAsia="黑体"/>
              </w:rPr>
            </w:pPr>
          </w:p>
          <w:p>
            <w:pPr>
              <w:ind w:firstLine="480" w:firstLineChars="0"/>
              <w:rPr>
                <w:rFonts w:ascii="黑体" w:hAnsi="黑体" w:eastAsia="黑体"/>
              </w:rPr>
            </w:pPr>
          </w:p>
          <w:p>
            <w:pPr>
              <w:ind w:firstLine="480" w:firstLineChars="0"/>
              <w:rPr>
                <w:rFonts w:ascii="黑体" w:hAnsi="黑体" w:eastAsia="黑体"/>
              </w:rPr>
            </w:pPr>
          </w:p>
          <w:p>
            <w:pPr>
              <w:ind w:firstLine="480" w:firstLineChars="0"/>
              <w:rPr>
                <w:rFonts w:ascii="黑体" w:hAnsi="黑体" w:eastAsia="黑体"/>
              </w:rPr>
            </w:pPr>
          </w:p>
          <w:p>
            <w:pPr>
              <w:ind w:firstLine="480" w:firstLineChars="0"/>
              <w:rPr>
                <w:rFonts w:ascii="黑体" w:hAnsi="黑体" w:eastAsia="黑体"/>
              </w:rPr>
            </w:pPr>
          </w:p>
          <w:p>
            <w:pPr>
              <w:ind w:firstLine="480" w:firstLineChars="0"/>
              <w:rPr>
                <w:rFonts w:ascii="黑体" w:hAnsi="黑体" w:eastAsia="黑体"/>
              </w:rPr>
            </w:pPr>
          </w:p>
          <w:p>
            <w:pPr>
              <w:ind w:firstLine="480" w:firstLineChars="0"/>
              <w:rPr>
                <w:rFonts w:ascii="黑体" w:hAnsi="黑体" w:eastAsia="黑体"/>
              </w:rPr>
            </w:pPr>
          </w:p>
          <w:p>
            <w:pPr>
              <w:ind w:firstLine="480" w:firstLineChars="0"/>
              <w:rPr>
                <w:rFonts w:ascii="黑体" w:hAnsi="黑体" w:eastAsia="黑体"/>
              </w:rPr>
            </w:pPr>
          </w:p>
          <w:p>
            <w:pPr>
              <w:ind w:firstLine="480" w:firstLineChars="0"/>
              <w:rPr>
                <w:rFonts w:ascii="黑体" w:hAnsi="黑体" w:eastAsia="黑体"/>
              </w:rPr>
            </w:pPr>
          </w:p>
          <w:p>
            <w:pPr>
              <w:ind w:firstLine="480" w:firstLineChars="0"/>
              <w:rPr>
                <w:rFonts w:ascii="黑体" w:hAnsi="黑体" w:eastAsia="黑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58" w:type="dxa"/>
          </w:tcPr>
          <w:p>
            <w:pPr>
              <w:ind w:firstLine="0" w:firstLineChars="0"/>
              <w:rPr>
                <w:b/>
                <w:bCs/>
              </w:rPr>
            </w:pPr>
            <w:r>
              <w:rPr>
                <w:rFonts w:hAnsi="宋体"/>
                <w:b/>
                <w:bCs/>
              </w:rPr>
              <w:t>主要污染工序：</w:t>
            </w:r>
          </w:p>
          <w:p>
            <w:pPr>
              <w:spacing w:line="460" w:lineRule="exact"/>
              <w:ind w:firstLine="0" w:firstLineChars="0"/>
              <w:rPr>
                <w:b/>
              </w:rPr>
            </w:pPr>
            <w:r>
              <w:rPr>
                <w:rFonts w:hAnsi="宋体"/>
                <w:b/>
              </w:rPr>
              <w:t>一、施工期</w:t>
            </w:r>
          </w:p>
          <w:p>
            <w:pPr>
              <w:pStyle w:val="144"/>
              <w:spacing w:before="0" w:after="0" w:line="460" w:lineRule="exact"/>
              <w:ind w:firstLine="0" w:firstLineChars="0"/>
            </w:pPr>
            <w:r>
              <w:rPr>
                <w:b/>
              </w:rPr>
              <w:t>1</w:t>
            </w:r>
            <w:r>
              <w:rPr>
                <w:rFonts w:hAnsi="宋体"/>
                <w:b/>
              </w:rPr>
              <w:t>、大气污染物</w:t>
            </w:r>
            <w:r>
              <w:rPr>
                <w:rFonts w:hint="eastAsia" w:hAnsi="宋体"/>
                <w:b/>
              </w:rPr>
              <w:t>：</w:t>
            </w:r>
            <w:r>
              <w:rPr>
                <w:rFonts w:hint="eastAsia"/>
              </w:rPr>
              <w:t>车辆运输时产生的扬尘，排放的主要污染物为TSP；各类燃油动力机械在设备运输等施工作业时，会排出各类燃油废气，排放的主要污染物为CO、NO</w:t>
            </w:r>
            <w:r>
              <w:rPr>
                <w:rFonts w:hint="eastAsia"/>
                <w:vertAlign w:val="subscript"/>
              </w:rPr>
              <w:t>X</w:t>
            </w:r>
            <w:r>
              <w:rPr>
                <w:rFonts w:hint="eastAsia"/>
              </w:rPr>
              <w:t>、SO</w:t>
            </w:r>
            <w:r>
              <w:rPr>
                <w:rFonts w:hint="eastAsia"/>
                <w:vertAlign w:val="subscript"/>
              </w:rPr>
              <w:t>2</w:t>
            </w:r>
            <w:r>
              <w:rPr>
                <w:rFonts w:hint="eastAsia"/>
              </w:rPr>
              <w:t>、烟尘。</w:t>
            </w:r>
          </w:p>
          <w:p>
            <w:pPr>
              <w:pStyle w:val="144"/>
              <w:spacing w:before="0" w:after="0" w:line="460" w:lineRule="exact"/>
              <w:ind w:firstLine="0" w:firstLineChars="0"/>
            </w:pPr>
            <w:r>
              <w:rPr>
                <w:b/>
              </w:rPr>
              <w:t>2、水污染物</w:t>
            </w:r>
            <w:r>
              <w:rPr>
                <w:rFonts w:hint="eastAsia"/>
                <w:b/>
              </w:rPr>
              <w:t>：</w:t>
            </w:r>
            <w:r>
              <w:rPr>
                <w:rFonts w:hint="eastAsia"/>
              </w:rPr>
              <w:t>施工人员产生的生活污水，主要污染物为BOD</w:t>
            </w:r>
            <w:r>
              <w:rPr>
                <w:rFonts w:hint="eastAsia"/>
                <w:vertAlign w:val="subscript"/>
              </w:rPr>
              <w:t>5</w:t>
            </w:r>
            <w:r>
              <w:rPr>
                <w:rFonts w:hint="eastAsia"/>
              </w:rPr>
              <w:t>、COD、SS。</w:t>
            </w:r>
          </w:p>
          <w:p>
            <w:pPr>
              <w:pStyle w:val="144"/>
              <w:spacing w:before="0" w:after="0" w:line="460" w:lineRule="exact"/>
              <w:ind w:firstLine="0" w:firstLineChars="0"/>
            </w:pPr>
            <w:r>
              <w:rPr>
                <w:b/>
              </w:rPr>
              <w:t>3、固体废物</w:t>
            </w:r>
            <w:r>
              <w:rPr>
                <w:rFonts w:hint="eastAsia"/>
                <w:b/>
              </w:rPr>
              <w:t>：</w:t>
            </w:r>
            <w:r>
              <w:t>施工期产生的施工垃圾</w:t>
            </w:r>
            <w:r>
              <w:rPr>
                <w:rFonts w:hint="eastAsia"/>
              </w:rPr>
              <w:t>，主要为废弃包装物</w:t>
            </w:r>
            <w:r>
              <w:t>；施工人员的生活垃圾。</w:t>
            </w:r>
          </w:p>
          <w:p>
            <w:pPr>
              <w:pStyle w:val="144"/>
              <w:spacing w:before="0" w:after="0" w:line="460" w:lineRule="exact"/>
              <w:ind w:firstLine="0" w:firstLineChars="0"/>
            </w:pPr>
            <w:r>
              <w:rPr>
                <w:b/>
              </w:rPr>
              <w:t>4、噪声</w:t>
            </w:r>
            <w:r>
              <w:rPr>
                <w:rFonts w:hint="eastAsia"/>
                <w:b/>
              </w:rPr>
              <w:t>：</w:t>
            </w:r>
            <w:r>
              <w:rPr>
                <w:rFonts w:hint="eastAsia"/>
              </w:rPr>
              <w:t>运输车辆等施工机械作业时产生的噪声；</w:t>
            </w:r>
            <w:r>
              <w:t>施工机械产生的噪声值为65-100dB（A）。</w:t>
            </w:r>
          </w:p>
          <w:p>
            <w:pPr>
              <w:spacing w:line="460" w:lineRule="exact"/>
              <w:ind w:firstLine="0" w:firstLineChars="0"/>
              <w:rPr>
                <w:rFonts w:hAnsi="宋体"/>
                <w:b/>
                <w:bCs/>
              </w:rPr>
            </w:pPr>
            <w:r>
              <w:rPr>
                <w:rFonts w:hint="eastAsia" w:hAnsi="宋体"/>
                <w:b/>
                <w:bCs/>
              </w:rPr>
              <w:t>二、营运期</w:t>
            </w:r>
          </w:p>
          <w:p>
            <w:pPr>
              <w:spacing w:line="460" w:lineRule="exact"/>
              <w:ind w:firstLine="0" w:firstLineChars="0"/>
              <w:rPr>
                <w:rFonts w:hAnsi="宋体"/>
                <w:b/>
                <w:bCs/>
              </w:rPr>
            </w:pPr>
            <w:r>
              <w:rPr>
                <w:rFonts w:hint="eastAsia" w:hAnsi="宋体"/>
                <w:b/>
                <w:bCs/>
              </w:rPr>
              <w:t>1、</w:t>
            </w:r>
            <w:r>
              <w:rPr>
                <w:rFonts w:hAnsi="宋体"/>
                <w:b/>
                <w:bCs/>
              </w:rPr>
              <w:t>废气排污环节分析</w:t>
            </w:r>
          </w:p>
          <w:p>
            <w:pPr>
              <w:pStyle w:val="144"/>
              <w:spacing w:before="0" w:after="0" w:line="460" w:lineRule="exact"/>
              <w:ind w:firstLine="482"/>
            </w:pPr>
            <w:r>
              <w:rPr>
                <w:b/>
              </w:rPr>
              <w:t>G</w:t>
            </w:r>
            <w:r>
              <w:rPr>
                <w:b/>
                <w:vertAlign w:val="subscript"/>
              </w:rPr>
              <w:t>1</w:t>
            </w:r>
            <w:r>
              <w:rPr>
                <w:rFonts w:hint="eastAsia"/>
                <w:b/>
              </w:rPr>
              <w:t>：</w:t>
            </w:r>
            <w:r>
              <w:rPr>
                <w:rFonts w:hint="eastAsia"/>
              </w:rPr>
              <w:t>运输扬尘，为无组织排放；</w:t>
            </w:r>
          </w:p>
          <w:p>
            <w:pPr>
              <w:pStyle w:val="144"/>
              <w:spacing w:before="0" w:after="0" w:line="460" w:lineRule="exact"/>
              <w:ind w:firstLine="482"/>
            </w:pPr>
            <w:r>
              <w:rPr>
                <w:b/>
              </w:rPr>
              <w:t>G</w:t>
            </w:r>
            <w:r>
              <w:rPr>
                <w:b/>
                <w:vertAlign w:val="subscript"/>
              </w:rPr>
              <w:t>2</w:t>
            </w:r>
            <w:r>
              <w:rPr>
                <w:rFonts w:hint="eastAsia"/>
                <w:b/>
              </w:rPr>
              <w:t>：</w:t>
            </w:r>
            <w:r>
              <w:rPr>
                <w:rFonts w:hint="eastAsia"/>
              </w:rPr>
              <w:t>原料堆存、成品堆存、装卸扬尘，为无组织排放；</w:t>
            </w:r>
          </w:p>
          <w:p>
            <w:pPr>
              <w:pStyle w:val="144"/>
              <w:spacing w:before="0" w:after="0" w:line="460" w:lineRule="exact"/>
              <w:ind w:firstLine="482"/>
            </w:pPr>
            <w:r>
              <w:rPr>
                <w:b/>
              </w:rPr>
              <w:t>G</w:t>
            </w:r>
            <w:r>
              <w:rPr>
                <w:b/>
                <w:vertAlign w:val="subscript"/>
              </w:rPr>
              <w:t>3</w:t>
            </w:r>
            <w:r>
              <w:rPr>
                <w:rFonts w:hint="eastAsia"/>
                <w:b/>
              </w:rPr>
              <w:t>：</w:t>
            </w:r>
            <w:r>
              <w:rPr>
                <w:rFonts w:hint="eastAsia"/>
              </w:rPr>
              <w:t>建筑骨料生产线粗破、反击破系统产生的粉尘；</w:t>
            </w:r>
          </w:p>
          <w:p>
            <w:pPr>
              <w:pStyle w:val="144"/>
              <w:spacing w:before="0" w:after="0" w:line="460" w:lineRule="exact"/>
              <w:ind w:firstLine="482"/>
            </w:pPr>
            <w:r>
              <w:rPr>
                <w:b/>
              </w:rPr>
              <w:t>G</w:t>
            </w:r>
            <w:r>
              <w:rPr>
                <w:b/>
                <w:vertAlign w:val="subscript"/>
              </w:rPr>
              <w:t>4</w:t>
            </w:r>
            <w:r>
              <w:rPr>
                <w:rFonts w:hint="eastAsia"/>
                <w:b/>
              </w:rPr>
              <w:t>：</w:t>
            </w:r>
            <w:r>
              <w:rPr>
                <w:rFonts w:hint="eastAsia"/>
                <w:bCs/>
              </w:rPr>
              <w:t>建筑骨料生产线冲击破系统</w:t>
            </w:r>
            <w:r>
              <w:rPr>
                <w:rFonts w:hint="eastAsia"/>
              </w:rPr>
              <w:t>产生的</w:t>
            </w:r>
            <w:r>
              <w:rPr>
                <w:rFonts w:hint="eastAsia"/>
                <w:bCs/>
              </w:rPr>
              <w:t>粉尘</w:t>
            </w:r>
            <w:r>
              <w:rPr>
                <w:rFonts w:hint="eastAsia"/>
              </w:rPr>
              <w:t>；</w:t>
            </w:r>
          </w:p>
          <w:p>
            <w:pPr>
              <w:spacing w:line="460" w:lineRule="exact"/>
              <w:ind w:firstLine="472" w:firstLineChars="196"/>
            </w:pPr>
            <w:r>
              <w:rPr>
                <w:b/>
              </w:rPr>
              <w:t>G</w:t>
            </w:r>
            <w:r>
              <w:rPr>
                <w:b/>
                <w:vertAlign w:val="subscript"/>
              </w:rPr>
              <w:t>5</w:t>
            </w:r>
            <w:r>
              <w:rPr>
                <w:rFonts w:hint="eastAsia"/>
                <w:b/>
              </w:rPr>
              <w:t>：</w:t>
            </w:r>
            <w:r>
              <w:rPr>
                <w:rFonts w:hint="eastAsia"/>
                <w:bCs/>
              </w:rPr>
              <w:t>微粉生产线鄂破系统</w:t>
            </w:r>
            <w:r>
              <w:rPr>
                <w:rFonts w:hint="eastAsia"/>
              </w:rPr>
              <w:t>产生的粉尘；</w:t>
            </w:r>
          </w:p>
          <w:p>
            <w:pPr>
              <w:spacing w:line="460" w:lineRule="exact"/>
              <w:ind w:firstLine="472" w:firstLineChars="196"/>
            </w:pPr>
            <w:r>
              <w:rPr>
                <w:b/>
              </w:rPr>
              <w:t>G</w:t>
            </w:r>
            <w:r>
              <w:rPr>
                <w:b/>
                <w:vertAlign w:val="subscript"/>
              </w:rPr>
              <w:t>6</w:t>
            </w:r>
            <w:r>
              <w:rPr>
                <w:rFonts w:hint="eastAsia"/>
                <w:b/>
              </w:rPr>
              <w:t>：</w:t>
            </w:r>
            <w:r>
              <w:rPr>
                <w:rFonts w:hint="eastAsia"/>
                <w:bCs/>
              </w:rPr>
              <w:t>微粉生产线超细破碎机系统</w:t>
            </w:r>
            <w:r>
              <w:rPr>
                <w:rFonts w:hint="eastAsia"/>
              </w:rPr>
              <w:t>产生的粉尘；</w:t>
            </w:r>
          </w:p>
          <w:p>
            <w:pPr>
              <w:spacing w:line="460" w:lineRule="exact"/>
              <w:ind w:firstLine="0" w:firstLineChars="0"/>
              <w:rPr>
                <w:rFonts w:hAnsi="宋体"/>
                <w:b/>
                <w:bCs/>
              </w:rPr>
            </w:pPr>
            <w:r>
              <w:rPr>
                <w:rFonts w:hint="eastAsia" w:hAnsi="宋体"/>
                <w:b/>
                <w:bCs/>
              </w:rPr>
              <w:t>2、</w:t>
            </w:r>
            <w:r>
              <w:rPr>
                <w:rFonts w:hAnsi="宋体"/>
                <w:b/>
                <w:bCs/>
              </w:rPr>
              <w:t>废水排污环节分析</w:t>
            </w:r>
          </w:p>
          <w:p>
            <w:pPr>
              <w:pStyle w:val="144"/>
              <w:spacing w:before="0" w:after="0" w:line="460" w:lineRule="exact"/>
              <w:ind w:firstLine="482"/>
              <w:rPr>
                <w:color w:val="FF0000"/>
              </w:rPr>
            </w:pPr>
            <w:r>
              <w:rPr>
                <w:rFonts w:hint="eastAsia"/>
                <w:b/>
              </w:rPr>
              <w:t>W</w:t>
            </w:r>
            <w:r>
              <w:rPr>
                <w:b/>
                <w:vertAlign w:val="subscript"/>
              </w:rPr>
              <w:t>1</w:t>
            </w:r>
            <w:r>
              <w:rPr>
                <w:rFonts w:hint="eastAsia"/>
                <w:b/>
              </w:rPr>
              <w:t>：</w:t>
            </w:r>
            <w:r>
              <w:rPr>
                <w:rFonts w:hint="eastAsia"/>
                <w:bCs/>
                <w:spacing w:val="4"/>
              </w:rPr>
              <w:t>洗车废水，主要污染物为COD、SS</w:t>
            </w:r>
            <w:r>
              <w:rPr>
                <w:rFonts w:hint="eastAsia"/>
                <w:bCs/>
              </w:rPr>
              <w:t>；</w:t>
            </w:r>
          </w:p>
          <w:p>
            <w:pPr>
              <w:pStyle w:val="144"/>
              <w:spacing w:before="0" w:after="0" w:line="460" w:lineRule="exact"/>
              <w:ind w:firstLine="482"/>
            </w:pPr>
            <w:r>
              <w:rPr>
                <w:rFonts w:hint="eastAsia"/>
                <w:b/>
              </w:rPr>
              <w:t>W</w:t>
            </w:r>
            <w:r>
              <w:rPr>
                <w:b/>
                <w:vertAlign w:val="subscript"/>
              </w:rPr>
              <w:t>2</w:t>
            </w:r>
            <w:r>
              <w:rPr>
                <w:rFonts w:hint="eastAsia"/>
                <w:b/>
              </w:rPr>
              <w:t>：</w:t>
            </w:r>
            <w:r>
              <w:rPr>
                <w:spacing w:val="4"/>
              </w:rPr>
              <w:t>生活污水</w:t>
            </w:r>
            <w:r>
              <w:t>主要</w:t>
            </w:r>
            <w:r>
              <w:rPr>
                <w:spacing w:val="4"/>
              </w:rPr>
              <w:t>来自厂区办公等</w:t>
            </w:r>
            <w:r>
              <w:rPr>
                <w:rFonts w:hint="eastAsia"/>
                <w:spacing w:val="4"/>
              </w:rPr>
              <w:t>少量盥洗废水、食堂废水</w:t>
            </w:r>
            <w:r>
              <w:rPr>
                <w:spacing w:val="4"/>
              </w:rPr>
              <w:t>，所含污染物主要有COD</w:t>
            </w:r>
            <w:r>
              <w:rPr>
                <w:rFonts w:hint="eastAsia"/>
                <w:spacing w:val="4"/>
                <w:vertAlign w:val="subscript"/>
              </w:rPr>
              <w:t>Cr</w:t>
            </w:r>
            <w:r>
              <w:rPr>
                <w:spacing w:val="4"/>
              </w:rPr>
              <w:t>、BOD</w:t>
            </w:r>
            <w:r>
              <w:rPr>
                <w:spacing w:val="4"/>
                <w:vertAlign w:val="subscript"/>
              </w:rPr>
              <w:t>5</w:t>
            </w:r>
            <w:r>
              <w:rPr>
                <w:spacing w:val="4"/>
              </w:rPr>
              <w:t>、SS</w:t>
            </w:r>
            <w:r>
              <w:rPr>
                <w:rFonts w:hint="eastAsia"/>
                <w:spacing w:val="4"/>
              </w:rPr>
              <w:t>、氨氮</w:t>
            </w:r>
            <w:r>
              <w:rPr>
                <w:spacing w:val="4"/>
              </w:rPr>
              <w:t>等</w:t>
            </w:r>
            <w:r>
              <w:rPr>
                <w:rFonts w:hint="eastAsia"/>
              </w:rPr>
              <w:t>；</w:t>
            </w:r>
          </w:p>
          <w:p>
            <w:pPr>
              <w:spacing w:line="460" w:lineRule="exact"/>
              <w:ind w:firstLine="0" w:firstLineChars="0"/>
              <w:rPr>
                <w:rFonts w:hAnsi="宋体"/>
                <w:b/>
                <w:bCs/>
              </w:rPr>
            </w:pPr>
            <w:r>
              <w:rPr>
                <w:rFonts w:hint="eastAsia" w:hAnsi="宋体"/>
                <w:b/>
                <w:bCs/>
              </w:rPr>
              <w:t>3、</w:t>
            </w:r>
            <w:r>
              <w:rPr>
                <w:rFonts w:hAnsi="宋体"/>
                <w:b/>
                <w:bCs/>
              </w:rPr>
              <w:t>固体废物排污环节分析</w:t>
            </w:r>
          </w:p>
          <w:p>
            <w:pPr>
              <w:pStyle w:val="144"/>
              <w:snapToGrid/>
              <w:spacing w:before="0" w:after="0" w:line="460" w:lineRule="exact"/>
              <w:ind w:firstLine="482"/>
            </w:pPr>
            <w:r>
              <w:rPr>
                <w:b/>
              </w:rPr>
              <w:t>S</w:t>
            </w:r>
            <w:r>
              <w:rPr>
                <w:b/>
                <w:vertAlign w:val="subscript"/>
              </w:rPr>
              <w:t>1</w:t>
            </w:r>
            <w:r>
              <w:rPr>
                <w:rFonts w:hint="eastAsia"/>
                <w:b/>
              </w:rPr>
              <w:t>：</w:t>
            </w:r>
            <w:r>
              <w:rPr>
                <w:rFonts w:hint="eastAsia"/>
              </w:rPr>
              <w:t>除尘器收集的集尘灰；</w:t>
            </w:r>
          </w:p>
          <w:p>
            <w:pPr>
              <w:pStyle w:val="144"/>
              <w:snapToGrid/>
              <w:spacing w:before="0" w:after="0" w:line="460" w:lineRule="exact"/>
              <w:ind w:firstLine="482"/>
              <w:rPr>
                <w:bCs/>
              </w:rPr>
            </w:pPr>
            <w:r>
              <w:rPr>
                <w:b/>
              </w:rPr>
              <w:t>S</w:t>
            </w:r>
            <w:r>
              <w:rPr>
                <w:b/>
                <w:vertAlign w:val="subscript"/>
              </w:rPr>
              <w:t>2</w:t>
            </w:r>
            <w:r>
              <w:rPr>
                <w:rFonts w:hint="eastAsia"/>
                <w:b/>
              </w:rPr>
              <w:t>：</w:t>
            </w:r>
            <w:r>
              <w:rPr>
                <w:rFonts w:hint="eastAsia"/>
                <w:bCs/>
              </w:rPr>
              <w:t>建筑骨料生产线除铁器收集的含铁废矿石；</w:t>
            </w:r>
          </w:p>
          <w:p>
            <w:pPr>
              <w:pStyle w:val="144"/>
              <w:snapToGrid/>
              <w:spacing w:before="0" w:after="0" w:line="460" w:lineRule="exact"/>
              <w:ind w:firstLine="482"/>
            </w:pPr>
            <w:r>
              <w:rPr>
                <w:b/>
              </w:rPr>
              <w:t>S</w:t>
            </w:r>
            <w:r>
              <w:rPr>
                <w:b/>
                <w:vertAlign w:val="subscript"/>
              </w:rPr>
              <w:t>3</w:t>
            </w:r>
            <w:r>
              <w:rPr>
                <w:rFonts w:hint="eastAsia"/>
                <w:b/>
              </w:rPr>
              <w:t>：</w:t>
            </w:r>
            <w:r>
              <w:rPr>
                <w:rFonts w:hint="eastAsia"/>
              </w:rPr>
              <w:t>设备维护产生的废矿物油；</w:t>
            </w:r>
          </w:p>
          <w:p>
            <w:pPr>
              <w:pStyle w:val="144"/>
              <w:spacing w:before="0" w:after="0" w:line="460" w:lineRule="exact"/>
              <w:ind w:firstLine="482"/>
            </w:pPr>
            <w:r>
              <w:rPr>
                <w:b/>
              </w:rPr>
              <w:t>S</w:t>
            </w:r>
            <w:r>
              <w:rPr>
                <w:b/>
                <w:vertAlign w:val="subscript"/>
              </w:rPr>
              <w:t>4</w:t>
            </w:r>
            <w:r>
              <w:rPr>
                <w:rFonts w:hint="eastAsia"/>
                <w:b/>
              </w:rPr>
              <w:t>：</w:t>
            </w:r>
            <w:r>
              <w:rPr>
                <w:rFonts w:hint="eastAsia"/>
              </w:rPr>
              <w:t>生活垃圾</w:t>
            </w:r>
            <w:r>
              <w:rPr>
                <w:rFonts w:hint="eastAsia" w:hAnsi="宋体"/>
              </w:rPr>
              <w:t>。</w:t>
            </w:r>
          </w:p>
          <w:p>
            <w:pPr>
              <w:spacing w:line="460" w:lineRule="exact"/>
              <w:ind w:firstLine="0" w:firstLineChars="0"/>
              <w:rPr>
                <w:rFonts w:hAnsi="宋体"/>
                <w:b/>
                <w:bCs/>
              </w:rPr>
            </w:pPr>
            <w:r>
              <w:rPr>
                <w:rFonts w:hint="eastAsia" w:hAnsi="宋体"/>
                <w:b/>
                <w:bCs/>
              </w:rPr>
              <w:t>4、</w:t>
            </w:r>
            <w:r>
              <w:rPr>
                <w:rFonts w:hAnsi="宋体"/>
                <w:b/>
                <w:bCs/>
              </w:rPr>
              <w:t>噪声污染环节分析</w:t>
            </w:r>
          </w:p>
          <w:p>
            <w:pPr>
              <w:spacing w:line="460" w:lineRule="exact"/>
              <w:ind w:firstLine="480"/>
            </w:pPr>
            <w:bookmarkStart w:id="13" w:name="_Hlk14968823"/>
            <w:r>
              <w:rPr>
                <w:rFonts w:hint="eastAsia"/>
              </w:rPr>
              <w:t>本项目主要噪声源来自破碎机、筛分机、各类风机、泵机等设备作业噪声以及运输车辆噪声，根据类比，噪声源强为</w:t>
            </w:r>
            <w:r>
              <w:t>70~</w:t>
            </w:r>
            <w:r>
              <w:rPr>
                <w:rFonts w:hint="eastAsia"/>
              </w:rPr>
              <w:t>1</w:t>
            </w:r>
            <w:r>
              <w:t>10B(A)</w:t>
            </w:r>
            <w:r>
              <w:rPr>
                <w:rFonts w:hint="eastAsia"/>
              </w:rPr>
              <w:t>。</w:t>
            </w:r>
            <w:bookmarkEnd w:id="13"/>
          </w:p>
          <w:p>
            <w:pPr>
              <w:ind w:firstLine="0" w:firstLineChars="0"/>
            </w:pPr>
          </w:p>
        </w:tc>
      </w:tr>
    </w:tbl>
    <w:p>
      <w:pPr>
        <w:pStyle w:val="186"/>
      </w:pPr>
      <w:r>
        <w:br w:type="page"/>
      </w:r>
      <w:r>
        <w:rPr>
          <w:rFonts w:hint="eastAsia"/>
        </w:rPr>
        <w:t>项目</w:t>
      </w:r>
      <w:r>
        <w:t>主要污染物产生及预计排放情况</w:t>
      </w:r>
    </w:p>
    <w:tbl>
      <w:tblPr>
        <w:tblStyle w:val="70"/>
        <w:tblW w:w="90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12"/>
        <w:gridCol w:w="1389"/>
        <w:gridCol w:w="1502"/>
        <w:gridCol w:w="1247"/>
        <w:gridCol w:w="1134"/>
        <w:gridCol w:w="1559"/>
        <w:gridCol w:w="15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2" w:type="dxa"/>
            <w:tcBorders>
              <w:tl2br w:val="single" w:color="auto" w:sz="4" w:space="0"/>
            </w:tcBorders>
            <w:vAlign w:val="center"/>
          </w:tcPr>
          <w:p>
            <w:pPr>
              <w:pStyle w:val="142"/>
              <w:ind w:firstLine="210" w:firstLineChars="100"/>
              <w:jc w:val="both"/>
            </w:pPr>
            <w:r>
              <w:rPr>
                <w:rFonts w:hAnsi="宋体"/>
              </w:rPr>
              <w:t>内容</w:t>
            </w:r>
          </w:p>
          <w:p>
            <w:pPr>
              <w:pStyle w:val="142"/>
              <w:jc w:val="both"/>
              <w:rPr>
                <w:b/>
              </w:rPr>
            </w:pPr>
            <w:r>
              <w:rPr>
                <w:rFonts w:hAnsi="宋体"/>
              </w:rPr>
              <w:t>类型</w:t>
            </w:r>
          </w:p>
        </w:tc>
        <w:tc>
          <w:tcPr>
            <w:tcW w:w="1389" w:type="dxa"/>
            <w:vAlign w:val="center"/>
          </w:tcPr>
          <w:p>
            <w:pPr>
              <w:pStyle w:val="142"/>
            </w:pPr>
            <w:r>
              <w:rPr>
                <w:rFonts w:hAnsi="宋体"/>
              </w:rPr>
              <w:t>排放源</w:t>
            </w:r>
          </w:p>
          <w:p>
            <w:pPr>
              <w:pStyle w:val="142"/>
              <w:rPr>
                <w:b/>
              </w:rPr>
            </w:pPr>
            <w:r>
              <w:t>(</w:t>
            </w:r>
            <w:r>
              <w:rPr>
                <w:rFonts w:hAnsi="宋体"/>
              </w:rPr>
              <w:t>编号</w:t>
            </w:r>
            <w:r>
              <w:t>)</w:t>
            </w:r>
          </w:p>
        </w:tc>
        <w:tc>
          <w:tcPr>
            <w:tcW w:w="1502" w:type="dxa"/>
            <w:vAlign w:val="center"/>
          </w:tcPr>
          <w:p>
            <w:pPr>
              <w:pStyle w:val="142"/>
              <w:rPr>
                <w:b/>
              </w:rPr>
            </w:pPr>
            <w:r>
              <w:rPr>
                <w:rFonts w:hAnsi="宋体"/>
              </w:rPr>
              <w:t>污染物名称</w:t>
            </w:r>
          </w:p>
        </w:tc>
        <w:tc>
          <w:tcPr>
            <w:tcW w:w="2381" w:type="dxa"/>
            <w:gridSpan w:val="2"/>
            <w:vAlign w:val="center"/>
          </w:tcPr>
          <w:p>
            <w:pPr>
              <w:pStyle w:val="142"/>
            </w:pPr>
            <w:r>
              <w:rPr>
                <w:rFonts w:hAnsi="宋体"/>
              </w:rPr>
              <w:t>处理前产生浓度及</w:t>
            </w:r>
          </w:p>
          <w:p>
            <w:pPr>
              <w:pStyle w:val="142"/>
              <w:rPr>
                <w:b/>
              </w:rPr>
            </w:pPr>
            <w:r>
              <w:rPr>
                <w:rFonts w:hAnsi="宋体"/>
              </w:rPr>
              <w:t>产生量</w:t>
            </w:r>
            <w:r>
              <w:t>(</w:t>
            </w:r>
            <w:r>
              <w:rPr>
                <w:rFonts w:hAnsi="宋体"/>
              </w:rPr>
              <w:t>单位</w:t>
            </w:r>
            <w:r>
              <w:t>)</w:t>
            </w:r>
          </w:p>
        </w:tc>
        <w:tc>
          <w:tcPr>
            <w:tcW w:w="3091" w:type="dxa"/>
            <w:gridSpan w:val="2"/>
            <w:vAlign w:val="center"/>
          </w:tcPr>
          <w:p>
            <w:pPr>
              <w:pStyle w:val="142"/>
            </w:pPr>
            <w:r>
              <w:rPr>
                <w:rFonts w:hAnsi="宋体"/>
              </w:rPr>
              <w:t>排放浓度</w:t>
            </w:r>
          </w:p>
          <w:p>
            <w:pPr>
              <w:pStyle w:val="142"/>
              <w:rPr>
                <w:b/>
              </w:rPr>
            </w:pPr>
            <w:r>
              <w:rPr>
                <w:rFonts w:hAnsi="宋体"/>
              </w:rPr>
              <w:t>及排放量</w:t>
            </w:r>
            <w:r>
              <w:t>(</w:t>
            </w:r>
            <w:r>
              <w:rPr>
                <w:rFonts w:hAnsi="宋体"/>
              </w:rPr>
              <w:t>单位</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2" w:type="dxa"/>
            <w:vMerge w:val="restart"/>
            <w:vAlign w:val="center"/>
          </w:tcPr>
          <w:p>
            <w:pPr>
              <w:pStyle w:val="142"/>
            </w:pPr>
            <w:r>
              <w:rPr>
                <w:rFonts w:hAnsi="宋体"/>
              </w:rPr>
              <w:t>大气</w:t>
            </w:r>
          </w:p>
          <w:p>
            <w:pPr>
              <w:pStyle w:val="142"/>
            </w:pPr>
            <w:r>
              <w:rPr>
                <w:rFonts w:hAnsi="宋体"/>
              </w:rPr>
              <w:t>污染</w:t>
            </w:r>
          </w:p>
          <w:p>
            <w:pPr>
              <w:pStyle w:val="142"/>
            </w:pPr>
            <w:r>
              <w:rPr>
                <w:rFonts w:hAnsi="宋体"/>
              </w:rPr>
              <w:t>物</w:t>
            </w:r>
          </w:p>
        </w:tc>
        <w:tc>
          <w:tcPr>
            <w:tcW w:w="1389" w:type="dxa"/>
            <w:vAlign w:val="center"/>
          </w:tcPr>
          <w:p>
            <w:pPr>
              <w:pStyle w:val="144"/>
              <w:spacing w:before="0" w:after="0" w:line="240" w:lineRule="auto"/>
              <w:ind w:firstLine="0" w:firstLineChars="0"/>
              <w:jc w:val="center"/>
              <w:rPr>
                <w:sz w:val="21"/>
                <w:szCs w:val="21"/>
              </w:rPr>
            </w:pPr>
            <w:r>
              <w:rPr>
                <w:rFonts w:hint="eastAsia"/>
                <w:sz w:val="21"/>
                <w:szCs w:val="21"/>
              </w:rPr>
              <w:t>运输扬尘</w:t>
            </w:r>
          </w:p>
        </w:tc>
        <w:tc>
          <w:tcPr>
            <w:tcW w:w="1502" w:type="dxa"/>
            <w:vAlign w:val="center"/>
          </w:tcPr>
          <w:p>
            <w:pPr>
              <w:pStyle w:val="144"/>
              <w:spacing w:before="0" w:after="0" w:line="240" w:lineRule="auto"/>
              <w:ind w:firstLine="0" w:firstLineChars="0"/>
              <w:jc w:val="center"/>
              <w:rPr>
                <w:sz w:val="21"/>
                <w:szCs w:val="21"/>
              </w:rPr>
            </w:pPr>
            <w:r>
              <w:rPr>
                <w:rFonts w:hint="eastAsia"/>
                <w:sz w:val="21"/>
                <w:szCs w:val="21"/>
              </w:rPr>
              <w:t>扬尘</w:t>
            </w:r>
          </w:p>
        </w:tc>
        <w:tc>
          <w:tcPr>
            <w:tcW w:w="1247" w:type="dxa"/>
            <w:vAlign w:val="center"/>
          </w:tcPr>
          <w:p>
            <w:pPr>
              <w:pStyle w:val="142"/>
            </w:pPr>
            <w:r>
              <w:rPr>
                <w:rFonts w:hint="eastAsia"/>
              </w:rPr>
              <w:t>/</w:t>
            </w:r>
          </w:p>
        </w:tc>
        <w:tc>
          <w:tcPr>
            <w:tcW w:w="1134" w:type="dxa"/>
            <w:vAlign w:val="center"/>
          </w:tcPr>
          <w:p>
            <w:pPr>
              <w:pStyle w:val="142"/>
            </w:pPr>
            <w:r>
              <w:t>27.55</w:t>
            </w:r>
            <w:r>
              <w:rPr>
                <w:rFonts w:hint="eastAsia"/>
              </w:rPr>
              <w:t xml:space="preserve"> t/a</w:t>
            </w:r>
          </w:p>
        </w:tc>
        <w:tc>
          <w:tcPr>
            <w:tcW w:w="1559" w:type="dxa"/>
            <w:vAlign w:val="center"/>
          </w:tcPr>
          <w:p>
            <w:pPr>
              <w:pStyle w:val="142"/>
            </w:pPr>
            <w:r>
              <w:rPr>
                <w:rFonts w:hint="eastAsia"/>
              </w:rPr>
              <w:t>/</w:t>
            </w:r>
          </w:p>
        </w:tc>
        <w:tc>
          <w:tcPr>
            <w:tcW w:w="1532" w:type="dxa"/>
            <w:vAlign w:val="center"/>
          </w:tcPr>
          <w:p>
            <w:pPr>
              <w:pStyle w:val="142"/>
            </w:pPr>
            <w:r>
              <w:t xml:space="preserve">0.28 </w:t>
            </w:r>
            <w:r>
              <w:rPr>
                <w:rFonts w:hint="eastAsia"/>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2" w:type="dxa"/>
            <w:vMerge w:val="continue"/>
            <w:vAlign w:val="center"/>
          </w:tcPr>
          <w:p>
            <w:pPr>
              <w:pStyle w:val="142"/>
              <w:rPr>
                <w:rFonts w:hAnsi="宋体"/>
              </w:rPr>
            </w:pPr>
          </w:p>
        </w:tc>
        <w:tc>
          <w:tcPr>
            <w:tcW w:w="1389" w:type="dxa"/>
            <w:vAlign w:val="center"/>
          </w:tcPr>
          <w:p>
            <w:pPr>
              <w:pStyle w:val="144"/>
              <w:spacing w:before="0" w:after="0" w:line="240" w:lineRule="auto"/>
              <w:ind w:firstLine="0" w:firstLineChars="0"/>
              <w:jc w:val="center"/>
              <w:rPr>
                <w:sz w:val="21"/>
                <w:szCs w:val="21"/>
              </w:rPr>
            </w:pPr>
            <w:r>
              <w:rPr>
                <w:rFonts w:hint="eastAsia"/>
                <w:sz w:val="21"/>
                <w:szCs w:val="21"/>
              </w:rPr>
              <w:t>堆场扬尘</w:t>
            </w:r>
          </w:p>
        </w:tc>
        <w:tc>
          <w:tcPr>
            <w:tcW w:w="1502" w:type="dxa"/>
            <w:vAlign w:val="center"/>
          </w:tcPr>
          <w:p>
            <w:pPr>
              <w:pStyle w:val="144"/>
              <w:spacing w:before="0" w:after="0" w:line="240" w:lineRule="auto"/>
              <w:ind w:firstLine="0" w:firstLineChars="0"/>
              <w:jc w:val="center"/>
              <w:rPr>
                <w:sz w:val="21"/>
                <w:szCs w:val="21"/>
              </w:rPr>
            </w:pPr>
            <w:r>
              <w:rPr>
                <w:rFonts w:hint="eastAsia"/>
                <w:sz w:val="21"/>
                <w:szCs w:val="21"/>
              </w:rPr>
              <w:t>扬尘</w:t>
            </w:r>
          </w:p>
        </w:tc>
        <w:tc>
          <w:tcPr>
            <w:tcW w:w="1247" w:type="dxa"/>
            <w:vAlign w:val="center"/>
          </w:tcPr>
          <w:p>
            <w:pPr>
              <w:pStyle w:val="142"/>
            </w:pPr>
            <w:r>
              <w:rPr>
                <w:rFonts w:hint="eastAsia"/>
              </w:rPr>
              <w:t>/</w:t>
            </w:r>
          </w:p>
        </w:tc>
        <w:tc>
          <w:tcPr>
            <w:tcW w:w="1134" w:type="dxa"/>
            <w:vAlign w:val="center"/>
          </w:tcPr>
          <w:p>
            <w:pPr>
              <w:pStyle w:val="142"/>
            </w:pPr>
            <w:r>
              <w:t>22.3</w:t>
            </w:r>
            <w:r>
              <w:rPr>
                <w:rFonts w:hint="eastAsia"/>
              </w:rPr>
              <w:t xml:space="preserve"> t/a</w:t>
            </w:r>
          </w:p>
        </w:tc>
        <w:tc>
          <w:tcPr>
            <w:tcW w:w="1559" w:type="dxa"/>
            <w:vAlign w:val="center"/>
          </w:tcPr>
          <w:p>
            <w:pPr>
              <w:pStyle w:val="142"/>
            </w:pPr>
            <w:r>
              <w:rPr>
                <w:rFonts w:hint="eastAsia"/>
              </w:rPr>
              <w:t>/</w:t>
            </w:r>
          </w:p>
        </w:tc>
        <w:tc>
          <w:tcPr>
            <w:tcW w:w="1532" w:type="dxa"/>
            <w:vAlign w:val="center"/>
          </w:tcPr>
          <w:p>
            <w:pPr>
              <w:pStyle w:val="142"/>
            </w:pPr>
            <w:r>
              <w:t xml:space="preserve">0 </w:t>
            </w:r>
            <w:r>
              <w:rPr>
                <w:rFonts w:hint="eastAsia"/>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2" w:type="dxa"/>
            <w:vMerge w:val="continue"/>
            <w:vAlign w:val="center"/>
          </w:tcPr>
          <w:p>
            <w:pPr>
              <w:pStyle w:val="142"/>
              <w:rPr>
                <w:rFonts w:hAnsi="宋体"/>
              </w:rPr>
            </w:pPr>
          </w:p>
        </w:tc>
        <w:tc>
          <w:tcPr>
            <w:tcW w:w="1389" w:type="dxa"/>
            <w:vAlign w:val="center"/>
          </w:tcPr>
          <w:p>
            <w:pPr>
              <w:pStyle w:val="144"/>
              <w:spacing w:before="0" w:after="0" w:line="240" w:lineRule="auto"/>
              <w:ind w:firstLine="0" w:firstLineChars="0"/>
              <w:jc w:val="center"/>
              <w:rPr>
                <w:sz w:val="21"/>
                <w:szCs w:val="21"/>
              </w:rPr>
            </w:pPr>
            <w:r>
              <w:rPr>
                <w:rFonts w:hint="eastAsia"/>
                <w:sz w:val="21"/>
                <w:szCs w:val="21"/>
              </w:rPr>
              <w:t>装卸扬尘</w:t>
            </w:r>
          </w:p>
        </w:tc>
        <w:tc>
          <w:tcPr>
            <w:tcW w:w="1502" w:type="dxa"/>
            <w:vAlign w:val="center"/>
          </w:tcPr>
          <w:p>
            <w:pPr>
              <w:pStyle w:val="144"/>
              <w:spacing w:before="0" w:after="0" w:line="240" w:lineRule="auto"/>
              <w:ind w:firstLine="0" w:firstLineChars="0"/>
              <w:jc w:val="center"/>
              <w:rPr>
                <w:sz w:val="21"/>
                <w:szCs w:val="21"/>
              </w:rPr>
            </w:pPr>
            <w:r>
              <w:rPr>
                <w:rFonts w:hint="eastAsia"/>
                <w:sz w:val="21"/>
                <w:szCs w:val="21"/>
              </w:rPr>
              <w:t>扬尘</w:t>
            </w:r>
          </w:p>
        </w:tc>
        <w:tc>
          <w:tcPr>
            <w:tcW w:w="1247" w:type="dxa"/>
            <w:vAlign w:val="center"/>
          </w:tcPr>
          <w:p>
            <w:pPr>
              <w:pStyle w:val="142"/>
            </w:pPr>
            <w:r>
              <w:rPr>
                <w:rFonts w:hint="eastAsia"/>
              </w:rPr>
              <w:t>/</w:t>
            </w:r>
          </w:p>
        </w:tc>
        <w:tc>
          <w:tcPr>
            <w:tcW w:w="1134" w:type="dxa"/>
            <w:vAlign w:val="center"/>
          </w:tcPr>
          <w:p>
            <w:pPr>
              <w:pStyle w:val="142"/>
            </w:pPr>
            <w:r>
              <w:t>41.5</w:t>
            </w:r>
            <w:r>
              <w:rPr>
                <w:rFonts w:hint="eastAsia"/>
              </w:rPr>
              <w:t xml:space="preserve"> t/a</w:t>
            </w:r>
          </w:p>
        </w:tc>
        <w:tc>
          <w:tcPr>
            <w:tcW w:w="1559" w:type="dxa"/>
            <w:vAlign w:val="center"/>
          </w:tcPr>
          <w:p>
            <w:pPr>
              <w:pStyle w:val="142"/>
            </w:pPr>
            <w:r>
              <w:rPr>
                <w:rFonts w:hint="eastAsia"/>
              </w:rPr>
              <w:t>/</w:t>
            </w:r>
          </w:p>
        </w:tc>
        <w:tc>
          <w:tcPr>
            <w:tcW w:w="1532" w:type="dxa"/>
            <w:vAlign w:val="center"/>
          </w:tcPr>
          <w:p>
            <w:pPr>
              <w:pStyle w:val="142"/>
            </w:pPr>
            <w:r>
              <w:t xml:space="preserve">0.42 </w:t>
            </w:r>
            <w:r>
              <w:rPr>
                <w:rFonts w:hint="eastAsia"/>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2" w:type="dxa"/>
            <w:vMerge w:val="continue"/>
            <w:vAlign w:val="center"/>
          </w:tcPr>
          <w:p>
            <w:pPr>
              <w:pStyle w:val="142"/>
              <w:rPr>
                <w:rFonts w:hAnsi="宋体"/>
              </w:rPr>
            </w:pPr>
          </w:p>
        </w:tc>
        <w:tc>
          <w:tcPr>
            <w:tcW w:w="1389" w:type="dxa"/>
            <w:vAlign w:val="center"/>
          </w:tcPr>
          <w:p>
            <w:pPr>
              <w:pStyle w:val="144"/>
              <w:spacing w:before="0" w:after="0" w:line="240" w:lineRule="auto"/>
              <w:ind w:firstLine="0" w:firstLineChars="0"/>
              <w:jc w:val="center"/>
              <w:rPr>
                <w:sz w:val="21"/>
                <w:szCs w:val="21"/>
              </w:rPr>
            </w:pPr>
            <w:r>
              <w:rPr>
                <w:rFonts w:hint="eastAsia"/>
                <w:sz w:val="21"/>
                <w:szCs w:val="21"/>
              </w:rPr>
              <w:t>建筑骨料生产线粗破、反击破系统粉尘</w:t>
            </w:r>
          </w:p>
        </w:tc>
        <w:tc>
          <w:tcPr>
            <w:tcW w:w="1502" w:type="dxa"/>
            <w:vAlign w:val="center"/>
          </w:tcPr>
          <w:p>
            <w:pPr>
              <w:pStyle w:val="144"/>
              <w:spacing w:before="0" w:after="0" w:line="240" w:lineRule="auto"/>
              <w:ind w:firstLine="0" w:firstLineChars="0"/>
              <w:jc w:val="center"/>
              <w:rPr>
                <w:sz w:val="21"/>
                <w:szCs w:val="21"/>
              </w:rPr>
            </w:pPr>
            <w:r>
              <w:rPr>
                <w:rFonts w:hint="eastAsia"/>
                <w:sz w:val="21"/>
                <w:szCs w:val="21"/>
              </w:rPr>
              <w:t>粉尘</w:t>
            </w:r>
          </w:p>
        </w:tc>
        <w:tc>
          <w:tcPr>
            <w:tcW w:w="1247" w:type="dxa"/>
            <w:vAlign w:val="center"/>
          </w:tcPr>
          <w:p>
            <w:pPr>
              <w:pStyle w:val="142"/>
            </w:pPr>
            <w:r>
              <w:t>2000</w:t>
            </w:r>
            <w:r>
              <w:rPr>
                <w:rFonts w:hint="eastAsia"/>
              </w:rPr>
              <w:t>mg</w:t>
            </w:r>
            <w:r>
              <w:t>/m</w:t>
            </w:r>
            <w:r>
              <w:rPr>
                <w:vertAlign w:val="superscript"/>
              </w:rPr>
              <w:t>3</w:t>
            </w:r>
          </w:p>
        </w:tc>
        <w:tc>
          <w:tcPr>
            <w:tcW w:w="1134" w:type="dxa"/>
            <w:vAlign w:val="center"/>
          </w:tcPr>
          <w:p>
            <w:pPr>
              <w:pStyle w:val="142"/>
            </w:pPr>
            <w:r>
              <w:t xml:space="preserve">144 </w:t>
            </w:r>
            <w:r>
              <w:rPr>
                <w:rFonts w:hint="eastAsia"/>
              </w:rPr>
              <w:t>t/a</w:t>
            </w:r>
          </w:p>
        </w:tc>
        <w:tc>
          <w:tcPr>
            <w:tcW w:w="1559" w:type="dxa"/>
            <w:vAlign w:val="center"/>
          </w:tcPr>
          <w:p>
            <w:pPr>
              <w:pStyle w:val="142"/>
            </w:pPr>
            <w:r>
              <w:t>10</w:t>
            </w:r>
            <w:r>
              <w:rPr>
                <w:rFonts w:hint="eastAsia"/>
              </w:rPr>
              <w:t>mg</w:t>
            </w:r>
            <w:r>
              <w:t>/m</w:t>
            </w:r>
            <w:r>
              <w:rPr>
                <w:vertAlign w:val="superscript"/>
              </w:rPr>
              <w:t>3</w:t>
            </w:r>
          </w:p>
        </w:tc>
        <w:tc>
          <w:tcPr>
            <w:tcW w:w="1532" w:type="dxa"/>
            <w:vAlign w:val="center"/>
          </w:tcPr>
          <w:p>
            <w:pPr>
              <w:pStyle w:val="142"/>
            </w:pPr>
            <w:r>
              <w:t>0.72</w:t>
            </w:r>
            <w:r>
              <w:rPr>
                <w:rFonts w:hint="eastAsia"/>
              </w:rPr>
              <w:t xml:space="preserve"> 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2" w:type="dxa"/>
            <w:vMerge w:val="continue"/>
            <w:vAlign w:val="center"/>
          </w:tcPr>
          <w:p>
            <w:pPr>
              <w:pStyle w:val="142"/>
              <w:rPr>
                <w:rFonts w:hAnsi="宋体"/>
              </w:rPr>
            </w:pPr>
          </w:p>
        </w:tc>
        <w:tc>
          <w:tcPr>
            <w:tcW w:w="1389" w:type="dxa"/>
            <w:vAlign w:val="center"/>
          </w:tcPr>
          <w:p>
            <w:pPr>
              <w:pStyle w:val="144"/>
              <w:spacing w:before="0" w:after="0" w:line="240" w:lineRule="auto"/>
              <w:ind w:firstLine="0" w:firstLineChars="0"/>
              <w:jc w:val="center"/>
              <w:rPr>
                <w:sz w:val="21"/>
                <w:szCs w:val="21"/>
              </w:rPr>
            </w:pPr>
            <w:r>
              <w:rPr>
                <w:rFonts w:hint="eastAsia"/>
                <w:sz w:val="21"/>
                <w:szCs w:val="21"/>
              </w:rPr>
              <w:t>建筑骨料生产线冲击破系统产生的粉尘</w:t>
            </w:r>
          </w:p>
        </w:tc>
        <w:tc>
          <w:tcPr>
            <w:tcW w:w="1502" w:type="dxa"/>
            <w:vAlign w:val="center"/>
          </w:tcPr>
          <w:p>
            <w:pPr>
              <w:pStyle w:val="144"/>
              <w:spacing w:before="0" w:after="0" w:line="240" w:lineRule="auto"/>
              <w:ind w:firstLine="0" w:firstLineChars="0"/>
              <w:jc w:val="center"/>
              <w:rPr>
                <w:sz w:val="21"/>
                <w:szCs w:val="21"/>
              </w:rPr>
            </w:pPr>
            <w:r>
              <w:rPr>
                <w:rFonts w:hint="eastAsia"/>
                <w:sz w:val="21"/>
                <w:szCs w:val="21"/>
              </w:rPr>
              <w:t>粉尘</w:t>
            </w:r>
          </w:p>
        </w:tc>
        <w:tc>
          <w:tcPr>
            <w:tcW w:w="1247" w:type="dxa"/>
            <w:vAlign w:val="center"/>
          </w:tcPr>
          <w:p>
            <w:pPr>
              <w:pStyle w:val="142"/>
            </w:pPr>
            <w:r>
              <w:t>2000</w:t>
            </w:r>
            <w:r>
              <w:rPr>
                <w:rFonts w:hint="eastAsia"/>
              </w:rPr>
              <w:t>mg</w:t>
            </w:r>
            <w:r>
              <w:t>/m</w:t>
            </w:r>
            <w:r>
              <w:rPr>
                <w:vertAlign w:val="superscript"/>
              </w:rPr>
              <w:t>3</w:t>
            </w:r>
          </w:p>
        </w:tc>
        <w:tc>
          <w:tcPr>
            <w:tcW w:w="1134" w:type="dxa"/>
            <w:vAlign w:val="center"/>
          </w:tcPr>
          <w:p>
            <w:pPr>
              <w:pStyle w:val="142"/>
            </w:pPr>
            <w:r>
              <w:t>144</w:t>
            </w:r>
            <w:r>
              <w:rPr>
                <w:rFonts w:hint="eastAsia"/>
              </w:rPr>
              <w:t xml:space="preserve"> t/a</w:t>
            </w:r>
          </w:p>
        </w:tc>
        <w:tc>
          <w:tcPr>
            <w:tcW w:w="1559" w:type="dxa"/>
            <w:vAlign w:val="center"/>
          </w:tcPr>
          <w:p>
            <w:pPr>
              <w:pStyle w:val="142"/>
            </w:pPr>
            <w:r>
              <w:t>10</w:t>
            </w:r>
            <w:r>
              <w:rPr>
                <w:rFonts w:hint="eastAsia"/>
              </w:rPr>
              <w:t>mg</w:t>
            </w:r>
            <w:r>
              <w:t>/m</w:t>
            </w:r>
            <w:r>
              <w:rPr>
                <w:vertAlign w:val="superscript"/>
              </w:rPr>
              <w:t>3</w:t>
            </w:r>
          </w:p>
        </w:tc>
        <w:tc>
          <w:tcPr>
            <w:tcW w:w="1532" w:type="dxa"/>
            <w:vAlign w:val="center"/>
          </w:tcPr>
          <w:p>
            <w:pPr>
              <w:pStyle w:val="142"/>
            </w:pPr>
            <w:r>
              <w:t>0.72</w:t>
            </w:r>
            <w:r>
              <w:rPr>
                <w:rFonts w:hint="eastAsia"/>
              </w:rPr>
              <w:t xml:space="preserve"> 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2" w:type="dxa"/>
            <w:vMerge w:val="continue"/>
            <w:vAlign w:val="center"/>
          </w:tcPr>
          <w:p>
            <w:pPr>
              <w:pStyle w:val="142"/>
              <w:rPr>
                <w:rFonts w:hAnsi="宋体"/>
              </w:rPr>
            </w:pPr>
          </w:p>
        </w:tc>
        <w:tc>
          <w:tcPr>
            <w:tcW w:w="1389" w:type="dxa"/>
            <w:vAlign w:val="center"/>
          </w:tcPr>
          <w:p>
            <w:pPr>
              <w:pStyle w:val="144"/>
              <w:spacing w:before="0" w:after="0" w:line="240" w:lineRule="auto"/>
              <w:ind w:firstLine="0" w:firstLineChars="0"/>
              <w:jc w:val="center"/>
              <w:rPr>
                <w:sz w:val="21"/>
                <w:szCs w:val="21"/>
              </w:rPr>
            </w:pPr>
            <w:r>
              <w:rPr>
                <w:rFonts w:hint="eastAsia"/>
                <w:sz w:val="21"/>
                <w:szCs w:val="21"/>
              </w:rPr>
              <w:t>微粉生产线鄂破系统产生的粉尘</w:t>
            </w:r>
          </w:p>
        </w:tc>
        <w:tc>
          <w:tcPr>
            <w:tcW w:w="1502" w:type="dxa"/>
            <w:vAlign w:val="center"/>
          </w:tcPr>
          <w:p>
            <w:pPr>
              <w:pStyle w:val="144"/>
              <w:spacing w:before="0" w:after="0" w:line="240" w:lineRule="auto"/>
              <w:ind w:firstLine="0" w:firstLineChars="0"/>
              <w:jc w:val="center"/>
              <w:rPr>
                <w:sz w:val="21"/>
                <w:szCs w:val="21"/>
              </w:rPr>
            </w:pPr>
            <w:r>
              <w:rPr>
                <w:rFonts w:hint="eastAsia"/>
                <w:sz w:val="21"/>
                <w:szCs w:val="21"/>
              </w:rPr>
              <w:t>粉尘</w:t>
            </w:r>
          </w:p>
        </w:tc>
        <w:tc>
          <w:tcPr>
            <w:tcW w:w="1247" w:type="dxa"/>
            <w:vAlign w:val="center"/>
          </w:tcPr>
          <w:p>
            <w:pPr>
              <w:pStyle w:val="142"/>
            </w:pPr>
            <w:r>
              <w:t>2000</w:t>
            </w:r>
            <w:r>
              <w:rPr>
                <w:rFonts w:hint="eastAsia"/>
              </w:rPr>
              <w:t>mg</w:t>
            </w:r>
            <w:r>
              <w:t>/m</w:t>
            </w:r>
            <w:r>
              <w:rPr>
                <w:vertAlign w:val="superscript"/>
              </w:rPr>
              <w:t>3</w:t>
            </w:r>
          </w:p>
        </w:tc>
        <w:tc>
          <w:tcPr>
            <w:tcW w:w="1134" w:type="dxa"/>
            <w:vAlign w:val="center"/>
          </w:tcPr>
          <w:p>
            <w:pPr>
              <w:pStyle w:val="142"/>
            </w:pPr>
            <w:r>
              <w:t>144</w:t>
            </w:r>
            <w:r>
              <w:rPr>
                <w:rFonts w:hint="eastAsia"/>
              </w:rPr>
              <w:t xml:space="preserve"> t/a</w:t>
            </w:r>
          </w:p>
        </w:tc>
        <w:tc>
          <w:tcPr>
            <w:tcW w:w="1559" w:type="dxa"/>
            <w:vAlign w:val="center"/>
          </w:tcPr>
          <w:p>
            <w:pPr>
              <w:pStyle w:val="142"/>
            </w:pPr>
            <w:r>
              <w:t>10</w:t>
            </w:r>
            <w:r>
              <w:rPr>
                <w:rFonts w:hint="eastAsia"/>
              </w:rPr>
              <w:t>mg</w:t>
            </w:r>
            <w:r>
              <w:t>/m</w:t>
            </w:r>
            <w:r>
              <w:rPr>
                <w:vertAlign w:val="superscript"/>
              </w:rPr>
              <w:t>3</w:t>
            </w:r>
          </w:p>
        </w:tc>
        <w:tc>
          <w:tcPr>
            <w:tcW w:w="1532" w:type="dxa"/>
            <w:vAlign w:val="center"/>
          </w:tcPr>
          <w:p>
            <w:pPr>
              <w:pStyle w:val="142"/>
            </w:pPr>
            <w:r>
              <w:t>0.72</w:t>
            </w:r>
            <w:r>
              <w:rPr>
                <w:rFonts w:hint="eastAsia"/>
              </w:rPr>
              <w:t xml:space="preserve"> 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2" w:type="dxa"/>
            <w:vMerge w:val="continue"/>
            <w:vAlign w:val="center"/>
          </w:tcPr>
          <w:p>
            <w:pPr>
              <w:pStyle w:val="142"/>
              <w:rPr>
                <w:rFonts w:hAnsi="宋体"/>
              </w:rPr>
            </w:pPr>
          </w:p>
        </w:tc>
        <w:tc>
          <w:tcPr>
            <w:tcW w:w="1389" w:type="dxa"/>
            <w:vAlign w:val="center"/>
          </w:tcPr>
          <w:p>
            <w:pPr>
              <w:pStyle w:val="144"/>
              <w:spacing w:before="0" w:after="0" w:line="240" w:lineRule="auto"/>
              <w:ind w:firstLine="0" w:firstLineChars="0"/>
              <w:jc w:val="center"/>
              <w:rPr>
                <w:sz w:val="21"/>
                <w:szCs w:val="21"/>
              </w:rPr>
            </w:pPr>
            <w:r>
              <w:rPr>
                <w:rFonts w:hint="eastAsia"/>
                <w:sz w:val="21"/>
                <w:szCs w:val="21"/>
              </w:rPr>
              <w:t>微粉生产线超细破碎机系统产生的粉尘</w:t>
            </w:r>
          </w:p>
        </w:tc>
        <w:tc>
          <w:tcPr>
            <w:tcW w:w="1502" w:type="dxa"/>
            <w:vAlign w:val="center"/>
          </w:tcPr>
          <w:p>
            <w:pPr>
              <w:pStyle w:val="144"/>
              <w:spacing w:before="0" w:after="0" w:line="240" w:lineRule="auto"/>
              <w:ind w:firstLine="0" w:firstLineChars="0"/>
              <w:jc w:val="center"/>
              <w:rPr>
                <w:sz w:val="21"/>
                <w:szCs w:val="21"/>
              </w:rPr>
            </w:pPr>
            <w:r>
              <w:rPr>
                <w:rFonts w:hint="eastAsia"/>
                <w:sz w:val="21"/>
                <w:szCs w:val="21"/>
              </w:rPr>
              <w:t>粉尘</w:t>
            </w:r>
          </w:p>
        </w:tc>
        <w:tc>
          <w:tcPr>
            <w:tcW w:w="1247" w:type="dxa"/>
            <w:vAlign w:val="center"/>
          </w:tcPr>
          <w:p>
            <w:pPr>
              <w:pStyle w:val="142"/>
            </w:pPr>
            <w:r>
              <w:t>2000</w:t>
            </w:r>
            <w:r>
              <w:rPr>
                <w:rFonts w:hint="eastAsia"/>
              </w:rPr>
              <w:t>mg</w:t>
            </w:r>
            <w:r>
              <w:t>/m</w:t>
            </w:r>
            <w:r>
              <w:rPr>
                <w:vertAlign w:val="superscript"/>
              </w:rPr>
              <w:t>3</w:t>
            </w:r>
          </w:p>
        </w:tc>
        <w:tc>
          <w:tcPr>
            <w:tcW w:w="1134" w:type="dxa"/>
            <w:vAlign w:val="center"/>
          </w:tcPr>
          <w:p>
            <w:pPr>
              <w:pStyle w:val="142"/>
            </w:pPr>
            <w:r>
              <w:t>144</w:t>
            </w:r>
            <w:r>
              <w:rPr>
                <w:rFonts w:hint="eastAsia"/>
              </w:rPr>
              <w:t xml:space="preserve"> t/a</w:t>
            </w:r>
          </w:p>
        </w:tc>
        <w:tc>
          <w:tcPr>
            <w:tcW w:w="1559" w:type="dxa"/>
            <w:vAlign w:val="center"/>
          </w:tcPr>
          <w:p>
            <w:pPr>
              <w:pStyle w:val="142"/>
            </w:pPr>
            <w:r>
              <w:t>10</w:t>
            </w:r>
            <w:r>
              <w:rPr>
                <w:rFonts w:hint="eastAsia"/>
              </w:rPr>
              <w:t>mg</w:t>
            </w:r>
            <w:r>
              <w:t>/m</w:t>
            </w:r>
            <w:r>
              <w:rPr>
                <w:vertAlign w:val="superscript"/>
              </w:rPr>
              <w:t>3</w:t>
            </w:r>
          </w:p>
        </w:tc>
        <w:tc>
          <w:tcPr>
            <w:tcW w:w="1532" w:type="dxa"/>
            <w:vAlign w:val="center"/>
          </w:tcPr>
          <w:p>
            <w:pPr>
              <w:pStyle w:val="142"/>
            </w:pPr>
            <w:r>
              <w:t>0.72</w:t>
            </w:r>
            <w:r>
              <w:rPr>
                <w:rFonts w:hint="eastAsia"/>
              </w:rPr>
              <w:t xml:space="preserve"> 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2" w:type="dxa"/>
            <w:vMerge w:val="restart"/>
            <w:vAlign w:val="center"/>
          </w:tcPr>
          <w:p>
            <w:pPr>
              <w:pStyle w:val="142"/>
            </w:pPr>
            <w:r>
              <w:rPr>
                <w:rFonts w:hint="eastAsia"/>
              </w:rPr>
              <w:t>水污</w:t>
            </w:r>
          </w:p>
          <w:p>
            <w:pPr>
              <w:pStyle w:val="142"/>
              <w:rPr>
                <w:b/>
              </w:rPr>
            </w:pPr>
            <w:r>
              <w:rPr>
                <w:rFonts w:hint="eastAsia"/>
              </w:rPr>
              <w:t>染物</w:t>
            </w:r>
          </w:p>
        </w:tc>
        <w:tc>
          <w:tcPr>
            <w:tcW w:w="1389" w:type="dxa"/>
            <w:vAlign w:val="center"/>
          </w:tcPr>
          <w:p>
            <w:pPr>
              <w:pStyle w:val="142"/>
            </w:pPr>
            <w:r>
              <w:rPr>
                <w:rFonts w:hAnsi="宋体"/>
              </w:rPr>
              <w:t>生活污水</w:t>
            </w:r>
          </w:p>
        </w:tc>
        <w:tc>
          <w:tcPr>
            <w:tcW w:w="1502" w:type="dxa"/>
            <w:vAlign w:val="center"/>
          </w:tcPr>
          <w:p>
            <w:pPr>
              <w:pStyle w:val="142"/>
            </w:pPr>
            <w:r>
              <w:rPr>
                <w:rFonts w:hint="eastAsia" w:hAnsi="宋体"/>
              </w:rPr>
              <w:t>COD、BOD、SS</w:t>
            </w:r>
          </w:p>
        </w:tc>
        <w:tc>
          <w:tcPr>
            <w:tcW w:w="1247" w:type="dxa"/>
            <w:vAlign w:val="center"/>
          </w:tcPr>
          <w:p>
            <w:pPr>
              <w:pStyle w:val="150"/>
              <w:rPr>
                <w:rFonts w:eastAsia="宋体"/>
              </w:rPr>
            </w:pPr>
            <w:r>
              <w:rPr>
                <w:rFonts w:hint="eastAsia" w:eastAsia="宋体"/>
              </w:rPr>
              <w:t>/</w:t>
            </w:r>
          </w:p>
        </w:tc>
        <w:tc>
          <w:tcPr>
            <w:tcW w:w="1134" w:type="dxa"/>
            <w:vAlign w:val="center"/>
          </w:tcPr>
          <w:p>
            <w:pPr>
              <w:spacing w:line="240" w:lineRule="auto"/>
              <w:ind w:firstLine="0" w:firstLineChars="0"/>
              <w:jc w:val="center"/>
              <w:rPr>
                <w:sz w:val="21"/>
                <w:szCs w:val="21"/>
              </w:rPr>
            </w:pPr>
            <w:r>
              <w:rPr>
                <w:sz w:val="21"/>
                <w:szCs w:val="21"/>
              </w:rPr>
              <w:t>0.48</w:t>
            </w:r>
            <w:r>
              <w:rPr>
                <w:rFonts w:hint="eastAsia"/>
                <w:sz w:val="21"/>
                <w:szCs w:val="21"/>
              </w:rPr>
              <w:t>t/d</w:t>
            </w:r>
          </w:p>
        </w:tc>
        <w:tc>
          <w:tcPr>
            <w:tcW w:w="3091" w:type="dxa"/>
            <w:gridSpan w:val="2"/>
            <w:vAlign w:val="center"/>
          </w:tcPr>
          <w:p>
            <w:pPr>
              <w:spacing w:line="240" w:lineRule="auto"/>
              <w:ind w:firstLine="0" w:firstLineChars="0"/>
              <w:jc w:val="center"/>
              <w:rPr>
                <w:sz w:val="21"/>
                <w:szCs w:val="21"/>
              </w:rPr>
            </w:pPr>
            <w:r>
              <w:rPr>
                <w:rFonts w:hint="eastAsia"/>
                <w:sz w:val="21"/>
                <w:szCs w:val="21"/>
              </w:rPr>
              <w:t>少量盥洗废水</w:t>
            </w:r>
            <w:r>
              <w:rPr>
                <w:rFonts w:hint="eastAsia"/>
                <w:bCs/>
                <w:sz w:val="21"/>
                <w:szCs w:val="21"/>
              </w:rPr>
              <w:t>（0.24</w:t>
            </w:r>
            <w:r>
              <w:rPr>
                <w:bCs/>
                <w:sz w:val="21"/>
                <w:szCs w:val="21"/>
              </w:rPr>
              <w:t xml:space="preserve"> m</w:t>
            </w:r>
            <w:r>
              <w:rPr>
                <w:bCs/>
                <w:sz w:val="21"/>
                <w:szCs w:val="21"/>
                <w:vertAlign w:val="superscript"/>
              </w:rPr>
              <w:t>3</w:t>
            </w:r>
            <w:r>
              <w:rPr>
                <w:bCs/>
                <w:sz w:val="21"/>
                <w:szCs w:val="21"/>
              </w:rPr>
              <w:t>/d</w:t>
            </w:r>
            <w:r>
              <w:rPr>
                <w:rFonts w:hint="eastAsia"/>
                <w:bCs/>
                <w:sz w:val="21"/>
                <w:szCs w:val="21"/>
              </w:rPr>
              <w:t>）</w:t>
            </w:r>
            <w:r>
              <w:rPr>
                <w:rFonts w:hint="eastAsia"/>
                <w:sz w:val="21"/>
                <w:szCs w:val="21"/>
              </w:rPr>
              <w:t>用于泼洒抑尘；</w:t>
            </w:r>
            <w:r>
              <w:rPr>
                <w:rFonts w:hint="eastAsia"/>
                <w:bCs/>
                <w:sz w:val="21"/>
                <w:szCs w:val="21"/>
              </w:rPr>
              <w:t>食堂餐余物及食堂废水（0.24</w:t>
            </w:r>
            <w:r>
              <w:rPr>
                <w:bCs/>
                <w:sz w:val="21"/>
                <w:szCs w:val="21"/>
              </w:rPr>
              <w:t>m</w:t>
            </w:r>
            <w:r>
              <w:rPr>
                <w:bCs/>
                <w:sz w:val="21"/>
                <w:szCs w:val="21"/>
                <w:vertAlign w:val="superscript"/>
              </w:rPr>
              <w:t>3</w:t>
            </w:r>
            <w:r>
              <w:rPr>
                <w:bCs/>
                <w:sz w:val="21"/>
                <w:szCs w:val="21"/>
              </w:rPr>
              <w:t>/d</w:t>
            </w:r>
            <w:r>
              <w:rPr>
                <w:rFonts w:hint="eastAsia"/>
                <w:bCs/>
                <w:sz w:val="21"/>
                <w:szCs w:val="21"/>
              </w:rPr>
              <w:t>）</w:t>
            </w:r>
            <w:r>
              <w:rPr>
                <w:rFonts w:hint="eastAsia"/>
                <w:sz w:val="21"/>
                <w:szCs w:val="21"/>
              </w:rPr>
              <w:t>经收集后委托有相关资质的单位外运处置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2" w:type="dxa"/>
            <w:vMerge w:val="continue"/>
            <w:vAlign w:val="center"/>
          </w:tcPr>
          <w:p>
            <w:pPr>
              <w:pStyle w:val="142"/>
            </w:pPr>
          </w:p>
        </w:tc>
        <w:tc>
          <w:tcPr>
            <w:tcW w:w="1389" w:type="dxa"/>
            <w:vAlign w:val="center"/>
          </w:tcPr>
          <w:p>
            <w:pPr>
              <w:pStyle w:val="142"/>
              <w:rPr>
                <w:rFonts w:hAnsi="宋体"/>
              </w:rPr>
            </w:pPr>
            <w:r>
              <w:rPr>
                <w:rFonts w:hint="eastAsia" w:hAnsi="宋体"/>
              </w:rPr>
              <w:t>洗车废水</w:t>
            </w:r>
          </w:p>
        </w:tc>
        <w:tc>
          <w:tcPr>
            <w:tcW w:w="1502" w:type="dxa"/>
            <w:vAlign w:val="center"/>
          </w:tcPr>
          <w:p>
            <w:pPr>
              <w:pStyle w:val="142"/>
              <w:rPr>
                <w:rFonts w:hAnsi="宋体"/>
              </w:rPr>
            </w:pPr>
            <w:r>
              <w:rPr>
                <w:rFonts w:hint="eastAsia" w:hAnsi="宋体"/>
              </w:rPr>
              <w:t>S</w:t>
            </w:r>
            <w:r>
              <w:rPr>
                <w:rFonts w:hAnsi="宋体"/>
              </w:rPr>
              <w:t>S</w:t>
            </w:r>
          </w:p>
        </w:tc>
        <w:tc>
          <w:tcPr>
            <w:tcW w:w="1247" w:type="dxa"/>
            <w:vAlign w:val="center"/>
          </w:tcPr>
          <w:p>
            <w:pPr>
              <w:pStyle w:val="150"/>
              <w:rPr>
                <w:rFonts w:eastAsia="宋体"/>
              </w:rPr>
            </w:pPr>
            <w:r>
              <w:rPr>
                <w:rFonts w:hint="eastAsia" w:eastAsia="宋体"/>
              </w:rPr>
              <w:t>/</w:t>
            </w:r>
          </w:p>
        </w:tc>
        <w:tc>
          <w:tcPr>
            <w:tcW w:w="1134" w:type="dxa"/>
            <w:vAlign w:val="center"/>
          </w:tcPr>
          <w:p>
            <w:pPr>
              <w:spacing w:line="240" w:lineRule="auto"/>
              <w:ind w:firstLine="0" w:firstLineChars="0"/>
              <w:jc w:val="center"/>
              <w:rPr>
                <w:sz w:val="21"/>
                <w:szCs w:val="21"/>
              </w:rPr>
            </w:pPr>
            <w:r>
              <w:rPr>
                <w:sz w:val="21"/>
                <w:szCs w:val="21"/>
              </w:rPr>
              <w:t>8.56</w:t>
            </w:r>
            <w:r>
              <w:rPr>
                <w:rFonts w:hint="eastAsia"/>
                <w:sz w:val="21"/>
                <w:szCs w:val="21"/>
              </w:rPr>
              <w:t>t/d</w:t>
            </w:r>
          </w:p>
        </w:tc>
        <w:tc>
          <w:tcPr>
            <w:tcW w:w="3091" w:type="dxa"/>
            <w:gridSpan w:val="2"/>
            <w:vAlign w:val="center"/>
          </w:tcPr>
          <w:p>
            <w:pPr>
              <w:spacing w:line="240" w:lineRule="auto"/>
              <w:ind w:firstLine="0" w:firstLineChars="0"/>
              <w:jc w:val="center"/>
              <w:rPr>
                <w:sz w:val="21"/>
                <w:szCs w:val="21"/>
              </w:rPr>
            </w:pPr>
            <w:r>
              <w:rPr>
                <w:rFonts w:hint="eastAsia"/>
                <w:sz w:val="21"/>
                <w:szCs w:val="21"/>
              </w:rPr>
              <w:t>洗车废水排至沉淀池沉淀处理后排入清水池循环使用，不外排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2" w:type="dxa"/>
            <w:vMerge w:val="restart"/>
            <w:vAlign w:val="center"/>
          </w:tcPr>
          <w:p>
            <w:pPr>
              <w:pStyle w:val="142"/>
            </w:pPr>
            <w:r>
              <w:rPr>
                <w:rFonts w:hAnsi="宋体"/>
              </w:rPr>
              <w:t>固体</w:t>
            </w:r>
          </w:p>
          <w:p>
            <w:pPr>
              <w:pStyle w:val="142"/>
              <w:rPr>
                <w:b/>
              </w:rPr>
            </w:pPr>
            <w:r>
              <w:rPr>
                <w:rFonts w:hAnsi="宋体"/>
              </w:rPr>
              <w:t>废物</w:t>
            </w:r>
          </w:p>
        </w:tc>
        <w:tc>
          <w:tcPr>
            <w:tcW w:w="1389" w:type="dxa"/>
            <w:vAlign w:val="center"/>
          </w:tcPr>
          <w:p>
            <w:pPr>
              <w:autoSpaceDE w:val="0"/>
              <w:autoSpaceDN w:val="0"/>
              <w:adjustRightInd w:val="0"/>
              <w:spacing w:line="240" w:lineRule="auto"/>
              <w:ind w:firstLine="0" w:firstLineChars="0"/>
              <w:jc w:val="center"/>
              <w:rPr>
                <w:color w:val="FF0000"/>
                <w:sz w:val="21"/>
                <w:szCs w:val="21"/>
              </w:rPr>
            </w:pPr>
            <w:r>
              <w:rPr>
                <w:rFonts w:hint="eastAsia" w:hAnsi="宋体"/>
                <w:sz w:val="21"/>
                <w:szCs w:val="21"/>
              </w:rPr>
              <w:t>除铁器收集的废矿石</w:t>
            </w:r>
          </w:p>
        </w:tc>
        <w:tc>
          <w:tcPr>
            <w:tcW w:w="1502" w:type="dxa"/>
            <w:vAlign w:val="center"/>
          </w:tcPr>
          <w:p>
            <w:pPr>
              <w:pStyle w:val="142"/>
              <w:rPr>
                <w:color w:val="FF0000"/>
              </w:rPr>
            </w:pPr>
            <w:r>
              <w:rPr>
                <w:rFonts w:hint="eastAsia" w:hAnsi="宋体"/>
              </w:rPr>
              <w:t>含铁废矿石</w:t>
            </w:r>
          </w:p>
        </w:tc>
        <w:tc>
          <w:tcPr>
            <w:tcW w:w="2381" w:type="dxa"/>
            <w:gridSpan w:val="2"/>
            <w:vAlign w:val="center"/>
          </w:tcPr>
          <w:p>
            <w:pPr>
              <w:autoSpaceDE w:val="0"/>
              <w:autoSpaceDN w:val="0"/>
              <w:adjustRightInd w:val="0"/>
              <w:spacing w:line="240" w:lineRule="auto"/>
              <w:ind w:firstLine="0" w:firstLineChars="0"/>
              <w:jc w:val="center"/>
              <w:rPr>
                <w:rFonts w:hAnsi="宋体"/>
                <w:color w:val="FF0000"/>
                <w:sz w:val="21"/>
                <w:szCs w:val="21"/>
              </w:rPr>
            </w:pPr>
            <w:r>
              <w:rPr>
                <w:rFonts w:hint="eastAsia"/>
                <w:sz w:val="21"/>
                <w:szCs w:val="21"/>
              </w:rPr>
              <w:t>2</w:t>
            </w:r>
            <w:r>
              <w:rPr>
                <w:sz w:val="21"/>
                <w:szCs w:val="21"/>
              </w:rPr>
              <w:t>000t/a</w:t>
            </w:r>
          </w:p>
        </w:tc>
        <w:tc>
          <w:tcPr>
            <w:tcW w:w="3091" w:type="dxa"/>
            <w:gridSpan w:val="2"/>
            <w:vAlign w:val="center"/>
          </w:tcPr>
          <w:p>
            <w:pPr>
              <w:autoSpaceDE w:val="0"/>
              <w:autoSpaceDN w:val="0"/>
              <w:adjustRightInd w:val="0"/>
              <w:spacing w:line="240" w:lineRule="auto"/>
              <w:ind w:firstLine="0" w:firstLineChars="0"/>
              <w:jc w:val="center"/>
              <w:rPr>
                <w:color w:val="FF0000"/>
                <w:sz w:val="21"/>
                <w:szCs w:val="21"/>
              </w:rPr>
            </w:pPr>
            <w:r>
              <w:rPr>
                <w:rFonts w:hint="eastAsia"/>
                <w:sz w:val="21"/>
                <w:szCs w:val="21"/>
              </w:rPr>
              <w:t>外售于铁厂综合利用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5" w:hRule="atLeast"/>
          <w:jc w:val="center"/>
        </w:trPr>
        <w:tc>
          <w:tcPr>
            <w:tcW w:w="712" w:type="dxa"/>
            <w:vMerge w:val="continue"/>
            <w:vAlign w:val="center"/>
          </w:tcPr>
          <w:p>
            <w:pPr>
              <w:pStyle w:val="142"/>
              <w:rPr>
                <w:rFonts w:hAnsi="宋体"/>
              </w:rPr>
            </w:pPr>
          </w:p>
        </w:tc>
        <w:tc>
          <w:tcPr>
            <w:tcW w:w="1389" w:type="dxa"/>
            <w:vAlign w:val="center"/>
          </w:tcPr>
          <w:p>
            <w:pPr>
              <w:autoSpaceDE w:val="0"/>
              <w:autoSpaceDN w:val="0"/>
              <w:spacing w:line="240" w:lineRule="auto"/>
              <w:ind w:firstLine="0" w:firstLineChars="0"/>
              <w:jc w:val="center"/>
              <w:rPr>
                <w:color w:val="FF0000"/>
                <w:sz w:val="21"/>
                <w:szCs w:val="21"/>
              </w:rPr>
            </w:pPr>
            <w:r>
              <w:rPr>
                <w:rFonts w:hint="eastAsia" w:hAnsi="宋体"/>
                <w:sz w:val="21"/>
                <w:szCs w:val="21"/>
              </w:rPr>
              <w:t>除尘器收集的集尘灰</w:t>
            </w:r>
          </w:p>
        </w:tc>
        <w:tc>
          <w:tcPr>
            <w:tcW w:w="1502" w:type="dxa"/>
            <w:vAlign w:val="center"/>
          </w:tcPr>
          <w:p>
            <w:pPr>
              <w:pStyle w:val="142"/>
              <w:snapToGrid/>
              <w:rPr>
                <w:color w:val="FF0000"/>
              </w:rPr>
            </w:pPr>
            <w:r>
              <w:rPr>
                <w:rFonts w:hint="eastAsia" w:hAnsi="宋体"/>
              </w:rPr>
              <w:t>集尘灰</w:t>
            </w:r>
          </w:p>
        </w:tc>
        <w:tc>
          <w:tcPr>
            <w:tcW w:w="2381" w:type="dxa"/>
            <w:gridSpan w:val="2"/>
            <w:vAlign w:val="center"/>
          </w:tcPr>
          <w:p>
            <w:pPr>
              <w:autoSpaceDE w:val="0"/>
              <w:autoSpaceDN w:val="0"/>
              <w:spacing w:line="240" w:lineRule="auto"/>
              <w:ind w:firstLine="0" w:firstLineChars="0"/>
              <w:jc w:val="center"/>
              <w:rPr>
                <w:rFonts w:hAnsi="宋体"/>
                <w:color w:val="FF0000"/>
                <w:sz w:val="21"/>
                <w:szCs w:val="21"/>
              </w:rPr>
            </w:pPr>
            <w:r>
              <w:rPr>
                <w:sz w:val="21"/>
                <w:szCs w:val="21"/>
              </w:rPr>
              <w:t>573t/a</w:t>
            </w:r>
          </w:p>
        </w:tc>
        <w:tc>
          <w:tcPr>
            <w:tcW w:w="3091" w:type="dxa"/>
            <w:gridSpan w:val="2"/>
            <w:vAlign w:val="center"/>
          </w:tcPr>
          <w:p>
            <w:pPr>
              <w:autoSpaceDE w:val="0"/>
              <w:autoSpaceDN w:val="0"/>
              <w:adjustRightInd w:val="0"/>
              <w:spacing w:line="240" w:lineRule="auto"/>
              <w:ind w:firstLine="0" w:firstLineChars="0"/>
              <w:jc w:val="center"/>
              <w:rPr>
                <w:color w:val="FF0000"/>
                <w:sz w:val="21"/>
                <w:szCs w:val="21"/>
              </w:rPr>
            </w:pPr>
            <w:r>
              <w:rPr>
                <w:rFonts w:hint="eastAsia"/>
                <w:sz w:val="21"/>
                <w:szCs w:val="21"/>
              </w:rPr>
              <w:t>收集后可作为产品外售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2" w:type="dxa"/>
            <w:vMerge w:val="continue"/>
            <w:vAlign w:val="center"/>
          </w:tcPr>
          <w:p>
            <w:pPr>
              <w:pStyle w:val="142"/>
              <w:rPr>
                <w:rFonts w:hAnsi="宋体"/>
              </w:rPr>
            </w:pPr>
          </w:p>
        </w:tc>
        <w:tc>
          <w:tcPr>
            <w:tcW w:w="1389" w:type="dxa"/>
            <w:vAlign w:val="center"/>
          </w:tcPr>
          <w:p>
            <w:pPr>
              <w:autoSpaceDE w:val="0"/>
              <w:autoSpaceDN w:val="0"/>
              <w:adjustRightInd w:val="0"/>
              <w:spacing w:line="240" w:lineRule="auto"/>
              <w:ind w:firstLine="0" w:firstLineChars="0"/>
              <w:jc w:val="center"/>
              <w:rPr>
                <w:color w:val="FF0000"/>
                <w:sz w:val="21"/>
                <w:szCs w:val="21"/>
              </w:rPr>
            </w:pPr>
            <w:r>
              <w:rPr>
                <w:rFonts w:hint="eastAsia" w:hAnsi="宋体"/>
                <w:sz w:val="21"/>
                <w:szCs w:val="21"/>
              </w:rPr>
              <w:t>设备维护产生的废矿物油</w:t>
            </w:r>
          </w:p>
        </w:tc>
        <w:tc>
          <w:tcPr>
            <w:tcW w:w="1502" w:type="dxa"/>
            <w:vAlign w:val="center"/>
          </w:tcPr>
          <w:p>
            <w:pPr>
              <w:pStyle w:val="142"/>
              <w:rPr>
                <w:color w:val="FF0000"/>
              </w:rPr>
            </w:pPr>
            <w:r>
              <w:rPr>
                <w:rFonts w:hint="eastAsia" w:hAnsi="宋体"/>
              </w:rPr>
              <w:t>废矿物油</w:t>
            </w:r>
          </w:p>
        </w:tc>
        <w:tc>
          <w:tcPr>
            <w:tcW w:w="2381" w:type="dxa"/>
            <w:gridSpan w:val="2"/>
            <w:vAlign w:val="center"/>
          </w:tcPr>
          <w:p>
            <w:pPr>
              <w:autoSpaceDE w:val="0"/>
              <w:autoSpaceDN w:val="0"/>
              <w:adjustRightInd w:val="0"/>
              <w:spacing w:line="240" w:lineRule="auto"/>
              <w:ind w:firstLine="0" w:firstLineChars="0"/>
              <w:jc w:val="center"/>
              <w:rPr>
                <w:rFonts w:hAnsi="宋体"/>
                <w:color w:val="FF0000"/>
                <w:sz w:val="21"/>
                <w:szCs w:val="21"/>
              </w:rPr>
            </w:pPr>
            <w:r>
              <w:rPr>
                <w:rFonts w:hint="eastAsia"/>
                <w:sz w:val="21"/>
                <w:szCs w:val="21"/>
              </w:rPr>
              <w:t>0</w:t>
            </w:r>
            <w:r>
              <w:rPr>
                <w:sz w:val="21"/>
                <w:szCs w:val="21"/>
              </w:rPr>
              <w:t>.6t/a</w:t>
            </w:r>
          </w:p>
        </w:tc>
        <w:tc>
          <w:tcPr>
            <w:tcW w:w="3091" w:type="dxa"/>
            <w:gridSpan w:val="2"/>
            <w:vAlign w:val="center"/>
          </w:tcPr>
          <w:p>
            <w:pPr>
              <w:autoSpaceDE w:val="0"/>
              <w:autoSpaceDN w:val="0"/>
              <w:adjustRightInd w:val="0"/>
              <w:spacing w:line="240" w:lineRule="auto"/>
              <w:ind w:firstLine="0" w:firstLineChars="0"/>
              <w:jc w:val="center"/>
              <w:rPr>
                <w:color w:val="FF0000"/>
                <w:sz w:val="21"/>
                <w:szCs w:val="21"/>
              </w:rPr>
            </w:pPr>
            <w:r>
              <w:rPr>
                <w:rFonts w:hint="eastAsia" w:hAnsi="宋体"/>
                <w:sz w:val="21"/>
                <w:szCs w:val="21"/>
              </w:rPr>
              <w:t>废矿物油储存于特定容器中，暂存于危废库内，委托有相关处理资质的单位定期外协处置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2" w:type="dxa"/>
            <w:vMerge w:val="continue"/>
            <w:vAlign w:val="center"/>
          </w:tcPr>
          <w:p>
            <w:pPr>
              <w:pStyle w:val="142"/>
              <w:rPr>
                <w:rFonts w:hAnsi="宋体"/>
              </w:rPr>
            </w:pPr>
          </w:p>
        </w:tc>
        <w:tc>
          <w:tcPr>
            <w:tcW w:w="1389" w:type="dxa"/>
            <w:tcBorders>
              <w:bottom w:val="single" w:color="auto" w:sz="4" w:space="0"/>
            </w:tcBorders>
            <w:vAlign w:val="center"/>
          </w:tcPr>
          <w:p>
            <w:pPr>
              <w:autoSpaceDE w:val="0"/>
              <w:autoSpaceDN w:val="0"/>
              <w:adjustRightInd w:val="0"/>
              <w:spacing w:line="240" w:lineRule="auto"/>
              <w:ind w:firstLine="0" w:firstLineChars="0"/>
              <w:jc w:val="center"/>
              <w:rPr>
                <w:color w:val="FF0000"/>
                <w:sz w:val="21"/>
                <w:szCs w:val="21"/>
              </w:rPr>
            </w:pPr>
            <w:r>
              <w:rPr>
                <w:rFonts w:hAnsi="宋体"/>
                <w:sz w:val="21"/>
                <w:szCs w:val="21"/>
              </w:rPr>
              <w:t>生活垃圾</w:t>
            </w:r>
          </w:p>
        </w:tc>
        <w:tc>
          <w:tcPr>
            <w:tcW w:w="1502" w:type="dxa"/>
            <w:tcBorders>
              <w:bottom w:val="single" w:color="auto" w:sz="4" w:space="0"/>
            </w:tcBorders>
            <w:vAlign w:val="center"/>
          </w:tcPr>
          <w:p>
            <w:pPr>
              <w:pStyle w:val="142"/>
              <w:rPr>
                <w:color w:val="FF0000"/>
              </w:rPr>
            </w:pPr>
            <w:r>
              <w:rPr>
                <w:rFonts w:hAnsi="宋体"/>
              </w:rPr>
              <w:t>生活垃圾</w:t>
            </w:r>
          </w:p>
        </w:tc>
        <w:tc>
          <w:tcPr>
            <w:tcW w:w="2381" w:type="dxa"/>
            <w:gridSpan w:val="2"/>
            <w:tcBorders>
              <w:bottom w:val="single" w:color="auto" w:sz="4" w:space="0"/>
            </w:tcBorders>
            <w:vAlign w:val="center"/>
          </w:tcPr>
          <w:p>
            <w:pPr>
              <w:autoSpaceDE w:val="0"/>
              <w:autoSpaceDN w:val="0"/>
              <w:adjustRightInd w:val="0"/>
              <w:spacing w:line="240" w:lineRule="auto"/>
              <w:ind w:firstLine="0" w:firstLineChars="0"/>
              <w:jc w:val="center"/>
              <w:rPr>
                <w:color w:val="FF0000"/>
                <w:sz w:val="21"/>
                <w:szCs w:val="21"/>
              </w:rPr>
            </w:pPr>
            <w:r>
              <w:rPr>
                <w:rFonts w:hint="eastAsia"/>
                <w:sz w:val="21"/>
                <w:szCs w:val="21"/>
              </w:rPr>
              <w:t>3</w:t>
            </w:r>
            <w:r>
              <w:rPr>
                <w:sz w:val="21"/>
                <w:szCs w:val="21"/>
              </w:rPr>
              <w:t>t/a</w:t>
            </w:r>
          </w:p>
        </w:tc>
        <w:tc>
          <w:tcPr>
            <w:tcW w:w="3091" w:type="dxa"/>
            <w:gridSpan w:val="2"/>
            <w:tcBorders>
              <w:bottom w:val="single" w:color="auto" w:sz="4" w:space="0"/>
            </w:tcBorders>
            <w:vAlign w:val="center"/>
          </w:tcPr>
          <w:p>
            <w:pPr>
              <w:autoSpaceDE w:val="0"/>
              <w:autoSpaceDN w:val="0"/>
              <w:adjustRightInd w:val="0"/>
              <w:spacing w:line="240" w:lineRule="auto"/>
              <w:ind w:firstLine="0" w:firstLineChars="0"/>
              <w:jc w:val="center"/>
              <w:rPr>
                <w:color w:val="FF0000"/>
                <w:sz w:val="21"/>
                <w:szCs w:val="21"/>
              </w:rPr>
            </w:pPr>
            <w:r>
              <w:rPr>
                <w:rFonts w:hAnsi="宋体"/>
                <w:sz w:val="21"/>
                <w:szCs w:val="21"/>
              </w:rPr>
              <w:t>设置垃圾筒，垃圾经收集后运至市政指定的地点外协处理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2" w:type="dxa"/>
            <w:vAlign w:val="center"/>
          </w:tcPr>
          <w:p>
            <w:pPr>
              <w:pStyle w:val="142"/>
            </w:pPr>
            <w:r>
              <w:rPr>
                <w:rFonts w:hAnsi="宋体"/>
              </w:rPr>
              <w:t>噪</w:t>
            </w:r>
          </w:p>
          <w:p>
            <w:pPr>
              <w:pStyle w:val="142"/>
            </w:pPr>
            <w:r>
              <w:rPr>
                <w:rFonts w:hAnsi="宋体"/>
              </w:rPr>
              <w:t>声</w:t>
            </w:r>
          </w:p>
        </w:tc>
        <w:tc>
          <w:tcPr>
            <w:tcW w:w="1389" w:type="dxa"/>
            <w:tcBorders>
              <w:bottom w:val="single" w:color="auto" w:sz="4" w:space="0"/>
            </w:tcBorders>
            <w:vAlign w:val="center"/>
          </w:tcPr>
          <w:p>
            <w:pPr>
              <w:pStyle w:val="142"/>
              <w:snapToGrid/>
            </w:pPr>
            <w:r>
              <w:rPr>
                <w:rFonts w:hint="eastAsia"/>
              </w:rPr>
              <w:t>厂界</w:t>
            </w:r>
          </w:p>
        </w:tc>
        <w:tc>
          <w:tcPr>
            <w:tcW w:w="1502" w:type="dxa"/>
            <w:tcBorders>
              <w:bottom w:val="single" w:color="auto" w:sz="4" w:space="0"/>
            </w:tcBorders>
            <w:vAlign w:val="center"/>
          </w:tcPr>
          <w:p>
            <w:pPr>
              <w:pStyle w:val="142"/>
            </w:pPr>
            <w:r>
              <w:rPr>
                <w:rFonts w:hint="eastAsia"/>
              </w:rPr>
              <w:t>噪声</w:t>
            </w:r>
          </w:p>
        </w:tc>
        <w:tc>
          <w:tcPr>
            <w:tcW w:w="2381" w:type="dxa"/>
            <w:gridSpan w:val="2"/>
            <w:vAlign w:val="center"/>
          </w:tcPr>
          <w:p>
            <w:pPr>
              <w:pStyle w:val="142"/>
            </w:pPr>
            <w:r>
              <w:t>70-110 dB(A)</w:t>
            </w:r>
          </w:p>
        </w:tc>
        <w:tc>
          <w:tcPr>
            <w:tcW w:w="3091" w:type="dxa"/>
            <w:gridSpan w:val="2"/>
            <w:vAlign w:val="center"/>
          </w:tcPr>
          <w:p>
            <w:pPr>
              <w:pStyle w:val="142"/>
            </w:pPr>
            <w:r>
              <w:rPr>
                <w:rFonts w:hAnsi="宋体"/>
              </w:rPr>
              <w:t>昼间</w:t>
            </w:r>
            <w:r>
              <w:t xml:space="preserve"> 60 dB(A)</w:t>
            </w:r>
            <w:r>
              <w:rPr>
                <w:rFonts w:hAnsi="宋体"/>
              </w:rPr>
              <w:t>夜间</w:t>
            </w:r>
            <w:r>
              <w:t xml:space="preserve"> 50</w:t>
            </w:r>
            <w:r>
              <w:rPr>
                <w:rFonts w:hint="eastAsia"/>
              </w:rPr>
              <w:t xml:space="preserve"> </w:t>
            </w:r>
            <w: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075" w:type="dxa"/>
            <w:gridSpan w:val="7"/>
            <w:tcBorders>
              <w:bottom w:val="single" w:color="auto" w:sz="4" w:space="0"/>
            </w:tcBorders>
          </w:tcPr>
          <w:p>
            <w:pPr>
              <w:ind w:firstLine="480"/>
            </w:pPr>
            <w:r>
              <w:t>生态影响：</w:t>
            </w:r>
          </w:p>
          <w:p>
            <w:pPr>
              <w:pStyle w:val="144"/>
              <w:snapToGrid/>
              <w:spacing w:before="0" w:after="0"/>
              <w:ind w:firstLine="480"/>
              <w:rPr>
                <w:rFonts w:hAnsi="宋体"/>
              </w:rPr>
            </w:pPr>
            <w:r>
              <w:rPr>
                <w:rFonts w:hint="eastAsia"/>
              </w:rPr>
              <w:t>本项目拟建厂址位于交城县水峪贯镇西冶村东南约4</w:t>
            </w:r>
            <w:r>
              <w:t>00m</w:t>
            </w:r>
            <w:r>
              <w:rPr>
                <w:rFonts w:hint="eastAsia"/>
              </w:rPr>
              <w:t>处，总占地面积约3</w:t>
            </w:r>
            <w:r>
              <w:t>7500</w:t>
            </w:r>
            <w:r>
              <w:rPr>
                <w:rFonts w:hint="eastAsia"/>
              </w:rPr>
              <w:t>平方米，中心点坐标为；E</w:t>
            </w:r>
            <w:r>
              <w:t>111.921354</w:t>
            </w:r>
            <w:r>
              <w:rPr>
                <w:rFonts w:hint="eastAsia"/>
              </w:rPr>
              <w:t>°，N</w:t>
            </w:r>
            <w:r>
              <w:t>37.669642</w:t>
            </w:r>
            <w:r>
              <w:rPr>
                <w:rFonts w:hint="eastAsia"/>
              </w:rPr>
              <w:t>°；本项目拟建场地利用废弃洗煤厂场地，</w:t>
            </w:r>
            <w:r>
              <w:rPr>
                <w:rFonts w:hAnsi="宋体"/>
              </w:rPr>
              <w:t>项目建设对植被破坏和土地资源的利用问题影响</w:t>
            </w:r>
            <w:r>
              <w:rPr>
                <w:rFonts w:hint="eastAsia" w:hAnsi="宋体"/>
              </w:rPr>
              <w:t>较</w:t>
            </w:r>
            <w:r>
              <w:rPr>
                <w:rFonts w:hAnsi="宋体"/>
              </w:rPr>
              <w:t>小，项目区经平整后因地制宜进行布置，</w:t>
            </w:r>
            <w:r>
              <w:rPr>
                <w:rFonts w:hint="eastAsia" w:hAnsi="宋体"/>
              </w:rPr>
              <w:t>厂址内</w:t>
            </w:r>
            <w:r>
              <w:rPr>
                <w:rFonts w:hAnsi="宋体"/>
              </w:rPr>
              <w:t>进行硬化和绿化，不会造成水土流失等，生态影响</w:t>
            </w:r>
            <w:r>
              <w:rPr>
                <w:rFonts w:hint="eastAsia" w:hAnsi="宋体"/>
              </w:rPr>
              <w:t>较</w:t>
            </w:r>
            <w:r>
              <w:rPr>
                <w:rFonts w:hAnsi="宋体"/>
              </w:rPr>
              <w:t>小。</w:t>
            </w:r>
          </w:p>
          <w:p>
            <w:pPr>
              <w:pStyle w:val="197"/>
              <w:spacing w:line="240" w:lineRule="auto"/>
              <w:ind w:firstLine="197" w:firstLineChars="81"/>
              <w:jc w:val="both"/>
            </w:pPr>
          </w:p>
          <w:p>
            <w:pPr>
              <w:pStyle w:val="197"/>
              <w:spacing w:line="240" w:lineRule="auto"/>
              <w:ind w:firstLine="197" w:firstLineChars="81"/>
              <w:jc w:val="both"/>
            </w:pPr>
          </w:p>
          <w:p>
            <w:pPr>
              <w:pStyle w:val="197"/>
              <w:spacing w:line="240" w:lineRule="auto"/>
              <w:ind w:firstLine="197" w:firstLineChars="81"/>
              <w:jc w:val="both"/>
            </w:pPr>
          </w:p>
          <w:p>
            <w:pPr>
              <w:pStyle w:val="197"/>
              <w:spacing w:line="240" w:lineRule="auto"/>
              <w:ind w:firstLine="197" w:firstLineChars="81"/>
              <w:jc w:val="both"/>
            </w:pPr>
          </w:p>
          <w:p>
            <w:pPr>
              <w:pStyle w:val="197"/>
              <w:spacing w:line="240" w:lineRule="auto"/>
              <w:ind w:firstLine="197" w:firstLineChars="81"/>
              <w:jc w:val="both"/>
            </w:pPr>
          </w:p>
        </w:tc>
      </w:tr>
    </w:tbl>
    <w:p>
      <w:pPr>
        <w:pStyle w:val="186"/>
      </w:pPr>
      <w:r>
        <w:br w:type="page"/>
      </w:r>
      <w:r>
        <w:t>环境影响分析</w:t>
      </w:r>
    </w:p>
    <w:tbl>
      <w:tblPr>
        <w:tblStyle w:val="7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0" w:hRule="atLeast"/>
        </w:trPr>
        <w:tc>
          <w:tcPr>
            <w:tcW w:w="8942" w:type="dxa"/>
          </w:tcPr>
          <w:p>
            <w:pPr>
              <w:pStyle w:val="186"/>
              <w:spacing w:line="480" w:lineRule="exact"/>
              <w:rPr>
                <w:rFonts w:eastAsia="宋体"/>
                <w:b/>
              </w:rPr>
            </w:pPr>
            <w:r>
              <w:rPr>
                <w:rFonts w:hAnsi="宋体" w:eastAsia="宋体"/>
                <w:b/>
              </w:rPr>
              <w:t>施工期环境影响简要分析：</w:t>
            </w:r>
          </w:p>
          <w:p>
            <w:pPr>
              <w:ind w:firstLine="480"/>
            </w:pPr>
            <w:r>
              <w:rPr>
                <w:rFonts w:hint="eastAsia" w:hAnsi="宋体"/>
              </w:rPr>
              <w:t>项目施工阶段会对周围环境产生一定程度的不利影响，但是在施工结束后，这种影响也将随之消失，且本项目施工期较短，故这一阶段对环境的影响较小，为短期、可逆的影响。</w:t>
            </w:r>
            <w:r>
              <w:rPr>
                <w:rFonts w:hint="eastAsia"/>
              </w:rPr>
              <w:t>各污染要素的环境影响简要分析如下：</w:t>
            </w:r>
          </w:p>
          <w:p>
            <w:pPr>
              <w:ind w:firstLine="0" w:firstLineChars="0"/>
              <w:rPr>
                <w:b/>
              </w:rPr>
            </w:pPr>
            <w:r>
              <w:rPr>
                <w:rFonts w:hint="eastAsia" w:hAnsi="宋体"/>
                <w:b/>
              </w:rPr>
              <w:t>一、施工期大气环境影响分析及防治措施</w:t>
            </w:r>
          </w:p>
          <w:p>
            <w:pPr>
              <w:ind w:firstLine="480"/>
            </w:pPr>
            <w:r>
              <w:rPr>
                <w:rFonts w:hint="eastAsia"/>
              </w:rPr>
              <w:t>本项目施工期间主要环境问题产生于施工过程中的土建施工、建筑材料的运输、堆存等过程中，产生的污染物主要有施工扬尘、噪声、生活废水和固体废物等。</w:t>
            </w:r>
          </w:p>
          <w:p>
            <w:pPr>
              <w:ind w:firstLine="0" w:firstLineChars="0"/>
              <w:rPr>
                <w:b/>
              </w:rPr>
            </w:pPr>
            <w:r>
              <w:rPr>
                <w:b/>
              </w:rPr>
              <w:t>1</w:t>
            </w:r>
            <w:r>
              <w:rPr>
                <w:rFonts w:hint="eastAsia"/>
                <w:b/>
              </w:rPr>
              <w:t>、施工大气污染源分析</w:t>
            </w:r>
          </w:p>
          <w:p>
            <w:pPr>
              <w:ind w:firstLine="480"/>
            </w:pPr>
            <w:r>
              <w:rPr>
                <w:rFonts w:hint="eastAsia"/>
              </w:rPr>
              <w:t>施工期间对环境空气影响最大的是施工扬尘，来源于各种无组织排放源。其中场地清理、土方挖掘、土方堆存、物料运输等工序产生量较大，原材料堆存、建筑结构施工、设备安装等产生量相对较小。由于污染源为间歇性源并且扬尘点低，因此只会在近距离内形成局部暂时污染影响。但施工现场的污染物未经扩散稀释就直接进入地表呼吸地带，会给现场施工人员的生活和健康带来一定影响，在大风情况下还会对施工地周围环境空气形成影响。扬尘的大小与现场施工条件、管理水平、机械化作业程度及天气、地表土等诸多因素有关。一般施工现场的大气环境中</w:t>
            </w:r>
            <w:r>
              <w:t>TSP</w:t>
            </w:r>
            <w:r>
              <w:rPr>
                <w:rFonts w:hint="eastAsia"/>
              </w:rPr>
              <w:t>浓度可达到</w:t>
            </w:r>
            <w:r>
              <w:t>1.5-30mg/m</w:t>
            </w:r>
            <w:r>
              <w:rPr>
                <w:vertAlign w:val="superscript"/>
              </w:rPr>
              <w:t>3</w:t>
            </w:r>
            <w:r>
              <w:rPr>
                <w:rFonts w:hint="eastAsia"/>
              </w:rPr>
              <w:t>。</w:t>
            </w:r>
          </w:p>
          <w:p>
            <w:pPr>
              <w:ind w:firstLine="480"/>
            </w:pPr>
            <w:r>
              <w:rPr>
                <w:rFonts w:hint="eastAsia"/>
              </w:rPr>
              <w:t>同时各类燃油动力机械在设备运输等施工作业时，会排出各类燃油废气，排放的主要污染物为</w:t>
            </w:r>
            <w:r>
              <w:t>CO</w:t>
            </w:r>
            <w:r>
              <w:rPr>
                <w:rFonts w:hint="eastAsia"/>
              </w:rPr>
              <w:t>、</w:t>
            </w:r>
            <w:r>
              <w:t>NO</w:t>
            </w:r>
            <w:r>
              <w:rPr>
                <w:vertAlign w:val="subscript"/>
              </w:rPr>
              <w:t>X</w:t>
            </w:r>
            <w:r>
              <w:rPr>
                <w:rFonts w:hint="eastAsia"/>
              </w:rPr>
              <w:t>、</w:t>
            </w:r>
            <w:r>
              <w:t>SO</w:t>
            </w:r>
            <w:r>
              <w:rPr>
                <w:vertAlign w:val="subscript"/>
              </w:rPr>
              <w:t>2</w:t>
            </w:r>
            <w:r>
              <w:rPr>
                <w:rFonts w:hint="eastAsia"/>
              </w:rPr>
              <w:t>、烟尘。</w:t>
            </w:r>
          </w:p>
          <w:p>
            <w:pPr>
              <w:ind w:firstLine="0" w:firstLineChars="0"/>
              <w:rPr>
                <w:b/>
              </w:rPr>
            </w:pPr>
            <w:r>
              <w:rPr>
                <w:b/>
              </w:rPr>
              <w:t>2</w:t>
            </w:r>
            <w:r>
              <w:rPr>
                <w:rFonts w:hint="eastAsia"/>
                <w:b/>
              </w:rPr>
              <w:t>、施工期大气污染防治措施</w:t>
            </w:r>
          </w:p>
          <w:p>
            <w:pPr>
              <w:ind w:firstLine="480"/>
            </w:pPr>
            <w:r>
              <w:rPr>
                <w:rFonts w:hint="eastAsia"/>
              </w:rPr>
              <w:t>根据“</w:t>
            </w:r>
            <w:r>
              <w:t>6</w:t>
            </w:r>
            <w:r>
              <w:rPr>
                <w:rFonts w:hint="eastAsia"/>
              </w:rPr>
              <w:t>个</w:t>
            </w:r>
            <w:r>
              <w:t>100%</w:t>
            </w:r>
            <w:r>
              <w:rPr>
                <w:rFonts w:hint="eastAsia"/>
              </w:rPr>
              <w:t>”的具体要求，本次评价对施工期大气污染防治提如下措施：</w:t>
            </w:r>
          </w:p>
          <w:p>
            <w:pPr>
              <w:ind w:firstLine="480"/>
            </w:pPr>
            <w:r>
              <w:rPr>
                <w:rFonts w:hint="eastAsia"/>
              </w:rPr>
              <w:t>（</w:t>
            </w:r>
            <w:r>
              <w:t>1</w:t>
            </w:r>
            <w:r>
              <w:rPr>
                <w:rFonts w:hint="eastAsia"/>
              </w:rPr>
              <w:t>）施工单位应当合理安排工期，在风速达四级及以上的天气情况下，应当停止易产生扬尘污染的施工作业，并采取相应的防尘措施。施工现场堆放的土石方及易产生扬尘污染的灰土、灰浆等物料应以不透水的隔尘布完全覆盖或放置在顶部且四周均密封、遮蔽的设施内。</w:t>
            </w:r>
            <w:r>
              <w:rPr>
                <w:rFonts w:hint="eastAsia" w:hAnsi="宋体"/>
              </w:rPr>
              <w:t>同时在工地建筑结构脚手架外侧设置有效抑尘的密目防尘网。</w:t>
            </w:r>
          </w:p>
          <w:p>
            <w:pPr>
              <w:ind w:firstLine="480"/>
            </w:pPr>
            <w:r>
              <w:rPr>
                <w:rFonts w:hint="eastAsia"/>
              </w:rPr>
              <w:t>（</w:t>
            </w:r>
            <w:r>
              <w:t>2</w:t>
            </w:r>
            <w:r>
              <w:rPr>
                <w:rFonts w:hint="eastAsia"/>
              </w:rPr>
              <w:t>）施工现场裸露地面应采取覆盖或临时绿化措施；施工场所要定期喷洒水，保持地面湿润，不起尘。</w:t>
            </w:r>
          </w:p>
          <w:p>
            <w:pPr>
              <w:ind w:firstLine="480"/>
            </w:pPr>
            <w:r>
              <w:rPr>
                <w:rFonts w:hint="eastAsia"/>
              </w:rPr>
              <w:t>（</w:t>
            </w:r>
            <w:r>
              <w:t>3</w:t>
            </w:r>
            <w:r>
              <w:rPr>
                <w:rFonts w:hint="eastAsia"/>
              </w:rPr>
              <w:t>）施工工地出入口处必须建设车辆出入口喷淋、冲洗设施，并设置统一格式的环境保护监督牌，标明扬尘防治措施、责任人及环保监督电话等。</w:t>
            </w:r>
          </w:p>
          <w:p>
            <w:pPr>
              <w:ind w:firstLine="480"/>
            </w:pPr>
            <w:r>
              <w:rPr>
                <w:rFonts w:hint="eastAsia"/>
              </w:rPr>
              <w:t>（</w:t>
            </w:r>
            <w:r>
              <w:t>4</w:t>
            </w:r>
            <w:r>
              <w:rPr>
                <w:rFonts w:hint="eastAsia"/>
              </w:rPr>
              <w:t>）严禁抛洒建筑垃圾；建筑垃圾应及时清运至环卫部门指定场所，不能及时清运的要定点密闭堆存，并采取防尘措施。</w:t>
            </w:r>
          </w:p>
          <w:p>
            <w:pPr>
              <w:ind w:firstLine="480"/>
            </w:pPr>
            <w:r>
              <w:rPr>
                <w:rFonts w:hint="eastAsia"/>
              </w:rPr>
              <w:t>（</w:t>
            </w:r>
            <w:r>
              <w:t>5</w:t>
            </w:r>
            <w:r>
              <w:rPr>
                <w:rFonts w:hint="eastAsia"/>
              </w:rPr>
              <w:t>）为减少运输扬尘造成的二次污染，评价要求进出工地的物料、渣土、垃圾运输车辆，装载的物料、垃圾、渣土高度不得超过车辆槽帮上沿，车斗用苫布遮盖或者采用密闭车斗。若车斗用苫布遮盖，应当严实密闭，苫布边缘至少要遮住槽帮上沿以下</w:t>
            </w:r>
            <w:r>
              <w:t>15</w:t>
            </w:r>
            <w:r>
              <w:rPr>
                <w:rFonts w:hint="eastAsia"/>
              </w:rPr>
              <w:t>公分，保证物料、渣土、垃圾等不露出。车辆应当按照批准的路线和时间进行物料、渣土、垃圾的运输，同时设置一台洒水车进行道路洒水抑尘。</w:t>
            </w:r>
          </w:p>
          <w:p>
            <w:pPr>
              <w:ind w:firstLine="480"/>
            </w:pPr>
            <w:r>
              <w:rPr>
                <w:rFonts w:hint="eastAsia"/>
              </w:rPr>
              <w:t>（</w:t>
            </w:r>
            <w:r>
              <w:t>6</w:t>
            </w:r>
            <w:r>
              <w:rPr>
                <w:rFonts w:hint="eastAsia"/>
              </w:rPr>
              <w:t>）车辆运输过程中产生的汽车尾气，一般仅局限于施工区域以及施工通道，对施工区域以外的环境空气影响比较小。评价要求施工单位选用符合国家有关卫生标准的施工机械和运输工具，使其排放的废气符合国家有关标准。</w:t>
            </w:r>
          </w:p>
          <w:p>
            <w:pPr>
              <w:ind w:firstLine="480"/>
            </w:pPr>
            <w:r>
              <w:rPr>
                <w:rFonts w:hint="eastAsia"/>
              </w:rPr>
              <w:t>评价要求施工工地必须严格按照项目环境影响评价确定的施工全过程污染防治实施方案要求，组织落实各项污染防治措施，确保建筑工地扬尘污染控制达标，综上所述，按照以上措施进行防治后对施工场地周围环境空气影响较小。</w:t>
            </w:r>
          </w:p>
          <w:p>
            <w:pPr>
              <w:ind w:firstLine="0" w:firstLineChars="0"/>
              <w:rPr>
                <w:b/>
              </w:rPr>
            </w:pPr>
            <w:r>
              <w:rPr>
                <w:rFonts w:hint="eastAsia"/>
                <w:b/>
              </w:rPr>
              <w:t>二、施工期水环境影响分析及防治措施</w:t>
            </w:r>
          </w:p>
          <w:p>
            <w:pPr>
              <w:ind w:firstLine="480"/>
            </w:pPr>
            <w:r>
              <w:rPr>
                <w:rFonts w:hint="eastAsia"/>
              </w:rPr>
              <w:t>施工期产生的废水主要为生活废水、食堂废水，以及机械冲洗废水。</w:t>
            </w:r>
          </w:p>
          <w:p>
            <w:pPr>
              <w:ind w:firstLine="480"/>
            </w:pPr>
            <w:r>
              <w:rPr>
                <w:rFonts w:hint="eastAsia"/>
              </w:rPr>
              <w:t>施工人员生活排水所含污染物主要为</w:t>
            </w:r>
            <w:r>
              <w:t>COD</w:t>
            </w:r>
            <w:r>
              <w:rPr>
                <w:rFonts w:hint="eastAsia"/>
              </w:rPr>
              <w:t>、</w:t>
            </w:r>
            <w:r>
              <w:t>BOD</w:t>
            </w:r>
            <w:r>
              <w:rPr>
                <w:rFonts w:hint="eastAsia"/>
              </w:rPr>
              <w:t>及</w:t>
            </w:r>
            <w:r>
              <w:t>SS</w:t>
            </w:r>
            <w:r>
              <w:rPr>
                <w:rFonts w:hint="eastAsia"/>
              </w:rPr>
              <w:t>等，但产生量较少。因此，环评要求首先设置旱厕，旱厕采用玻璃钢化粪池，定期清掏；施工人员生活污水为盥洗废水，水质简单，可在厂区泼洒抑尘。施工人员食堂的餐饮污水要设置隔油、隔渣池，合格的隔油、隔渣池能去除大部分浮油和较大的悬浮物，减少了动植物油污染物的排放量。餐饮污水经隔油、隔渣池处理后与上述生活污水一同泼洒抑尘。</w:t>
            </w:r>
          </w:p>
          <w:p>
            <w:pPr>
              <w:ind w:firstLine="480"/>
            </w:pPr>
            <w:r>
              <w:rPr>
                <w:rFonts w:hint="eastAsia"/>
              </w:rPr>
              <w:t>施工机械定点冲洗，并在冲洗场地内设置集水沟和简易有效的除油池，将机技冲洗等含油废水进行收集、除油处理达标后排放。凡在施工场地进行搅拌作业的，在扭拌机前台及运输车清洗处设置沉淀池。排放的废水排入沉淀池内，经沉淀处理后进行回收利用、用于洒水降尘。</w:t>
            </w:r>
          </w:p>
          <w:p>
            <w:pPr>
              <w:ind w:firstLine="0" w:firstLineChars="0"/>
              <w:rPr>
                <w:b/>
              </w:rPr>
            </w:pPr>
            <w:r>
              <w:rPr>
                <w:rFonts w:hint="eastAsia"/>
                <w:b/>
              </w:rPr>
              <w:t>三、施工期固体废弃物影响分析及防治措施</w:t>
            </w:r>
          </w:p>
          <w:p>
            <w:pPr>
              <w:ind w:firstLine="480"/>
            </w:pPr>
            <w:r>
              <w:rPr>
                <w:rFonts w:hint="eastAsia"/>
              </w:rPr>
              <w:t>施工阶段产生的固体废物主要为建筑垃圾、生活垃圾。</w:t>
            </w:r>
          </w:p>
          <w:p>
            <w:pPr>
              <w:ind w:firstLine="480"/>
            </w:pPr>
            <w:r>
              <w:rPr>
                <w:rFonts w:hint="eastAsia"/>
              </w:rPr>
              <w:t>施工期间产生的建筑垃圾主要包括灰碴、砂、石、废砖等应首先考虑回收利用，不能回收利用的，按照当地主管部门的要求送至指定地点集中处置，严禁乱堆乱放；垃圾等运输过程中，车辆要装载均衡，货物不得超出车厢体，要采取密闭措施，不得撒漏。</w:t>
            </w:r>
          </w:p>
          <w:p>
            <w:pPr>
              <w:ind w:firstLine="480"/>
            </w:pPr>
            <w:r>
              <w:rPr>
                <w:rFonts w:hint="eastAsia"/>
              </w:rPr>
              <w:t>施工人员生活垃圾主要为生活中遗弃的废弃物，施工高峰期人员约</w:t>
            </w:r>
            <w:r>
              <w:t>50</w:t>
            </w:r>
            <w:r>
              <w:rPr>
                <w:rFonts w:hint="eastAsia"/>
              </w:rPr>
              <w:t>人，按</w:t>
            </w:r>
            <w:r>
              <w:t>0.5kg/</w:t>
            </w:r>
            <w:r>
              <w:rPr>
                <w:rFonts w:hint="eastAsia"/>
              </w:rPr>
              <w:t>人•</w:t>
            </w:r>
            <w:r>
              <w:t>d</w:t>
            </w:r>
            <w:r>
              <w:rPr>
                <w:rFonts w:hint="eastAsia"/>
              </w:rPr>
              <w:t>计，则生活垃圾产生量约</w:t>
            </w:r>
            <w:r>
              <w:t>25kg/d</w:t>
            </w:r>
            <w:r>
              <w:rPr>
                <w:rFonts w:hint="eastAsia"/>
              </w:rPr>
              <w:t>。在施工区域内设临时集中收集点，运至市政环卫部门指定的地点。</w:t>
            </w:r>
          </w:p>
          <w:p>
            <w:pPr>
              <w:ind w:firstLine="0" w:firstLineChars="0"/>
              <w:rPr>
                <w:b/>
              </w:rPr>
            </w:pPr>
            <w:r>
              <w:rPr>
                <w:rFonts w:hint="eastAsia"/>
                <w:b/>
              </w:rPr>
              <w:t>四、施工期声环境影晌分析及防治措施</w:t>
            </w:r>
          </w:p>
          <w:p>
            <w:pPr>
              <w:ind w:firstLine="480"/>
            </w:pPr>
            <w:r>
              <w:rPr>
                <w:rFonts w:hint="eastAsia"/>
                <w:bCs/>
              </w:rPr>
              <w:t>施工噪声主要来源于施工机械设备产生的噪声，如装载机、吊车、载重汽车、电钻等，</w:t>
            </w:r>
            <w:r>
              <w:rPr>
                <w:rFonts w:hint="eastAsia"/>
              </w:rPr>
              <w:t>噪声值为</w:t>
            </w:r>
            <w:r>
              <w:t>70-110dB</w:t>
            </w:r>
            <w:r>
              <w:rPr>
                <w:rFonts w:hint="eastAsia"/>
              </w:rPr>
              <w:t>（</w:t>
            </w:r>
            <w:r>
              <w:t>A</w:t>
            </w:r>
            <w:r>
              <w:rPr>
                <w:rFonts w:hint="eastAsia"/>
              </w:rPr>
              <w:t>）。</w:t>
            </w:r>
          </w:p>
          <w:p>
            <w:pPr>
              <w:ind w:firstLine="480"/>
            </w:pPr>
            <w:r>
              <w:rPr>
                <w:rFonts w:hint="eastAsia"/>
              </w:rPr>
              <w:t>本项目施工期不同阶段噪声源及声压等级见下表。</w:t>
            </w:r>
          </w:p>
          <w:p>
            <w:pPr>
              <w:ind w:firstLine="0" w:firstLineChars="0"/>
              <w:jc w:val="center"/>
              <w:rPr>
                <w:rFonts w:ascii="黑体" w:hAnsi="黑体" w:eastAsia="黑体"/>
              </w:rPr>
            </w:pPr>
            <w:r>
              <w:rPr>
                <w:rFonts w:hint="eastAsia" w:ascii="黑体" w:hAnsi="黑体" w:eastAsia="黑体"/>
              </w:rPr>
              <w:t>表</w:t>
            </w:r>
            <w:r>
              <w:rPr>
                <w:rFonts w:ascii="黑体" w:hAnsi="黑体" w:eastAsia="黑体"/>
              </w:rPr>
              <w:t>31</w:t>
            </w:r>
            <w:r>
              <w:rPr>
                <w:rFonts w:hint="eastAsia" w:ascii="黑体" w:hAnsi="黑体" w:eastAsia="黑体"/>
              </w:rPr>
              <w:t xml:space="preserve">  施工期主要噪声源及声压等级</w:t>
            </w:r>
          </w:p>
          <w:tbl>
            <w:tblPr>
              <w:tblStyle w:val="70"/>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382"/>
              <w:gridCol w:w="3560"/>
              <w:gridCol w:w="2379"/>
              <w:gridCol w:w="1746"/>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62"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bCs/>
                      <w:sz w:val="21"/>
                      <w:szCs w:val="21"/>
                    </w:rPr>
                  </w:pPr>
                  <w:r>
                    <w:rPr>
                      <w:rFonts w:hint="eastAsia"/>
                      <w:bCs/>
                      <w:sz w:val="21"/>
                      <w:szCs w:val="21"/>
                    </w:rPr>
                    <w:t>施工阶段</w:t>
                  </w:r>
                </w:p>
              </w:tc>
              <w:tc>
                <w:tcPr>
                  <w:tcW w:w="1963"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bCs/>
                      <w:sz w:val="21"/>
                      <w:szCs w:val="21"/>
                    </w:rPr>
                  </w:pPr>
                  <w:r>
                    <w:rPr>
                      <w:rFonts w:hint="eastAsia"/>
                      <w:bCs/>
                      <w:sz w:val="21"/>
                      <w:szCs w:val="21"/>
                    </w:rPr>
                    <w:t>主要噪声源</w:t>
                  </w:r>
                </w:p>
              </w:tc>
              <w:tc>
                <w:tcPr>
                  <w:tcW w:w="1312"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bCs/>
                      <w:sz w:val="21"/>
                      <w:szCs w:val="21"/>
                    </w:rPr>
                  </w:pPr>
                  <w:r>
                    <w:rPr>
                      <w:rFonts w:hint="eastAsia"/>
                      <w:bCs/>
                      <w:sz w:val="21"/>
                      <w:szCs w:val="21"/>
                    </w:rPr>
                    <w:t>噪声级</w:t>
                  </w:r>
                  <w:r>
                    <w:rPr>
                      <w:bCs/>
                      <w:sz w:val="21"/>
                      <w:szCs w:val="21"/>
                    </w:rPr>
                    <w:t>[dB(A)]</w:t>
                  </w:r>
                </w:p>
              </w:tc>
              <w:tc>
                <w:tcPr>
                  <w:tcW w:w="963"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bCs/>
                      <w:sz w:val="21"/>
                      <w:szCs w:val="21"/>
                    </w:rPr>
                  </w:pPr>
                  <w:r>
                    <w:rPr>
                      <w:rFonts w:hint="eastAsia"/>
                      <w:bCs/>
                      <w:sz w:val="21"/>
                      <w:szCs w:val="21"/>
                    </w:rPr>
                    <w:t>备注</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62"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bCs/>
                      <w:sz w:val="21"/>
                      <w:szCs w:val="21"/>
                    </w:rPr>
                  </w:pPr>
                  <w:r>
                    <w:rPr>
                      <w:rFonts w:hint="eastAsia"/>
                      <w:bCs/>
                      <w:sz w:val="21"/>
                      <w:szCs w:val="21"/>
                    </w:rPr>
                    <w:t>基础阶段</w:t>
                  </w:r>
                </w:p>
              </w:tc>
              <w:tc>
                <w:tcPr>
                  <w:tcW w:w="1963"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bCs/>
                      <w:sz w:val="21"/>
                      <w:szCs w:val="21"/>
                    </w:rPr>
                  </w:pPr>
                  <w:r>
                    <w:rPr>
                      <w:rFonts w:hint="eastAsia"/>
                      <w:bCs/>
                      <w:sz w:val="21"/>
                      <w:szCs w:val="21"/>
                    </w:rPr>
                    <w:t>装载机等</w:t>
                  </w:r>
                </w:p>
              </w:tc>
              <w:tc>
                <w:tcPr>
                  <w:tcW w:w="1312"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bCs/>
                      <w:sz w:val="21"/>
                      <w:szCs w:val="21"/>
                    </w:rPr>
                  </w:pPr>
                  <w:r>
                    <w:rPr>
                      <w:bCs/>
                      <w:sz w:val="21"/>
                      <w:szCs w:val="21"/>
                    </w:rPr>
                    <w:t>110</w:t>
                  </w:r>
                </w:p>
              </w:tc>
              <w:tc>
                <w:tcPr>
                  <w:tcW w:w="963"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bCs/>
                      <w:sz w:val="21"/>
                      <w:szCs w:val="21"/>
                    </w:rPr>
                  </w:pPr>
                  <w:r>
                    <w:rPr>
                      <w:rFonts w:hint="eastAsia"/>
                      <w:bCs/>
                      <w:sz w:val="21"/>
                      <w:szCs w:val="21"/>
                    </w:rPr>
                    <w:t>距声源</w:t>
                  </w:r>
                  <w:r>
                    <w:rPr>
                      <w:bCs/>
                      <w:sz w:val="21"/>
                      <w:szCs w:val="21"/>
                    </w:rPr>
                    <w:t>1.0m</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62"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bCs/>
                      <w:sz w:val="21"/>
                      <w:szCs w:val="21"/>
                    </w:rPr>
                  </w:pPr>
                  <w:r>
                    <w:rPr>
                      <w:rFonts w:hint="eastAsia"/>
                      <w:bCs/>
                      <w:sz w:val="21"/>
                      <w:szCs w:val="21"/>
                    </w:rPr>
                    <w:t>结构阶段</w:t>
                  </w:r>
                </w:p>
              </w:tc>
              <w:tc>
                <w:tcPr>
                  <w:tcW w:w="1963"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bCs/>
                      <w:sz w:val="21"/>
                      <w:szCs w:val="21"/>
                    </w:rPr>
                  </w:pPr>
                  <w:r>
                    <w:rPr>
                      <w:rFonts w:hint="eastAsia"/>
                      <w:bCs/>
                      <w:sz w:val="21"/>
                      <w:szCs w:val="21"/>
                    </w:rPr>
                    <w:t>吊车、载重汽车等</w:t>
                  </w:r>
                </w:p>
              </w:tc>
              <w:tc>
                <w:tcPr>
                  <w:tcW w:w="1312"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bCs/>
                      <w:sz w:val="21"/>
                      <w:szCs w:val="21"/>
                    </w:rPr>
                  </w:pPr>
                  <w:r>
                    <w:rPr>
                      <w:bCs/>
                      <w:sz w:val="21"/>
                      <w:szCs w:val="21"/>
                    </w:rPr>
                    <w:t>95~110</w:t>
                  </w:r>
                </w:p>
              </w:tc>
              <w:tc>
                <w:tcPr>
                  <w:tcW w:w="963"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bCs/>
                      <w:sz w:val="21"/>
                      <w:szCs w:val="21"/>
                    </w:rPr>
                  </w:pPr>
                  <w:r>
                    <w:rPr>
                      <w:rFonts w:hint="eastAsia"/>
                      <w:bCs/>
                      <w:sz w:val="21"/>
                      <w:szCs w:val="21"/>
                    </w:rPr>
                    <w:t>距声源</w:t>
                  </w:r>
                  <w:r>
                    <w:rPr>
                      <w:bCs/>
                      <w:sz w:val="21"/>
                      <w:szCs w:val="21"/>
                    </w:rPr>
                    <w:t>1.0m</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62"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bCs/>
                      <w:sz w:val="21"/>
                      <w:szCs w:val="21"/>
                    </w:rPr>
                  </w:pPr>
                  <w:r>
                    <w:rPr>
                      <w:rFonts w:hint="eastAsia"/>
                      <w:bCs/>
                      <w:sz w:val="21"/>
                      <w:szCs w:val="21"/>
                    </w:rPr>
                    <w:t>安装阶段</w:t>
                  </w:r>
                </w:p>
              </w:tc>
              <w:tc>
                <w:tcPr>
                  <w:tcW w:w="1963"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bCs/>
                      <w:sz w:val="21"/>
                      <w:szCs w:val="21"/>
                    </w:rPr>
                  </w:pPr>
                  <w:r>
                    <w:rPr>
                      <w:rFonts w:hint="eastAsia"/>
                      <w:bCs/>
                      <w:sz w:val="21"/>
                      <w:szCs w:val="21"/>
                    </w:rPr>
                    <w:t>无长时间操作的主要噪声源</w:t>
                  </w:r>
                </w:p>
              </w:tc>
              <w:tc>
                <w:tcPr>
                  <w:tcW w:w="1312"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bCs/>
                      <w:sz w:val="21"/>
                      <w:szCs w:val="21"/>
                    </w:rPr>
                  </w:pPr>
                  <w:r>
                    <w:rPr>
                      <w:bCs/>
                      <w:sz w:val="21"/>
                      <w:szCs w:val="21"/>
                    </w:rPr>
                    <w:t>85~90</w:t>
                  </w:r>
                </w:p>
              </w:tc>
              <w:tc>
                <w:tcPr>
                  <w:tcW w:w="963" w:type="pct"/>
                  <w:tcBorders>
                    <w:top w:val="single" w:color="auto" w:sz="2" w:space="0"/>
                    <w:left w:val="single" w:color="auto" w:sz="2" w:space="0"/>
                    <w:bottom w:val="single" w:color="auto" w:sz="2" w:space="0"/>
                    <w:right w:val="single" w:color="auto" w:sz="2" w:space="0"/>
                  </w:tcBorders>
                  <w:vAlign w:val="center"/>
                </w:tcPr>
                <w:p>
                  <w:pPr>
                    <w:spacing w:line="240" w:lineRule="auto"/>
                    <w:ind w:firstLine="0" w:firstLineChars="0"/>
                    <w:jc w:val="center"/>
                    <w:rPr>
                      <w:bCs/>
                      <w:sz w:val="21"/>
                      <w:szCs w:val="21"/>
                    </w:rPr>
                  </w:pPr>
                  <w:r>
                    <w:rPr>
                      <w:rFonts w:hint="eastAsia"/>
                      <w:bCs/>
                      <w:sz w:val="21"/>
                      <w:szCs w:val="21"/>
                    </w:rPr>
                    <w:t>距声源</w:t>
                  </w:r>
                  <w:r>
                    <w:rPr>
                      <w:bCs/>
                      <w:sz w:val="21"/>
                      <w:szCs w:val="21"/>
                    </w:rPr>
                    <w:t>1.5m</w:t>
                  </w:r>
                </w:p>
              </w:tc>
            </w:tr>
          </w:tbl>
          <w:p>
            <w:pPr>
              <w:ind w:firstLine="480"/>
            </w:pPr>
            <w:r>
              <w:rPr>
                <w:rFonts w:hint="eastAsia"/>
              </w:rPr>
              <w:t>评价要求采取以下措施减轻噪声影响：</w:t>
            </w:r>
          </w:p>
          <w:p>
            <w:pPr>
              <w:ind w:firstLine="480"/>
            </w:pPr>
            <w:r>
              <w:rPr>
                <w:rFonts w:hint="eastAsia"/>
              </w:rPr>
              <w:t>（</w:t>
            </w:r>
            <w:r>
              <w:t>1</w:t>
            </w:r>
            <w:r>
              <w:rPr>
                <w:rFonts w:hint="eastAsia"/>
              </w:rPr>
              <w:t>）企业在施工过程要合理安排施工时间，所有产噪设备施工时间应尽量安排在日间，严格控制夜间施工，在</w:t>
            </w:r>
            <w:r>
              <w:t>22</w:t>
            </w:r>
            <w:r>
              <w:rPr>
                <w:rFonts w:hint="eastAsia"/>
              </w:rPr>
              <w:t>时至次日</w:t>
            </w:r>
            <w:r>
              <w:t>6</w:t>
            </w:r>
            <w:r>
              <w:rPr>
                <w:rFonts w:hint="eastAsia"/>
              </w:rPr>
              <w:t>时不得施工，高噪声设备禁止夜间施工；</w:t>
            </w:r>
          </w:p>
          <w:p>
            <w:pPr>
              <w:ind w:firstLine="480"/>
            </w:pPr>
            <w:r>
              <w:rPr>
                <w:rFonts w:hint="eastAsia"/>
              </w:rPr>
              <w:t>（</w:t>
            </w:r>
            <w:r>
              <w:t>2</w:t>
            </w:r>
            <w:r>
              <w:rPr>
                <w:rFonts w:hint="eastAsia"/>
              </w:rPr>
              <w:t>）由于工艺或工程进度要求需在夜间施工时，需事先征得环保部门的同意，并树立公告牌向周边居民说明情况；</w:t>
            </w:r>
          </w:p>
          <w:p>
            <w:pPr>
              <w:ind w:firstLine="480"/>
            </w:pPr>
            <w:r>
              <w:rPr>
                <w:rFonts w:hint="eastAsia"/>
              </w:rPr>
              <w:t>（</w:t>
            </w:r>
            <w:r>
              <w:t>3</w:t>
            </w:r>
            <w:r>
              <w:rPr>
                <w:rFonts w:hint="eastAsia"/>
              </w:rPr>
              <w:t>）采用低噪声设备，对动力机械设备进行定期维修、养护，避免因设备松动部件的震动或消声器破坏而加大其工作时的声级；</w:t>
            </w:r>
          </w:p>
          <w:p>
            <w:pPr>
              <w:ind w:firstLine="480"/>
            </w:pPr>
            <w:r>
              <w:rPr>
                <w:rFonts w:hint="eastAsia"/>
              </w:rPr>
              <w:t>（</w:t>
            </w:r>
            <w:r>
              <w:t>4</w:t>
            </w:r>
            <w:r>
              <w:rPr>
                <w:rFonts w:hint="eastAsia"/>
              </w:rPr>
              <w:t>）在模板、支架的拆卸过程中应遵守作业规定，减少碰撞噪声；</w:t>
            </w:r>
          </w:p>
          <w:p>
            <w:pPr>
              <w:ind w:firstLine="480"/>
            </w:pPr>
            <w:r>
              <w:rPr>
                <w:rFonts w:hint="eastAsia"/>
              </w:rPr>
              <w:t>（</w:t>
            </w:r>
            <w:r>
              <w:t>5</w:t>
            </w:r>
            <w:r>
              <w:rPr>
                <w:rFonts w:hint="eastAsia"/>
              </w:rPr>
              <w:t>）合理布局，避免在同一地点安排大量动力机械设备，以避免局部声级过高；</w:t>
            </w:r>
          </w:p>
          <w:p>
            <w:pPr>
              <w:ind w:firstLine="480"/>
            </w:pPr>
            <w:r>
              <w:rPr>
                <w:rFonts w:hint="eastAsia"/>
              </w:rPr>
              <w:t>（</w:t>
            </w:r>
            <w:r>
              <w:t>6</w:t>
            </w:r>
            <w:r>
              <w:rPr>
                <w:rFonts w:hint="eastAsia"/>
              </w:rPr>
              <w:t>）为避免设备噪声对施工人员造成影响，评价建议项目施工时要合理安排工作人员，轮流操作机械，减少工人接触高噪音时间；对声源附近工作时间较长的工人，应采取分发防护耳塞保护措施，使工人自身防护得到保障。</w:t>
            </w:r>
          </w:p>
          <w:p>
            <w:pPr>
              <w:ind w:firstLine="480"/>
            </w:pPr>
            <w:r>
              <w:rPr>
                <w:rFonts w:hint="eastAsia"/>
              </w:rPr>
              <w:t>严格控制建设施工作业时间。对施工现场的强噪声设备须合理布局，远离边界和敏感区，确保噪声达标排放，减少噪声扰民。</w:t>
            </w:r>
          </w:p>
          <w:p>
            <w:pPr>
              <w:ind w:firstLine="0" w:firstLineChars="0"/>
              <w:rPr>
                <w:b/>
              </w:rPr>
            </w:pPr>
            <w:r>
              <w:rPr>
                <w:rFonts w:hint="eastAsia"/>
                <w:b/>
              </w:rPr>
              <w:t>五、施工期生态影晌分析及防治措施</w:t>
            </w:r>
          </w:p>
          <w:p>
            <w:pPr>
              <w:ind w:firstLine="480"/>
            </w:pPr>
            <w:r>
              <w:rPr>
                <w:rFonts w:hint="eastAsia"/>
              </w:rPr>
              <w:t>本项目建设厂址位于交城县水峪贯镇西冶村东南方向，地处交城县西北部山区。施工期对生态环境影响主要表现在工程对土地的永久占用，改变了土地类型，工程挖、填方引起原有地形地貌的改变；施工期产生的弃土、弃渣和地表开挖、填筑形成裸露边坡而引起的水土流失。</w:t>
            </w:r>
          </w:p>
          <w:p>
            <w:pPr>
              <w:ind w:firstLine="480"/>
            </w:pPr>
            <w:r>
              <w:rPr>
                <w:rFonts w:hint="eastAsia"/>
              </w:rPr>
              <w:t>项目区周围天然植被覆盖度较高，在施工过程中场地开挖、填筑和平整，不可避免地造成水土流失，为效防止水土流失，建议采取以下防治措施：</w:t>
            </w:r>
          </w:p>
          <w:p>
            <w:pPr>
              <w:ind w:firstLine="480"/>
            </w:pPr>
            <w:r>
              <w:rPr>
                <w:rFonts w:hint="eastAsia"/>
              </w:rPr>
              <w:t>（</w:t>
            </w:r>
            <w:r>
              <w:t>1</w:t>
            </w:r>
            <w:r>
              <w:rPr>
                <w:rFonts w:hint="eastAsia"/>
              </w:rPr>
              <w:t>）根据需要增设必要的临时雨水排水沟道，夯实裸露地面，尽量减缓雨水对泥土的冲刷和水土流失。</w:t>
            </w:r>
          </w:p>
          <w:p>
            <w:pPr>
              <w:ind w:firstLine="480"/>
            </w:pPr>
            <w:r>
              <w:rPr>
                <w:rFonts w:hint="eastAsia"/>
              </w:rPr>
              <w:t>（</w:t>
            </w:r>
            <w:r>
              <w:t>2</w:t>
            </w:r>
            <w:r>
              <w:rPr>
                <w:rFonts w:hint="eastAsia"/>
              </w:rPr>
              <w:t>）弃土和施工废料及时清运。</w:t>
            </w:r>
          </w:p>
          <w:p>
            <w:pPr>
              <w:ind w:firstLine="480"/>
            </w:pPr>
            <w:r>
              <w:rPr>
                <w:rFonts w:hint="eastAsia"/>
              </w:rPr>
              <w:t>（</w:t>
            </w:r>
            <w:r>
              <w:t>3</w:t>
            </w:r>
            <w:r>
              <w:rPr>
                <w:rFonts w:hint="eastAsia"/>
              </w:rPr>
              <w:t>）施工完成后对裸地绿化，搞好植被的恢复、再造，做到表土不裸露。</w:t>
            </w:r>
          </w:p>
          <w:p>
            <w:pPr>
              <w:ind w:firstLine="480"/>
            </w:pPr>
            <w:r>
              <w:rPr>
                <w:rFonts w:hint="eastAsia"/>
              </w:rPr>
              <w:t>（</w:t>
            </w:r>
            <w:r>
              <w:t>4</w:t>
            </w:r>
            <w:r>
              <w:rPr>
                <w:rFonts w:hint="eastAsia"/>
              </w:rPr>
              <w:t>）控制施工作业时间，尽量避免在大风和雨天进行大规模的土石方开挖工作。采取措施后可使水土流失降低到最小程度。</w:t>
            </w:r>
          </w:p>
          <w:p>
            <w:pPr>
              <w:ind w:firstLine="480"/>
            </w:pPr>
            <w:r>
              <w:rPr>
                <w:rFonts w:hint="eastAsia"/>
              </w:rPr>
              <w:t>（</w:t>
            </w:r>
            <w:r>
              <w:t>5</w:t>
            </w:r>
            <w:r>
              <w:rPr>
                <w:rFonts w:hint="eastAsia"/>
              </w:rPr>
              <w:t>）合理组织土方调配、及时填平压实。</w:t>
            </w: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5" w:hRule="atLeast"/>
        </w:trPr>
        <w:tc>
          <w:tcPr>
            <w:tcW w:w="8942" w:type="dxa"/>
          </w:tcPr>
          <w:p>
            <w:pPr>
              <w:pStyle w:val="186"/>
              <w:spacing w:line="480" w:lineRule="exact"/>
              <w:rPr>
                <w:rFonts w:ascii="宋体" w:hAnsi="宋体" w:eastAsia="宋体"/>
                <w:b/>
              </w:rPr>
            </w:pPr>
            <w:r>
              <w:rPr>
                <w:rFonts w:ascii="宋体" w:hAnsi="宋体" w:eastAsia="宋体"/>
                <w:b/>
              </w:rPr>
              <w:t>营运期环境影响分析：</w:t>
            </w:r>
          </w:p>
          <w:p>
            <w:pPr>
              <w:pStyle w:val="172"/>
              <w:ind w:firstLine="0"/>
              <w:rPr>
                <w:rFonts w:ascii="Times New Roman" w:hAnsi="Times New Roman" w:eastAsia="宋体"/>
                <w:b/>
              </w:rPr>
            </w:pPr>
            <w:r>
              <w:rPr>
                <w:rFonts w:ascii="Times New Roman" w:hAnsi="宋体" w:eastAsia="宋体"/>
                <w:b/>
              </w:rPr>
              <w:t>一、营运期大气</w:t>
            </w:r>
            <w:r>
              <w:rPr>
                <w:rFonts w:hint="eastAsia" w:ascii="Times New Roman" w:hAnsi="宋体" w:eastAsia="宋体"/>
                <w:b/>
              </w:rPr>
              <w:t>污染源强及</w:t>
            </w:r>
            <w:r>
              <w:rPr>
                <w:rFonts w:ascii="Times New Roman" w:hAnsi="宋体" w:eastAsia="宋体"/>
                <w:b/>
              </w:rPr>
              <w:t>环境影响分析</w:t>
            </w:r>
          </w:p>
          <w:p>
            <w:pPr>
              <w:pStyle w:val="144"/>
              <w:spacing w:before="0" w:after="0"/>
              <w:ind w:firstLine="0" w:firstLineChars="0"/>
              <w:rPr>
                <w:b/>
              </w:rPr>
            </w:pPr>
            <w:r>
              <w:rPr>
                <w:rFonts w:hint="eastAsia"/>
                <w:b/>
              </w:rPr>
              <w:t>1、大气污染源强</w:t>
            </w:r>
          </w:p>
          <w:p>
            <w:pPr>
              <w:pStyle w:val="144"/>
              <w:spacing w:before="0" w:after="0"/>
              <w:ind w:firstLine="0" w:firstLineChars="0"/>
              <w:rPr>
                <w:b/>
              </w:rPr>
            </w:pPr>
            <w:r>
              <w:rPr>
                <w:rFonts w:hint="eastAsia"/>
                <w:b/>
              </w:rPr>
              <w:t>G</w:t>
            </w:r>
            <w:r>
              <w:rPr>
                <w:rFonts w:hint="eastAsia"/>
                <w:b/>
                <w:vertAlign w:val="subscript"/>
              </w:rPr>
              <w:t>1</w:t>
            </w:r>
            <w:r>
              <w:rPr>
                <w:rFonts w:hint="eastAsia" w:hAnsi="宋体"/>
                <w:b/>
              </w:rPr>
              <w:t>：运输扬尘</w:t>
            </w:r>
          </w:p>
          <w:p>
            <w:pPr>
              <w:pStyle w:val="144"/>
              <w:spacing w:before="0" w:after="0"/>
              <w:ind w:firstLine="480"/>
            </w:pPr>
            <w:r>
              <w:rPr>
                <w:rFonts w:hint="eastAsia"/>
              </w:rPr>
              <w:t>原料在运进厂区及成品在运出厂区过程中均会产生道路扬尘，其产尘量采用下述经验公式估算，经验公式如下：</w:t>
            </w:r>
          </w:p>
          <w:p>
            <w:pPr>
              <w:pStyle w:val="150"/>
              <w:ind w:firstLine="1213" w:firstLineChars="578"/>
              <w:jc w:val="both"/>
              <w:rPr>
                <w:sz w:val="24"/>
                <w:szCs w:val="24"/>
              </w:rPr>
            </w:pPr>
            <w:r>
              <w:rPr>
                <w:position w:val="-24"/>
              </w:rPr>
              <w:object>
                <v:shape id="_x0000_i1030" o:spt="75" type="#_x0000_t75" style="height:28.5pt;width:151.5pt;" o:ole="t" filled="f" o:preferrelative="t" stroked="f" coordsize="21600,21600">
                  <v:path/>
                  <v:fill on="f" focussize="0,0"/>
                  <v:stroke on="f" joinstyle="miter"/>
                  <v:imagedata r:id="rId27" o:title=""/>
                  <o:lock v:ext="edit" aspectratio="t"/>
                  <w10:wrap type="none"/>
                  <w10:anchorlock/>
                </v:shape>
                <o:OLEObject Type="Embed" ProgID="Equation.DSMT4" ShapeID="_x0000_i1030" DrawAspect="Content" ObjectID="_1468075730" r:id="rId26">
                  <o:LockedField>false</o:LockedField>
                </o:OLEObject>
              </w:object>
            </w:r>
            <w:r>
              <w:t xml:space="preserve">  </w:t>
            </w:r>
            <w:r>
              <w:rPr>
                <w:sz w:val="24"/>
                <w:szCs w:val="24"/>
              </w:rPr>
              <w:t>(kg/km</w:t>
            </w:r>
            <w:r>
              <w:rPr>
                <w:sz w:val="24"/>
                <w:szCs w:val="24"/>
              </w:rPr>
              <w:sym w:font="Symbol" w:char="00D7"/>
            </w:r>
            <w:r>
              <w:rPr>
                <w:rFonts w:hint="eastAsia"/>
                <w:sz w:val="24"/>
                <w:szCs w:val="24"/>
              </w:rPr>
              <w:t>辆</w:t>
            </w:r>
            <w:r>
              <w:rPr>
                <w:sz w:val="24"/>
                <w:szCs w:val="24"/>
              </w:rPr>
              <w:t>)</w:t>
            </w:r>
          </w:p>
          <w:p>
            <w:pPr>
              <w:pStyle w:val="150"/>
              <w:ind w:firstLine="1155" w:firstLineChars="550"/>
              <w:jc w:val="both"/>
              <w:rPr>
                <w:sz w:val="24"/>
                <w:szCs w:val="24"/>
              </w:rPr>
            </w:pPr>
            <w:r>
              <w:rPr>
                <w:position w:val="-24"/>
              </w:rPr>
              <w:object>
                <v:shape id="_x0000_i1031" o:spt="75" type="#_x0000_t75" style="height:28.5pt;width:72pt;" o:ole="t" filled="f" o:preferrelative="t" stroked="f" coordsize="21600,21600">
                  <v:path/>
                  <v:fill on="f" focussize="0,0"/>
                  <v:stroke on="f" joinstyle="miter"/>
                  <v:imagedata r:id="rId29" o:title=""/>
                  <o:lock v:ext="edit" aspectratio="t"/>
                  <w10:wrap type="none"/>
                  <w10:anchorlock/>
                </v:shape>
                <o:OLEObject Type="Embed" ProgID="Equation.DSMT4" ShapeID="_x0000_i1031" DrawAspect="Content" ObjectID="_1468075731" r:id="rId28">
                  <o:LockedField>false</o:LockedField>
                </o:OLEObject>
              </w:object>
            </w:r>
            <w:r>
              <w:t xml:space="preserve"> </w:t>
            </w:r>
            <w:r>
              <w:rPr>
                <w:rFonts w:hint="eastAsia"/>
              </w:rPr>
              <w:t>（</w:t>
            </w:r>
            <w:r>
              <w:t>kg/a</w:t>
            </w:r>
            <w:r>
              <w:rPr>
                <w:rFonts w:hint="eastAsia"/>
              </w:rPr>
              <w:t>）</w:t>
            </w:r>
          </w:p>
          <w:p>
            <w:pPr>
              <w:pStyle w:val="144"/>
              <w:spacing w:before="0" w:after="0"/>
              <w:ind w:firstLine="480"/>
            </w:pPr>
            <w:r>
              <w:rPr>
                <w:rFonts w:hint="eastAsia"/>
              </w:rPr>
              <w:t>式中：</w:t>
            </w:r>
            <w:r>
              <w:rPr>
                <w:position w:val="-14"/>
              </w:rPr>
              <w:object>
                <v:shape id="_x0000_i1032" o:spt="75" type="#_x0000_t75" style="height:21.75pt;width:14.25pt;" o:ole="t" filled="f" o:preferrelative="t" stroked="f" coordsize="21600,21600">
                  <v:path/>
                  <v:fill on="f" focussize="0,0"/>
                  <v:stroke on="f" joinstyle="miter"/>
                  <v:imagedata r:id="rId31" o:title=""/>
                  <o:lock v:ext="edit" aspectratio="t"/>
                  <w10:wrap type="none"/>
                  <w10:anchorlock/>
                </v:shape>
                <o:OLEObject Type="Embed" ProgID="Equation.DSMT4" ShapeID="_x0000_i1032" DrawAspect="Content" ObjectID="_1468075732" r:id="rId30">
                  <o:LockedField>false</o:LockedField>
                </o:OLEObject>
              </w:object>
            </w:r>
            <w:r>
              <w:rPr>
                <w:rFonts w:hint="eastAsia" w:ascii="宋体" w:hAnsi="宋体"/>
              </w:rPr>
              <w:t>：运输起尘量，</w:t>
            </w:r>
            <w:r>
              <w:t>kg/km</w:t>
            </w:r>
            <w:r>
              <w:rPr>
                <w:rFonts w:hint="eastAsia"/>
              </w:rPr>
              <w:t>·辆；</w:t>
            </w:r>
          </w:p>
          <w:p>
            <w:pPr>
              <w:pStyle w:val="144"/>
              <w:spacing w:before="0" w:after="0"/>
              <w:ind w:firstLine="480"/>
            </w:pPr>
            <w:r>
              <w:t xml:space="preserve">      </w:t>
            </w:r>
            <w:r>
              <w:rPr>
                <w:position w:val="-10"/>
              </w:rPr>
              <w:object>
                <v:shape id="_x0000_i1033" o:spt="75" type="#_x0000_t75" style="height:14.25pt;width:21.75pt;" o:ole="t" filled="f" o:preferrelative="t" stroked="f" coordsize="21600,21600">
                  <v:path/>
                  <v:fill on="f" focussize="0,0"/>
                  <v:stroke on="f" joinstyle="miter"/>
                  <v:imagedata r:id="rId33" o:title=""/>
                  <o:lock v:ext="edit" aspectratio="t"/>
                  <w10:wrap type="none"/>
                  <w10:anchorlock/>
                </v:shape>
                <o:OLEObject Type="Embed" ProgID="Equation.DSMT4" ShapeID="_x0000_i1033" DrawAspect="Content" ObjectID="_1468075733" r:id="rId32">
                  <o:LockedField>false</o:LockedField>
                </o:OLEObject>
              </w:object>
            </w:r>
            <w:r>
              <w:rPr>
                <w:rFonts w:hint="eastAsia"/>
              </w:rPr>
              <w:t>：运输途中起尘总量，</w:t>
            </w:r>
            <w:r>
              <w:t>kg/a</w:t>
            </w:r>
            <w:r>
              <w:rPr>
                <w:rFonts w:hint="eastAsia"/>
              </w:rPr>
              <w:t>；</w:t>
            </w:r>
          </w:p>
          <w:p>
            <w:pPr>
              <w:pStyle w:val="144"/>
              <w:spacing w:before="0" w:after="0"/>
              <w:ind w:firstLine="480"/>
            </w:pPr>
            <w:r>
              <w:t xml:space="preserve">      </w:t>
            </w:r>
            <w:r>
              <w:rPr>
                <w:position w:val="-6"/>
              </w:rPr>
              <w:object>
                <v:shape id="_x0000_i1034" o:spt="75" type="#_x0000_t75" style="height:14.25pt;width:14.25pt;" o:ole="t" filled="f" o:preferrelative="t" stroked="f" coordsize="21600,21600">
                  <v:path/>
                  <v:fill on="f" focussize="0,0"/>
                  <v:stroke on="f" joinstyle="miter"/>
                  <v:imagedata r:id="rId35" o:title=""/>
                  <o:lock v:ext="edit" aspectratio="t"/>
                  <w10:wrap type="none"/>
                  <w10:anchorlock/>
                </v:shape>
                <o:OLEObject Type="Embed" ProgID="Equation.DSMT4" ShapeID="_x0000_i1034" DrawAspect="Content" ObjectID="_1468075734" r:id="rId34">
                  <o:LockedField>false</o:LockedField>
                </o:OLEObject>
              </w:object>
            </w:r>
            <w:r>
              <w:rPr>
                <w:rFonts w:hint="eastAsia"/>
              </w:rPr>
              <w:t>：车辆行驶速度，</w:t>
            </w:r>
            <w:r>
              <w:t>km/h</w:t>
            </w:r>
            <w:r>
              <w:rPr>
                <w:rFonts w:hint="eastAsia"/>
              </w:rPr>
              <w:t>；（</w:t>
            </w:r>
            <w:r>
              <w:t>20 km/h</w:t>
            </w:r>
            <w:r>
              <w:rPr>
                <w:rFonts w:hint="eastAsia"/>
              </w:rPr>
              <w:t>）</w:t>
            </w:r>
          </w:p>
          <w:p>
            <w:pPr>
              <w:pStyle w:val="144"/>
              <w:spacing w:before="0" w:after="0"/>
              <w:ind w:firstLine="480"/>
            </w:pPr>
            <w:r>
              <w:t xml:space="preserve">      </w:t>
            </w:r>
            <w:r>
              <w:rPr>
                <w:position w:val="-4"/>
              </w:rPr>
              <w:object>
                <v:shape id="_x0000_i1035" o:spt="75" type="#_x0000_t75" style="height:14.25pt;width:14.25pt;" o:ole="t" filled="f" o:preferrelative="t" stroked="f" coordsize="21600,21600">
                  <v:path/>
                  <v:fill on="f" focussize="0,0"/>
                  <v:stroke on="f" joinstyle="miter"/>
                  <v:imagedata r:id="rId37" o:title=""/>
                  <o:lock v:ext="edit" aspectratio="t"/>
                  <w10:wrap type="none"/>
                  <w10:anchorlock/>
                </v:shape>
                <o:OLEObject Type="Embed" ProgID="Equation.DSMT4" ShapeID="_x0000_i1035" DrawAspect="Content" ObjectID="_1468075735" r:id="rId36">
                  <o:LockedField>false</o:LockedField>
                </o:OLEObject>
              </w:object>
            </w:r>
            <w:r>
              <w:rPr>
                <w:rFonts w:hint="eastAsia"/>
              </w:rPr>
              <w:t>：车辆载重量，</w:t>
            </w:r>
            <w:r>
              <w:t>t/</w:t>
            </w:r>
            <w:r>
              <w:rPr>
                <w:rFonts w:hint="eastAsia"/>
              </w:rPr>
              <w:t>辆；（</w:t>
            </w:r>
            <w:r>
              <w:t>20 t/</w:t>
            </w:r>
            <w:r>
              <w:rPr>
                <w:rFonts w:hint="eastAsia"/>
              </w:rPr>
              <w:t>辆）</w:t>
            </w:r>
          </w:p>
          <w:p>
            <w:pPr>
              <w:pStyle w:val="144"/>
              <w:spacing w:before="0" w:after="0"/>
              <w:ind w:firstLine="480"/>
              <w:rPr>
                <w:rFonts w:ascii="宋体" w:hAnsi="宋体"/>
              </w:rPr>
            </w:pPr>
            <w:r>
              <w:t xml:space="preserve">      </w:t>
            </w:r>
            <w:r>
              <w:rPr>
                <w:position w:val="-4"/>
              </w:rPr>
              <w:object>
                <v:shape id="_x0000_i1036" o:spt="75" type="#_x0000_t75" style="height:14.25pt;width:14.25pt;" o:ole="t" filled="f" o:preferrelative="t" stroked="f" coordsize="21600,21600">
                  <v:path/>
                  <v:fill on="f" focussize="0,0"/>
                  <v:stroke on="f" joinstyle="miter"/>
                  <v:imagedata r:id="rId39" o:title=""/>
                  <o:lock v:ext="edit" aspectratio="t"/>
                  <w10:wrap type="none"/>
                  <w10:anchorlock/>
                </v:shape>
                <o:OLEObject Type="Embed" ProgID="Equation.DSMT4" ShapeID="_x0000_i1036" DrawAspect="Content" ObjectID="_1468075736" r:id="rId38">
                  <o:LockedField>false</o:LockedField>
                </o:OLEObject>
              </w:object>
            </w:r>
            <w:r>
              <w:rPr>
                <w:rFonts w:hint="eastAsia"/>
              </w:rPr>
              <w:t>：路面灰尘覆盖率，</w:t>
            </w:r>
            <w:r>
              <w:t>kg/m</w:t>
            </w:r>
            <w:r>
              <w:rPr>
                <w:vertAlign w:val="superscript"/>
              </w:rPr>
              <w:t>2</w:t>
            </w:r>
            <w:r>
              <w:rPr>
                <w:rFonts w:hint="eastAsia"/>
              </w:rPr>
              <w:t>；（</w:t>
            </w:r>
            <w:r>
              <w:t>0.8kg/m</w:t>
            </w:r>
            <w:r>
              <w:rPr>
                <w:vertAlign w:val="superscript"/>
              </w:rPr>
              <w:t>2</w:t>
            </w:r>
            <w:r>
              <w:rPr>
                <w:rFonts w:hint="eastAsia"/>
              </w:rPr>
              <w:t>）</w:t>
            </w:r>
          </w:p>
          <w:p>
            <w:pPr>
              <w:pStyle w:val="144"/>
              <w:spacing w:before="0" w:after="0"/>
              <w:ind w:firstLine="480"/>
            </w:pPr>
            <w:r>
              <w:t xml:space="preserve">      </w:t>
            </w:r>
            <w:r>
              <w:rPr>
                <w:position w:val="-4"/>
              </w:rPr>
              <w:object>
                <v:shape id="_x0000_i1037" o:spt="75" type="#_x0000_t75" style="height:14.25pt;width:14.25pt;" o:ole="t" filled="f" o:preferrelative="t" stroked="f" coordsize="21600,21600">
                  <v:path/>
                  <v:fill on="f" focussize="0,0"/>
                  <v:stroke on="f" joinstyle="miter"/>
                  <v:imagedata r:id="rId41" o:title=""/>
                  <o:lock v:ext="edit" aspectratio="t"/>
                  <w10:wrap type="none"/>
                  <w10:anchorlock/>
                </v:shape>
                <o:OLEObject Type="Embed" ProgID="Equation.DSMT4" ShapeID="_x0000_i1037" DrawAspect="Content" ObjectID="_1468075737" r:id="rId40">
                  <o:LockedField>false</o:LockedField>
                </o:OLEObject>
              </w:object>
            </w:r>
            <w:r>
              <w:rPr>
                <w:rFonts w:hint="eastAsia"/>
              </w:rPr>
              <w:t>：运输距离，</w:t>
            </w:r>
            <w:r>
              <w:t>km</w:t>
            </w:r>
            <w:r>
              <w:rPr>
                <w:rFonts w:hint="eastAsia"/>
              </w:rPr>
              <w:t>；（</w:t>
            </w:r>
            <w:r>
              <w:t>0.4km</w:t>
            </w:r>
            <w:r>
              <w:rPr>
                <w:rFonts w:hint="eastAsia"/>
              </w:rPr>
              <w:t>）</w:t>
            </w:r>
          </w:p>
          <w:p>
            <w:pPr>
              <w:pStyle w:val="144"/>
              <w:spacing w:before="0" w:after="0"/>
              <w:ind w:firstLine="480"/>
            </w:pPr>
            <w:r>
              <w:t xml:space="preserve">      </w:t>
            </w:r>
            <w:r>
              <w:rPr>
                <w:position w:val="-10"/>
                <w:szCs w:val="20"/>
              </w:rPr>
              <w:object>
                <v:shape id="_x0000_i1038" o:spt="75" type="#_x0000_t75" style="height:14.25pt;width:14.25pt;" o:ole="t" filled="f" o:preferrelative="t" stroked="f" coordsize="21600,21600">
                  <v:path/>
                  <v:fill on="f" focussize="0,0"/>
                  <v:stroke on="f" joinstyle="miter"/>
                  <v:imagedata r:id="rId43" o:title=""/>
                  <o:lock v:ext="edit" aspectratio="t"/>
                  <w10:wrap type="none"/>
                  <w10:anchorlock/>
                </v:shape>
                <o:OLEObject Type="Embed" ProgID="Equation.DSMT4" ShapeID="_x0000_i1038" DrawAspect="Content" ObjectID="_1468075738" r:id="rId42">
                  <o:LockedField>false</o:LockedField>
                </o:OLEObject>
              </w:object>
            </w:r>
            <w:r>
              <w:rPr>
                <w:rFonts w:hint="eastAsia"/>
              </w:rPr>
              <w:t>：运输量，</w:t>
            </w:r>
            <w:r>
              <w:t>t/a</w:t>
            </w:r>
            <w:r>
              <w:rPr>
                <w:rFonts w:hint="eastAsia"/>
              </w:rPr>
              <w:t>；（</w:t>
            </w:r>
            <w:r>
              <w:t>80</w:t>
            </w:r>
            <w:r>
              <w:rPr>
                <w:rFonts w:hint="eastAsia"/>
              </w:rPr>
              <w:t>0000t/a，包括原料及成品量）</w:t>
            </w:r>
          </w:p>
          <w:p>
            <w:pPr>
              <w:pStyle w:val="144"/>
              <w:snapToGrid/>
              <w:spacing w:before="0" w:after="0"/>
              <w:ind w:firstLine="480"/>
              <w:rPr>
                <w:bCs/>
              </w:rPr>
            </w:pPr>
            <w:r>
              <w:rPr>
                <w:rFonts w:hint="eastAsia"/>
                <w:bCs/>
              </w:rPr>
              <w:t>本项目年产</w:t>
            </w:r>
            <w:r>
              <w:rPr>
                <w:rFonts w:hint="eastAsia"/>
              </w:rPr>
              <w:t>4</w:t>
            </w:r>
            <w:r>
              <w:t>0</w:t>
            </w:r>
            <w:r>
              <w:rPr>
                <w:rFonts w:hint="eastAsia"/>
              </w:rPr>
              <w:t>万吨建筑骨料及微粉</w:t>
            </w:r>
            <w:r>
              <w:rPr>
                <w:rFonts w:hint="eastAsia"/>
                <w:bCs/>
              </w:rPr>
              <w:t>，采取以上公式对厂内的</w:t>
            </w:r>
            <w:r>
              <w:rPr>
                <w:bCs/>
              </w:rPr>
              <w:t>400m</w:t>
            </w:r>
            <w:r>
              <w:rPr>
                <w:rFonts w:hint="eastAsia"/>
                <w:bCs/>
              </w:rPr>
              <w:t>运输路段扬尘量进行估算，经计算本项目运输道路扬尘产生量共计</w:t>
            </w:r>
            <w:r>
              <w:rPr>
                <w:bCs/>
              </w:rPr>
              <w:t>27.55t/a</w:t>
            </w:r>
            <w:r>
              <w:rPr>
                <w:rFonts w:hint="eastAsia"/>
                <w:bCs/>
              </w:rPr>
              <w:t>。</w:t>
            </w:r>
          </w:p>
          <w:p>
            <w:pPr>
              <w:pStyle w:val="144"/>
              <w:spacing w:before="0" w:after="0"/>
              <w:ind w:firstLine="480"/>
              <w:rPr>
                <w:b/>
              </w:rPr>
            </w:pPr>
            <w:r>
              <w:rPr>
                <w:rFonts w:hint="eastAsia"/>
                <w:bCs/>
              </w:rPr>
              <w:t>环评要求对厂区道路进行硬化，运输车辆采用全封闭运输车，严禁超载；同时配备洗车平台和洒水车，保持路面清洁和车辆轮胎相对湿度；采取上述措施后，抑尘效率可达</w:t>
            </w:r>
            <w:r>
              <w:rPr>
                <w:bCs/>
              </w:rPr>
              <w:t>99%</w:t>
            </w:r>
            <w:r>
              <w:rPr>
                <w:rFonts w:hint="eastAsia"/>
                <w:bCs/>
              </w:rPr>
              <w:t>，扬尘排放量为</w:t>
            </w:r>
            <w:r>
              <w:rPr>
                <w:bCs/>
              </w:rPr>
              <w:t>0.28t/a</w:t>
            </w:r>
            <w:r>
              <w:rPr>
                <w:rFonts w:hint="eastAsia"/>
                <w:bCs/>
              </w:rPr>
              <w:t>。</w:t>
            </w:r>
          </w:p>
          <w:p>
            <w:pPr>
              <w:pStyle w:val="144"/>
              <w:spacing w:before="0" w:after="0"/>
              <w:ind w:firstLine="0" w:firstLineChars="0"/>
              <w:rPr>
                <w:rFonts w:hAnsi="宋体"/>
                <w:b/>
              </w:rPr>
            </w:pPr>
            <w:r>
              <w:rPr>
                <w:rFonts w:hint="eastAsia"/>
                <w:b/>
              </w:rPr>
              <w:t>G</w:t>
            </w:r>
            <w:r>
              <w:rPr>
                <w:rFonts w:hint="eastAsia"/>
                <w:b/>
                <w:vertAlign w:val="subscript"/>
              </w:rPr>
              <w:t>2</w:t>
            </w:r>
            <w:r>
              <w:rPr>
                <w:rFonts w:hint="eastAsia" w:hAnsi="宋体"/>
                <w:b/>
              </w:rPr>
              <w:t>：</w:t>
            </w:r>
            <w:r>
              <w:rPr>
                <w:rFonts w:hint="eastAsia"/>
                <w:b/>
              </w:rPr>
              <w:t>原料堆存、成品堆存、装卸扬尘</w:t>
            </w:r>
          </w:p>
          <w:p>
            <w:pPr>
              <w:pStyle w:val="144"/>
              <w:snapToGrid/>
              <w:spacing w:before="0" w:after="0"/>
              <w:ind w:firstLine="480"/>
            </w:pPr>
            <w:bookmarkStart w:id="14" w:name="_Hlk14969127"/>
            <w:r>
              <w:rPr>
                <w:rFonts w:hint="eastAsia"/>
              </w:rPr>
              <w:t>堆场扬尘包括两部分：堆放时随风扬尘和装卸时的扬尘。起尘量计算公式如下：</w:t>
            </w:r>
          </w:p>
          <w:p>
            <w:pPr>
              <w:pStyle w:val="144"/>
              <w:snapToGrid/>
              <w:spacing w:before="0" w:after="0"/>
              <w:ind w:firstLine="480"/>
              <w:rPr>
                <w:color w:val="FF0000"/>
              </w:rPr>
            </w:pPr>
            <w:r>
              <w:rPr>
                <w:rFonts w:hint="eastAsia"/>
              </w:rPr>
              <w:t>堆场扬尘：</w:t>
            </w:r>
            <w:r>
              <w:rPr>
                <w:rFonts w:hint="eastAsia"/>
                <w:i/>
              </w:rPr>
              <w:t>Q</w:t>
            </w:r>
            <w:r>
              <w:rPr>
                <w:rFonts w:hint="eastAsia"/>
                <w:i/>
                <w:vertAlign w:val="subscript"/>
              </w:rPr>
              <w:t>1</w:t>
            </w:r>
            <w:r>
              <w:rPr>
                <w:rFonts w:hint="eastAsia"/>
              </w:rPr>
              <w:t>=11.7</w:t>
            </w:r>
            <w:r>
              <w:rPr>
                <w:rFonts w:hint="eastAsia"/>
                <w:i/>
              </w:rPr>
              <w:t>U</w:t>
            </w:r>
            <w:r>
              <w:rPr>
                <w:rFonts w:hint="eastAsia"/>
                <w:vertAlign w:val="superscript"/>
              </w:rPr>
              <w:t>2.45</w:t>
            </w:r>
            <w:r>
              <w:rPr>
                <w:rFonts w:hint="eastAsia"/>
                <w:i/>
              </w:rPr>
              <w:t>S</w:t>
            </w:r>
            <w:r>
              <w:rPr>
                <w:rFonts w:hint="eastAsia"/>
                <w:vertAlign w:val="superscript"/>
              </w:rPr>
              <w:t>0.345</w:t>
            </w:r>
            <w:r>
              <w:rPr>
                <w:rFonts w:hint="eastAsia"/>
                <w:i/>
              </w:rPr>
              <w:t>e</w:t>
            </w:r>
            <w:r>
              <w:rPr>
                <w:rFonts w:hint="eastAsia"/>
                <w:vertAlign w:val="superscript"/>
              </w:rPr>
              <w:t>-0.5</w:t>
            </w:r>
            <w:r>
              <w:rPr>
                <w:rFonts w:hint="eastAsia"/>
                <w:i/>
                <w:vertAlign w:val="superscript"/>
              </w:rPr>
              <w:t>w</w:t>
            </w:r>
            <w:r>
              <w:rPr>
                <w:rFonts w:hint="eastAsia"/>
                <w:i/>
              </w:rPr>
              <w:t>e</w:t>
            </w:r>
            <w:r>
              <w:rPr>
                <w:rFonts w:hint="eastAsia"/>
                <w:vertAlign w:val="superscript"/>
              </w:rPr>
              <w:t>-0.55(W-0.07)</w:t>
            </w:r>
          </w:p>
          <w:p>
            <w:pPr>
              <w:pStyle w:val="144"/>
              <w:snapToGrid/>
              <w:spacing w:before="0" w:after="0"/>
              <w:ind w:firstLine="480"/>
            </w:pPr>
            <w:r>
              <w:rPr>
                <w:rFonts w:hint="eastAsia"/>
              </w:rPr>
              <w:t>装卸扬尘：</w:t>
            </w:r>
            <w:r>
              <w:rPr>
                <w:rFonts w:hint="eastAsia"/>
                <w:i/>
              </w:rPr>
              <w:t>Q</w:t>
            </w:r>
            <w:r>
              <w:rPr>
                <w:rFonts w:hint="eastAsia"/>
                <w:i/>
                <w:vertAlign w:val="subscript"/>
              </w:rPr>
              <w:t>2</w:t>
            </w:r>
            <w:r>
              <w:rPr>
                <w:rFonts w:hint="eastAsia"/>
              </w:rPr>
              <w:t>=(98.8÷6)</w:t>
            </w:r>
            <w:r>
              <w:rPr>
                <w:rFonts w:hint="eastAsia"/>
                <w:i/>
              </w:rPr>
              <w:t>Me</w:t>
            </w:r>
            <w:r>
              <w:rPr>
                <w:rFonts w:hint="eastAsia"/>
                <w:vertAlign w:val="superscript"/>
              </w:rPr>
              <w:t>-0.27</w:t>
            </w:r>
            <w:r>
              <w:rPr>
                <w:rFonts w:hint="eastAsia"/>
                <w:i/>
              </w:rPr>
              <w:t>H</w:t>
            </w:r>
            <w:r>
              <w:rPr>
                <w:rFonts w:hint="eastAsia"/>
                <w:vertAlign w:val="superscript"/>
              </w:rPr>
              <w:t>-1.283</w:t>
            </w:r>
          </w:p>
          <w:p>
            <w:pPr>
              <w:pStyle w:val="144"/>
              <w:snapToGrid/>
              <w:spacing w:before="0" w:after="0"/>
              <w:ind w:firstLine="480"/>
            </w:pPr>
            <w:r>
              <w:rPr>
                <w:rFonts w:hint="eastAsia"/>
              </w:rPr>
              <w:t>式中：</w:t>
            </w:r>
            <w:r>
              <w:rPr>
                <w:position w:val="-12"/>
              </w:rPr>
              <w:object>
                <v:shape id="_x0000_i1039" o:spt="75" type="#_x0000_t75" style="height:21.75pt;width:14.25pt;" o:ole="t" filled="f" o:preferrelative="t" stroked="f" coordsize="21600,21600">
                  <v:path/>
                  <v:fill on="f" focussize="0,0"/>
                  <v:stroke on="f" joinstyle="miter"/>
                  <v:imagedata r:id="rId45" o:title=""/>
                  <o:lock v:ext="edit" aspectratio="t"/>
                  <w10:wrap type="none"/>
                  <w10:anchorlock/>
                </v:shape>
                <o:OLEObject Type="Embed" ProgID="Equation.DSMT4" ShapeID="_x0000_i1039" DrawAspect="Content" ObjectID="_1468075739" r:id="rId44">
                  <o:LockedField>false</o:LockedField>
                </o:OLEObject>
              </w:object>
            </w:r>
            <w:r>
              <w:rPr>
                <w:rFonts w:hint="eastAsia"/>
              </w:rPr>
              <w:t>：堆场起尘量，mg/s；</w:t>
            </w:r>
          </w:p>
          <w:p>
            <w:pPr>
              <w:pStyle w:val="144"/>
              <w:snapToGrid/>
              <w:spacing w:before="0" w:after="0"/>
              <w:ind w:firstLine="480"/>
            </w:pPr>
            <w:r>
              <w:rPr>
                <w:rFonts w:hint="eastAsia"/>
              </w:rPr>
              <w:t xml:space="preserve">      </w:t>
            </w:r>
            <w:r>
              <w:rPr>
                <w:position w:val="-12"/>
              </w:rPr>
              <w:object>
                <v:shape id="_x0000_i1040" o:spt="75" type="#_x0000_t75" style="height:21.75pt;width:14.25pt;" o:ole="t" filled="f" o:preferrelative="t" stroked="f" coordsize="21600,21600">
                  <v:path/>
                  <v:fill on="f" focussize="0,0"/>
                  <v:stroke on="f" joinstyle="miter"/>
                  <v:imagedata r:id="rId47" o:title=""/>
                  <o:lock v:ext="edit" aspectratio="t"/>
                  <w10:wrap type="none"/>
                  <w10:anchorlock/>
                </v:shape>
                <o:OLEObject Type="Embed" ProgID="Equation.DSMT4" ShapeID="_x0000_i1040" DrawAspect="Content" ObjectID="_1468075740" r:id="rId46">
                  <o:LockedField>false</o:LockedField>
                </o:OLEObject>
              </w:object>
            </w:r>
            <w:r>
              <w:rPr>
                <w:rFonts w:hint="eastAsia"/>
              </w:rPr>
              <w:t>：装卸扬尘，g/次；（一年约</w:t>
            </w:r>
            <w:r>
              <w:t>20000</w:t>
            </w:r>
            <w:r>
              <w:rPr>
                <w:rFonts w:hint="eastAsia"/>
              </w:rPr>
              <w:t>次）</w:t>
            </w:r>
          </w:p>
          <w:p>
            <w:pPr>
              <w:pStyle w:val="144"/>
              <w:snapToGrid/>
              <w:spacing w:before="0" w:after="0"/>
              <w:ind w:firstLine="480"/>
            </w:pPr>
            <w:r>
              <w:rPr>
                <w:rFonts w:hint="eastAsia"/>
              </w:rPr>
              <w:t xml:space="preserve">      </w:t>
            </w:r>
            <w:r>
              <w:rPr>
                <w:position w:val="-6"/>
              </w:rPr>
              <w:object>
                <v:shape id="_x0000_i1041" o:spt="75" type="#_x0000_t75" style="height:14.25pt;width:14.25pt;" o:ole="t" filled="f" o:preferrelative="t" stroked="f" coordsize="21600,21600">
                  <v:path/>
                  <v:fill on="f" focussize="0,0"/>
                  <v:stroke on="f" joinstyle="miter"/>
                  <v:imagedata r:id="rId49" o:title=""/>
                  <o:lock v:ext="edit" aspectratio="t"/>
                  <w10:wrap type="none"/>
                  <w10:anchorlock/>
                </v:shape>
                <o:OLEObject Type="Embed" ProgID="Equation.DSMT4" ShapeID="_x0000_i1041" DrawAspect="Content" ObjectID="_1468075741" r:id="rId48">
                  <o:LockedField>false</o:LockedField>
                </o:OLEObject>
              </w:object>
            </w:r>
            <w:r>
              <w:rPr>
                <w:rFonts w:hint="eastAsia"/>
              </w:rPr>
              <w:t>：风速，m/s；起尘风速≥5.5m/s；（5.5 m/s）</w:t>
            </w:r>
          </w:p>
          <w:p>
            <w:pPr>
              <w:pStyle w:val="144"/>
              <w:snapToGrid/>
              <w:spacing w:before="0" w:after="0"/>
              <w:ind w:firstLine="480"/>
            </w:pPr>
            <w:r>
              <w:rPr>
                <w:rFonts w:hint="eastAsia"/>
              </w:rPr>
              <w:t xml:space="preserve">      </w:t>
            </w:r>
            <w:r>
              <w:rPr>
                <w:position w:val="-6"/>
              </w:rPr>
              <w:object>
                <v:shape id="_x0000_i1042" o:spt="75" type="#_x0000_t75" style="height:14.25pt;width:14.25pt;" o:ole="t" filled="f" o:preferrelative="t" stroked="f" coordsize="21600,21600">
                  <v:path/>
                  <v:fill on="f" focussize="0,0"/>
                  <v:stroke on="f" joinstyle="miter"/>
                  <v:imagedata r:id="rId51" o:title=""/>
                  <o:lock v:ext="edit" aspectratio="t"/>
                  <w10:wrap type="none"/>
                  <w10:anchorlock/>
                </v:shape>
                <o:OLEObject Type="Embed" ProgID="Equation.DSMT4" ShapeID="_x0000_i1042" DrawAspect="Content" ObjectID="_1468075742" r:id="rId50">
                  <o:LockedField>false</o:LockedField>
                </o:OLEObject>
              </w:object>
            </w:r>
            <w:r>
              <w:rPr>
                <w:rFonts w:hint="eastAsia"/>
              </w:rPr>
              <w:t>：堆场表面积，m</w:t>
            </w:r>
            <w:r>
              <w:rPr>
                <w:rFonts w:hint="eastAsia"/>
                <w:vertAlign w:val="superscript"/>
              </w:rPr>
              <w:t>2</w:t>
            </w:r>
            <w:r>
              <w:rPr>
                <w:rFonts w:hint="eastAsia"/>
              </w:rPr>
              <w:t>；（</w:t>
            </w:r>
            <w:r>
              <w:t>1200</w:t>
            </w:r>
            <w:r>
              <w:rPr>
                <w:rFonts w:hint="eastAsia"/>
              </w:rPr>
              <w:t>m</w:t>
            </w:r>
            <w:r>
              <w:rPr>
                <w:rFonts w:hint="eastAsia"/>
                <w:vertAlign w:val="superscript"/>
              </w:rPr>
              <w:t>2</w:t>
            </w:r>
            <w:r>
              <w:rPr>
                <w:rFonts w:hint="eastAsia"/>
              </w:rPr>
              <w:t>，按60%堆料量计算）</w:t>
            </w:r>
          </w:p>
          <w:p>
            <w:pPr>
              <w:pStyle w:val="144"/>
              <w:snapToGrid/>
              <w:spacing w:before="0" w:after="0"/>
              <w:ind w:firstLine="480"/>
            </w:pPr>
            <w:r>
              <w:rPr>
                <w:rFonts w:hint="eastAsia"/>
              </w:rPr>
              <w:t xml:space="preserve">      </w:t>
            </w:r>
            <w:r>
              <w:rPr>
                <w:position w:val="-6"/>
              </w:rPr>
              <w:object>
                <v:shape id="_x0000_i1043" o:spt="75" type="#_x0000_t75" style="height:14.25pt;width:14.25pt;" o:ole="t" filled="f" o:preferrelative="t" stroked="f" coordsize="21600,21600">
                  <v:path/>
                  <v:fill on="f" focussize="0,0"/>
                  <v:stroke on="f" joinstyle="miter"/>
                  <v:imagedata r:id="rId53" o:title=""/>
                  <o:lock v:ext="edit" aspectratio="t"/>
                  <w10:wrap type="none"/>
                  <w10:anchorlock/>
                </v:shape>
                <o:OLEObject Type="Embed" ProgID="Equation.DSMT4" ShapeID="_x0000_i1043" DrawAspect="Content" ObjectID="_1468075743" r:id="rId52">
                  <o:LockedField>false</o:LockedField>
                </o:OLEObject>
              </w:object>
            </w:r>
            <w:r>
              <w:rPr>
                <w:rFonts w:hint="eastAsia"/>
              </w:rPr>
              <w:t>：空气相对湿度，（%）；（60%）</w:t>
            </w:r>
          </w:p>
          <w:p>
            <w:pPr>
              <w:pStyle w:val="144"/>
              <w:snapToGrid/>
              <w:spacing w:before="0" w:after="0"/>
              <w:ind w:firstLine="480"/>
            </w:pPr>
            <w:r>
              <w:rPr>
                <w:rFonts w:hint="eastAsia"/>
              </w:rPr>
              <w:t xml:space="preserve">      </w:t>
            </w:r>
            <w:r>
              <w:rPr>
                <w:position w:val="-6"/>
              </w:rPr>
              <w:object>
                <v:shape id="_x0000_i1044" o:spt="75" type="#_x0000_t75" style="height:14.25pt;width:14.25pt;" o:ole="t" filled="f" o:preferrelative="t" stroked="f" coordsize="21600,21600">
                  <v:path/>
                  <v:fill on="f" focussize="0,0"/>
                  <v:stroke on="f" joinstyle="miter"/>
                  <v:imagedata r:id="rId55" o:title=""/>
                  <o:lock v:ext="edit" aspectratio="t"/>
                  <w10:wrap type="none"/>
                  <w10:anchorlock/>
                </v:shape>
                <o:OLEObject Type="Embed" ProgID="Equation.DSMT4" ShapeID="_x0000_i1044" DrawAspect="Content" ObjectID="_1468075744" r:id="rId54">
                  <o:LockedField>false</o:LockedField>
                </o:OLEObject>
              </w:object>
            </w:r>
            <w:r>
              <w:rPr>
                <w:rFonts w:hint="eastAsia"/>
              </w:rPr>
              <w:t>：物料湿度，%；（6%）</w:t>
            </w:r>
          </w:p>
          <w:p>
            <w:pPr>
              <w:pStyle w:val="144"/>
              <w:snapToGrid/>
              <w:spacing w:before="0" w:after="0"/>
              <w:ind w:firstLine="480"/>
            </w:pPr>
            <w:r>
              <w:rPr>
                <w:rFonts w:hint="eastAsia"/>
              </w:rPr>
              <w:t xml:space="preserve">      </w:t>
            </w:r>
            <w:r>
              <w:rPr>
                <w:position w:val="-4"/>
              </w:rPr>
              <w:object>
                <v:shape id="_x0000_i1045" o:spt="75" type="#_x0000_t75" style="height:14.25pt;width:14.25pt;" o:ole="t" filled="f" o:preferrelative="t" stroked="f" coordsize="21600,21600">
                  <v:path/>
                  <v:fill on="f" focussize="0,0"/>
                  <v:stroke on="f" joinstyle="miter"/>
                  <v:imagedata r:id="rId57" o:title=""/>
                  <o:lock v:ext="edit" aspectratio="t"/>
                  <w10:wrap type="none"/>
                  <w10:anchorlock/>
                </v:shape>
                <o:OLEObject Type="Embed" ProgID="Equation.DSMT4" ShapeID="_x0000_i1045" DrawAspect="Content" ObjectID="_1468075745" r:id="rId56">
                  <o:LockedField>false</o:LockedField>
                </o:OLEObject>
              </w:object>
            </w:r>
            <w:r>
              <w:rPr>
                <w:rFonts w:hint="eastAsia"/>
              </w:rPr>
              <w:t>：车辆吨位，t；（20t/辆）</w:t>
            </w:r>
          </w:p>
          <w:p>
            <w:pPr>
              <w:pStyle w:val="144"/>
              <w:snapToGrid/>
              <w:spacing w:before="0" w:after="0"/>
              <w:ind w:firstLine="480"/>
            </w:pPr>
            <w:r>
              <w:rPr>
                <w:rFonts w:hint="eastAsia"/>
              </w:rPr>
              <w:t xml:space="preserve">      </w:t>
            </w:r>
            <w:r>
              <w:rPr>
                <w:position w:val="-4"/>
              </w:rPr>
              <w:object>
                <v:shape id="_x0000_i1046" o:spt="75" type="#_x0000_t75" style="height:14.25pt;width:14.25pt;" o:ole="t" filled="f" o:preferrelative="t" stroked="f" coordsize="21600,21600">
                  <v:path/>
                  <v:fill on="f" focussize="0,0"/>
                  <v:stroke on="f" joinstyle="miter"/>
                  <v:imagedata r:id="rId59" o:title=""/>
                  <o:lock v:ext="edit" aspectratio="t"/>
                  <w10:wrap type="none"/>
                  <w10:anchorlock/>
                </v:shape>
                <o:OLEObject Type="Embed" ProgID="Equation.DSMT4" ShapeID="_x0000_i1046" DrawAspect="Content" ObjectID="_1468075746" r:id="rId58">
                  <o:LockedField>false</o:LockedField>
                </o:OLEObject>
              </w:object>
            </w:r>
            <w:r>
              <w:rPr>
                <w:rFonts w:hint="eastAsia"/>
              </w:rPr>
              <w:t>：装卸高度，m；（</w:t>
            </w:r>
            <w:r>
              <w:t>1</w:t>
            </w:r>
            <w:r>
              <w:rPr>
                <w:rFonts w:hint="eastAsia"/>
              </w:rPr>
              <w:t>.5m）</w:t>
            </w:r>
          </w:p>
          <w:p>
            <w:pPr>
              <w:ind w:firstLine="480"/>
              <w:rPr>
                <w:szCs w:val="24"/>
              </w:rPr>
            </w:pPr>
            <w:r>
              <w:rPr>
                <w:rFonts w:hint="eastAsia"/>
                <w:szCs w:val="24"/>
              </w:rPr>
              <w:t>综合考虑粒径、矿石密度、硬度、风速、风频等因素，在露天堆放、不采取任何措施的情形下，工程物料堆场扬尘产生量为</w:t>
            </w:r>
            <w:r>
              <w:rPr>
                <w:szCs w:val="24"/>
              </w:rPr>
              <w:t>22.3t/a</w:t>
            </w:r>
            <w:r>
              <w:rPr>
                <w:rFonts w:hint="eastAsia"/>
                <w:szCs w:val="24"/>
              </w:rPr>
              <w:t>；运输车辆装卸扬尘产生量为</w:t>
            </w:r>
            <w:r>
              <w:rPr>
                <w:szCs w:val="24"/>
              </w:rPr>
              <w:t>41.5t/a</w:t>
            </w:r>
            <w:r>
              <w:rPr>
                <w:rFonts w:hint="eastAsia"/>
                <w:szCs w:val="24"/>
              </w:rPr>
              <w:t>。</w:t>
            </w:r>
          </w:p>
          <w:p>
            <w:pPr>
              <w:ind w:firstLine="480"/>
              <w:rPr>
                <w:b/>
              </w:rPr>
            </w:pPr>
            <w:r>
              <w:rPr>
                <w:rFonts w:hint="eastAsia"/>
                <w:bCs/>
                <w:szCs w:val="24"/>
              </w:rPr>
              <w:t>本项目利用废弃洗煤厂内现有全封闭原煤库作为原料库，环评要求在装卸物料时采取洒水抑尘，通过以上措施，全封闭原料抑尘效率按</w:t>
            </w:r>
            <w:r>
              <w:rPr>
                <w:bCs/>
                <w:szCs w:val="24"/>
              </w:rPr>
              <w:t>100</w:t>
            </w:r>
            <w:r>
              <w:rPr>
                <w:rFonts w:hint="eastAsia"/>
                <w:bCs/>
                <w:szCs w:val="24"/>
              </w:rPr>
              <w:t>%计，装卸扬尘抑尘效率可达到</w:t>
            </w:r>
            <w:r>
              <w:rPr>
                <w:bCs/>
                <w:szCs w:val="24"/>
              </w:rPr>
              <w:t>99%</w:t>
            </w:r>
            <w:r>
              <w:rPr>
                <w:rFonts w:hint="eastAsia"/>
                <w:bCs/>
                <w:szCs w:val="24"/>
              </w:rPr>
              <w:t>；采取以上措施后，本项目堆存扬尘排放量为0t/a，装卸扬尘排放量为</w:t>
            </w:r>
            <w:r>
              <w:rPr>
                <w:bCs/>
                <w:szCs w:val="24"/>
              </w:rPr>
              <w:t>0.42t/a</w:t>
            </w:r>
            <w:r>
              <w:rPr>
                <w:rFonts w:hint="eastAsia"/>
                <w:bCs/>
                <w:szCs w:val="24"/>
              </w:rPr>
              <w:t>。</w:t>
            </w:r>
            <w:bookmarkEnd w:id="14"/>
          </w:p>
          <w:p>
            <w:pPr>
              <w:pStyle w:val="144"/>
              <w:spacing w:before="0" w:after="0"/>
              <w:ind w:firstLine="0" w:firstLineChars="0"/>
              <w:rPr>
                <w:rFonts w:hAnsi="宋体"/>
                <w:b/>
              </w:rPr>
            </w:pPr>
            <w:r>
              <w:rPr>
                <w:rFonts w:hint="eastAsia"/>
                <w:b/>
              </w:rPr>
              <w:t>G</w:t>
            </w:r>
            <w:r>
              <w:rPr>
                <w:b/>
                <w:vertAlign w:val="subscript"/>
              </w:rPr>
              <w:t>3</w:t>
            </w:r>
            <w:r>
              <w:rPr>
                <w:rFonts w:hint="eastAsia" w:hAnsi="宋体"/>
                <w:b/>
              </w:rPr>
              <w:t>：</w:t>
            </w:r>
            <w:r>
              <w:rPr>
                <w:rFonts w:hint="eastAsia"/>
                <w:b/>
              </w:rPr>
              <w:t>建筑骨料生产线粗破、反击破系统产生的粉尘</w:t>
            </w:r>
          </w:p>
          <w:p>
            <w:pPr>
              <w:ind w:firstLine="480"/>
              <w:rPr>
                <w:bCs/>
                <w:szCs w:val="24"/>
              </w:rPr>
            </w:pPr>
            <w:r>
              <w:rPr>
                <w:rFonts w:hint="eastAsia"/>
                <w:bCs/>
                <w:szCs w:val="24"/>
              </w:rPr>
              <w:t>原料尾矿石由装载机送入入料坑，由入料坑下水平振动输送机输送至颚式破碎机进行粗破，经粗破后的物料自由落入鄂破下小料仓，物料经鄂破下小料仓再由水平振动输送机输送至反击式破碎机进行细破，经细破后的物料经反击式破碎机下小料仓再由电机振动给料机输送至提升机入料口，经提升后的物料通过溜槽进入冲击破上料仓。</w:t>
            </w:r>
          </w:p>
          <w:p>
            <w:pPr>
              <w:ind w:firstLine="480"/>
              <w:rPr>
                <w:bCs/>
                <w:szCs w:val="24"/>
              </w:rPr>
            </w:pPr>
            <w:r>
              <w:rPr>
                <w:rFonts w:hint="eastAsia"/>
                <w:bCs/>
                <w:szCs w:val="24"/>
              </w:rPr>
              <w:t>环评要求鄂式破碎系统入料口、颚式破碎机、反击式破碎机、直线筛、中间品料仓及转载点均设置集尘罩，其中直线筛全封闭后集尘，粉尘收集后由1套脉冲布袋除尘器过滤处理后由1根1</w:t>
            </w:r>
            <w:r>
              <w:rPr>
                <w:bCs/>
                <w:szCs w:val="24"/>
              </w:rPr>
              <w:t>5</w:t>
            </w:r>
            <w:r>
              <w:rPr>
                <w:rFonts w:hint="eastAsia"/>
                <w:bCs/>
                <w:szCs w:val="24"/>
              </w:rPr>
              <w:t>m高排气筒外排。</w:t>
            </w:r>
          </w:p>
          <w:p>
            <w:pPr>
              <w:ind w:firstLine="480"/>
              <w:rPr>
                <w:bCs/>
                <w:szCs w:val="24"/>
              </w:rPr>
            </w:pPr>
            <w:r>
              <w:rPr>
                <w:rFonts w:hint="eastAsia"/>
                <w:bCs/>
                <w:szCs w:val="24"/>
              </w:rPr>
              <w:t>建筑骨料生产线粗破、反击破系统运行时间为</w:t>
            </w:r>
            <w:r>
              <w:rPr>
                <w:bCs/>
                <w:szCs w:val="24"/>
              </w:rPr>
              <w:t>2400h</w:t>
            </w:r>
            <w:r>
              <w:rPr>
                <w:rFonts w:hint="eastAsia"/>
                <w:bCs/>
                <w:szCs w:val="24"/>
              </w:rPr>
              <w:t>/</w:t>
            </w:r>
            <w:r>
              <w:rPr>
                <w:bCs/>
                <w:szCs w:val="24"/>
              </w:rPr>
              <w:t>a</w:t>
            </w:r>
            <w:r>
              <w:rPr>
                <w:rFonts w:hint="eastAsia"/>
                <w:bCs/>
                <w:szCs w:val="24"/>
              </w:rPr>
              <w:t>，粉尘产生浓度按</w:t>
            </w:r>
            <w:r>
              <w:rPr>
                <w:bCs/>
                <w:szCs w:val="24"/>
              </w:rPr>
              <w:t>2000</w:t>
            </w:r>
            <w:r>
              <w:rPr>
                <w:rFonts w:hint="eastAsia"/>
                <w:bCs/>
                <w:szCs w:val="24"/>
              </w:rPr>
              <w:t>mg</w:t>
            </w:r>
            <w:r>
              <w:rPr>
                <w:bCs/>
                <w:szCs w:val="24"/>
              </w:rPr>
              <w:t>/m</w:t>
            </w:r>
            <w:r>
              <w:rPr>
                <w:bCs/>
                <w:szCs w:val="24"/>
                <w:vertAlign w:val="superscript"/>
              </w:rPr>
              <w:t>3</w:t>
            </w:r>
            <w:r>
              <w:rPr>
                <w:rFonts w:hint="eastAsia"/>
                <w:bCs/>
                <w:szCs w:val="24"/>
              </w:rPr>
              <w:t>，配套除尘器风量按</w:t>
            </w:r>
            <w:r>
              <w:rPr>
                <w:bCs/>
                <w:szCs w:val="24"/>
              </w:rPr>
              <w:t>30000</w:t>
            </w:r>
            <w:r>
              <w:rPr>
                <w:rFonts w:hint="eastAsia"/>
                <w:bCs/>
                <w:szCs w:val="24"/>
              </w:rPr>
              <w:t>m</w:t>
            </w:r>
            <w:r>
              <w:rPr>
                <w:bCs/>
                <w:szCs w:val="24"/>
                <w:vertAlign w:val="superscript"/>
              </w:rPr>
              <w:t>3</w:t>
            </w:r>
            <w:r>
              <w:rPr>
                <w:bCs/>
                <w:szCs w:val="24"/>
              </w:rPr>
              <w:t>/h</w:t>
            </w:r>
            <w:r>
              <w:rPr>
                <w:rFonts w:hint="eastAsia"/>
                <w:bCs/>
                <w:szCs w:val="24"/>
              </w:rPr>
              <w:t>计，除尘效率大于99</w:t>
            </w:r>
            <w:r>
              <w:rPr>
                <w:bCs/>
                <w:szCs w:val="24"/>
              </w:rPr>
              <w:t>.5</w:t>
            </w:r>
            <w:r>
              <w:rPr>
                <w:rFonts w:hint="eastAsia"/>
                <w:bCs/>
                <w:szCs w:val="24"/>
              </w:rPr>
              <w:t>%，则外排浓度小于1</w:t>
            </w:r>
            <w:r>
              <w:rPr>
                <w:bCs/>
                <w:szCs w:val="24"/>
              </w:rPr>
              <w:t>0</w:t>
            </w:r>
            <w:r>
              <w:rPr>
                <w:rFonts w:hint="eastAsia"/>
                <w:bCs/>
                <w:szCs w:val="24"/>
              </w:rPr>
              <w:t>mg</w:t>
            </w:r>
            <w:r>
              <w:rPr>
                <w:bCs/>
                <w:szCs w:val="24"/>
              </w:rPr>
              <w:t>/m</w:t>
            </w:r>
            <w:r>
              <w:rPr>
                <w:bCs/>
                <w:szCs w:val="24"/>
                <w:vertAlign w:val="superscript"/>
              </w:rPr>
              <w:t>3</w:t>
            </w:r>
            <w:r>
              <w:rPr>
                <w:rFonts w:hint="eastAsia"/>
                <w:bCs/>
                <w:szCs w:val="24"/>
              </w:rPr>
              <w:t>，按</w:t>
            </w:r>
            <w:r>
              <w:rPr>
                <w:bCs/>
                <w:szCs w:val="24"/>
              </w:rPr>
              <w:t>10</w:t>
            </w:r>
            <w:r>
              <w:rPr>
                <w:rFonts w:hint="eastAsia"/>
                <w:bCs/>
                <w:szCs w:val="24"/>
              </w:rPr>
              <w:t>mg</w:t>
            </w:r>
            <w:r>
              <w:rPr>
                <w:bCs/>
                <w:szCs w:val="24"/>
              </w:rPr>
              <w:t>/m</w:t>
            </w:r>
            <w:r>
              <w:rPr>
                <w:bCs/>
                <w:szCs w:val="24"/>
                <w:vertAlign w:val="superscript"/>
              </w:rPr>
              <w:t>3</w:t>
            </w:r>
            <w:r>
              <w:rPr>
                <w:rFonts w:hint="eastAsia"/>
                <w:bCs/>
                <w:szCs w:val="24"/>
              </w:rPr>
              <w:t>计；则粉尘产生量为</w:t>
            </w:r>
            <w:r>
              <w:rPr>
                <w:bCs/>
                <w:szCs w:val="24"/>
              </w:rPr>
              <w:t>144</w:t>
            </w:r>
            <w:r>
              <w:rPr>
                <w:rFonts w:hint="eastAsia"/>
                <w:bCs/>
                <w:szCs w:val="24"/>
              </w:rPr>
              <w:t>t/a，粉尘排放速率为0</w:t>
            </w:r>
            <w:r>
              <w:rPr>
                <w:bCs/>
                <w:szCs w:val="24"/>
              </w:rPr>
              <w:t>.3</w:t>
            </w:r>
            <w:r>
              <w:rPr>
                <w:rFonts w:hint="eastAsia"/>
                <w:bCs/>
                <w:szCs w:val="24"/>
              </w:rPr>
              <w:t>kg/</w:t>
            </w:r>
            <w:r>
              <w:rPr>
                <w:bCs/>
                <w:szCs w:val="24"/>
              </w:rPr>
              <w:t>h</w:t>
            </w:r>
            <w:r>
              <w:rPr>
                <w:rFonts w:hint="eastAsia"/>
                <w:bCs/>
                <w:szCs w:val="24"/>
              </w:rPr>
              <w:t>，排放量为</w:t>
            </w:r>
            <w:r>
              <w:rPr>
                <w:bCs/>
                <w:szCs w:val="24"/>
              </w:rPr>
              <w:t>0.72</w:t>
            </w:r>
            <w:r>
              <w:rPr>
                <w:rFonts w:hint="eastAsia"/>
                <w:bCs/>
                <w:szCs w:val="24"/>
              </w:rPr>
              <w:t>t/a。</w:t>
            </w:r>
          </w:p>
          <w:p>
            <w:pPr>
              <w:pStyle w:val="144"/>
              <w:spacing w:before="0" w:after="0"/>
              <w:ind w:firstLine="480"/>
              <w:rPr>
                <w:rFonts w:hAnsi="宋体"/>
                <w:b/>
              </w:rPr>
            </w:pPr>
            <w:r>
              <w:rPr>
                <w:rFonts w:hint="eastAsia"/>
                <w:bCs/>
              </w:rPr>
              <w:t>该工序布袋除尘器采用脉冲布袋除尘器，处理风量</w:t>
            </w:r>
            <w:r>
              <w:rPr>
                <w:bCs/>
              </w:rPr>
              <w:t>30000</w:t>
            </w:r>
            <w:r>
              <w:rPr>
                <w:rFonts w:hint="eastAsia"/>
                <w:bCs/>
              </w:rPr>
              <w:t>m</w:t>
            </w:r>
            <w:r>
              <w:rPr>
                <w:bCs/>
                <w:vertAlign w:val="superscript"/>
              </w:rPr>
              <w:t>3</w:t>
            </w:r>
            <w:r>
              <w:rPr>
                <w:bCs/>
              </w:rPr>
              <w:t>/h</w:t>
            </w:r>
            <w:r>
              <w:rPr>
                <w:rFonts w:hint="eastAsia"/>
                <w:bCs/>
              </w:rPr>
              <w:t>，过滤面积约</w:t>
            </w:r>
            <w:r>
              <w:rPr>
                <w:bCs/>
              </w:rPr>
              <w:t>835</w:t>
            </w:r>
            <w:r>
              <w:rPr>
                <w:rFonts w:hint="eastAsia"/>
                <w:bCs/>
              </w:rPr>
              <w:t>m</w:t>
            </w:r>
            <w:r>
              <w:rPr>
                <w:bCs/>
                <w:vertAlign w:val="superscript"/>
              </w:rPr>
              <w:t>2</w:t>
            </w:r>
            <w:r>
              <w:rPr>
                <w:rFonts w:hint="eastAsia"/>
                <w:bCs/>
              </w:rPr>
              <w:t>，滤袋数量</w:t>
            </w:r>
            <w:r>
              <w:rPr>
                <w:bCs/>
              </w:rPr>
              <w:t>835</w:t>
            </w:r>
            <w:r>
              <w:rPr>
                <w:rFonts w:hint="eastAsia"/>
                <w:bCs/>
              </w:rPr>
              <w:t>条，过滤风速约</w:t>
            </w:r>
            <w:r>
              <w:rPr>
                <w:bCs/>
              </w:rPr>
              <w:t>0.6</w:t>
            </w:r>
            <w:r>
              <w:rPr>
                <w:rFonts w:hint="eastAsia"/>
                <w:bCs/>
              </w:rPr>
              <w:t>m</w:t>
            </w:r>
            <w:r>
              <w:rPr>
                <w:bCs/>
              </w:rPr>
              <w:t>/min</w:t>
            </w:r>
            <w:r>
              <w:rPr>
                <w:rFonts w:hint="eastAsia"/>
                <w:bCs/>
              </w:rPr>
              <w:t>，材质采用防静电针刺毡，允许使用温度≤8</w:t>
            </w:r>
            <w:r>
              <w:rPr>
                <w:bCs/>
              </w:rPr>
              <w:t>0</w:t>
            </w:r>
            <w:r>
              <w:rPr>
                <w:rFonts w:hint="eastAsia"/>
                <w:bCs/>
              </w:rPr>
              <w:t>℃。</w:t>
            </w:r>
            <w:r>
              <w:rPr>
                <w:rFonts w:hint="eastAsia"/>
                <w:b/>
              </w:rPr>
              <w:t>G</w:t>
            </w:r>
            <w:r>
              <w:rPr>
                <w:b/>
                <w:vertAlign w:val="subscript"/>
              </w:rPr>
              <w:t>4</w:t>
            </w:r>
            <w:r>
              <w:rPr>
                <w:rFonts w:hint="eastAsia" w:hAnsi="宋体"/>
                <w:b/>
              </w:rPr>
              <w:t>：</w:t>
            </w:r>
            <w:r>
              <w:rPr>
                <w:rFonts w:hint="eastAsia"/>
                <w:b/>
                <w:bCs/>
              </w:rPr>
              <w:t>建筑骨料生产线冲击破系统</w:t>
            </w:r>
            <w:r>
              <w:rPr>
                <w:rFonts w:hint="eastAsia"/>
                <w:b/>
              </w:rPr>
              <w:t>产生的</w:t>
            </w:r>
            <w:r>
              <w:rPr>
                <w:rFonts w:hint="eastAsia"/>
                <w:b/>
                <w:bCs/>
              </w:rPr>
              <w:t>粉尘</w:t>
            </w:r>
          </w:p>
          <w:p>
            <w:pPr>
              <w:ind w:firstLine="480"/>
              <w:rPr>
                <w:bCs/>
                <w:szCs w:val="24"/>
              </w:rPr>
            </w:pPr>
            <w:r>
              <w:rPr>
                <w:rFonts w:hint="eastAsia"/>
                <w:bCs/>
                <w:szCs w:val="24"/>
              </w:rPr>
              <w:t>立式冲击破运行流程：小于25mm物料由装载机送入原料仓，由原料仓下电磁振动给料机输送至提升机，利用高度差，经提升后的物料通过溜槽自行落入立式冲击破，经立式冲击破破碎后的物料又自行落入立破下皮带机，再由立破下皮带机输送至提升机入料口，经提升后的物料依次进入电机振动给料机和预分筛，再利用高度差，筛上料通过溜槽自行进入立式冲击破再次破碎；预分筛下物料经溜槽到达提升机入料口，提升后的物料再经分叉溜料槽分别进入两个储料仓；物料经过储料仓下电磁振动给料机输送至仓下皮带机送至提升机入料口，提升后的物料依次经过电机振动给料机和成品筛后，分出4种产品，产品再通过溜槽分别落入相应的提升机，经提升后的物料通过溜槽分别进入相应的成品料仓。</w:t>
            </w:r>
          </w:p>
          <w:p>
            <w:pPr>
              <w:ind w:firstLine="480"/>
              <w:rPr>
                <w:bCs/>
                <w:szCs w:val="24"/>
              </w:rPr>
            </w:pPr>
            <w:r>
              <w:rPr>
                <w:rFonts w:hint="eastAsia"/>
                <w:bCs/>
                <w:szCs w:val="24"/>
              </w:rPr>
              <w:t>环评要求立式冲击破系统上料仓、立式冲击破、预分筛、成品筛、成品仓及转载点均设置集尘罩，其中预分筛、成品筛全封闭后集尘，粉尘收集后由1套脉冲布袋除尘器过滤处理后由1根1</w:t>
            </w:r>
            <w:r>
              <w:rPr>
                <w:bCs/>
                <w:szCs w:val="24"/>
              </w:rPr>
              <w:t>5</w:t>
            </w:r>
            <w:r>
              <w:rPr>
                <w:rFonts w:hint="eastAsia"/>
                <w:bCs/>
                <w:szCs w:val="24"/>
              </w:rPr>
              <w:t>m高排气筒外排。</w:t>
            </w:r>
          </w:p>
          <w:p>
            <w:pPr>
              <w:ind w:firstLine="480"/>
              <w:rPr>
                <w:bCs/>
                <w:szCs w:val="24"/>
              </w:rPr>
            </w:pPr>
            <w:r>
              <w:rPr>
                <w:rFonts w:hint="eastAsia"/>
                <w:bCs/>
                <w:szCs w:val="24"/>
              </w:rPr>
              <w:t>立式冲击破系统运行时间为</w:t>
            </w:r>
            <w:r>
              <w:rPr>
                <w:bCs/>
                <w:szCs w:val="24"/>
              </w:rPr>
              <w:t>2400h</w:t>
            </w:r>
            <w:r>
              <w:rPr>
                <w:rFonts w:hint="eastAsia"/>
                <w:bCs/>
                <w:szCs w:val="24"/>
              </w:rPr>
              <w:t>/</w:t>
            </w:r>
            <w:r>
              <w:rPr>
                <w:bCs/>
                <w:szCs w:val="24"/>
              </w:rPr>
              <w:t>a</w:t>
            </w:r>
            <w:r>
              <w:rPr>
                <w:rFonts w:hint="eastAsia"/>
                <w:bCs/>
                <w:szCs w:val="24"/>
              </w:rPr>
              <w:t>，粉尘产生浓度按</w:t>
            </w:r>
            <w:r>
              <w:rPr>
                <w:bCs/>
                <w:szCs w:val="24"/>
              </w:rPr>
              <w:t>2000</w:t>
            </w:r>
            <w:r>
              <w:rPr>
                <w:rFonts w:hint="eastAsia"/>
                <w:bCs/>
                <w:szCs w:val="24"/>
              </w:rPr>
              <w:t>mg</w:t>
            </w:r>
            <w:r>
              <w:rPr>
                <w:bCs/>
                <w:szCs w:val="24"/>
              </w:rPr>
              <w:t>/m</w:t>
            </w:r>
            <w:r>
              <w:rPr>
                <w:bCs/>
                <w:szCs w:val="24"/>
                <w:vertAlign w:val="superscript"/>
              </w:rPr>
              <w:t>3</w:t>
            </w:r>
            <w:r>
              <w:rPr>
                <w:rFonts w:hint="eastAsia"/>
                <w:bCs/>
                <w:szCs w:val="24"/>
              </w:rPr>
              <w:t>，配套除尘器风量按</w:t>
            </w:r>
            <w:r>
              <w:rPr>
                <w:bCs/>
                <w:szCs w:val="24"/>
              </w:rPr>
              <w:t>30000</w:t>
            </w:r>
            <w:r>
              <w:rPr>
                <w:rFonts w:hint="eastAsia"/>
                <w:bCs/>
                <w:szCs w:val="24"/>
              </w:rPr>
              <w:t>m</w:t>
            </w:r>
            <w:r>
              <w:rPr>
                <w:bCs/>
                <w:szCs w:val="24"/>
                <w:vertAlign w:val="superscript"/>
              </w:rPr>
              <w:t>3</w:t>
            </w:r>
            <w:r>
              <w:rPr>
                <w:bCs/>
                <w:szCs w:val="24"/>
              </w:rPr>
              <w:t>/h</w:t>
            </w:r>
            <w:r>
              <w:rPr>
                <w:rFonts w:hint="eastAsia"/>
                <w:bCs/>
                <w:szCs w:val="24"/>
              </w:rPr>
              <w:t>计，除尘效率大于99</w:t>
            </w:r>
            <w:r>
              <w:rPr>
                <w:bCs/>
                <w:szCs w:val="24"/>
              </w:rPr>
              <w:t>.5</w:t>
            </w:r>
            <w:r>
              <w:rPr>
                <w:rFonts w:hint="eastAsia"/>
                <w:bCs/>
                <w:szCs w:val="24"/>
              </w:rPr>
              <w:t>%，则外排浓度小于</w:t>
            </w:r>
            <w:r>
              <w:rPr>
                <w:bCs/>
                <w:szCs w:val="24"/>
              </w:rPr>
              <w:t>10</w:t>
            </w:r>
            <w:r>
              <w:rPr>
                <w:rFonts w:hint="eastAsia"/>
                <w:bCs/>
                <w:szCs w:val="24"/>
              </w:rPr>
              <w:t>mg</w:t>
            </w:r>
            <w:r>
              <w:rPr>
                <w:bCs/>
                <w:szCs w:val="24"/>
              </w:rPr>
              <w:t>/m</w:t>
            </w:r>
            <w:r>
              <w:rPr>
                <w:bCs/>
                <w:szCs w:val="24"/>
                <w:vertAlign w:val="superscript"/>
              </w:rPr>
              <w:t>3</w:t>
            </w:r>
            <w:r>
              <w:rPr>
                <w:rFonts w:hint="eastAsia"/>
                <w:bCs/>
                <w:szCs w:val="24"/>
              </w:rPr>
              <w:t>，按</w:t>
            </w:r>
            <w:r>
              <w:rPr>
                <w:bCs/>
                <w:szCs w:val="24"/>
              </w:rPr>
              <w:t>10</w:t>
            </w:r>
            <w:r>
              <w:rPr>
                <w:rFonts w:hint="eastAsia"/>
                <w:bCs/>
                <w:szCs w:val="24"/>
              </w:rPr>
              <w:t>mg</w:t>
            </w:r>
            <w:r>
              <w:rPr>
                <w:bCs/>
                <w:szCs w:val="24"/>
              </w:rPr>
              <w:t>/m</w:t>
            </w:r>
            <w:r>
              <w:rPr>
                <w:bCs/>
                <w:szCs w:val="24"/>
                <w:vertAlign w:val="superscript"/>
              </w:rPr>
              <w:t>3</w:t>
            </w:r>
            <w:r>
              <w:rPr>
                <w:rFonts w:hint="eastAsia"/>
                <w:bCs/>
                <w:szCs w:val="24"/>
              </w:rPr>
              <w:t>计；则粉尘产生量为</w:t>
            </w:r>
            <w:r>
              <w:rPr>
                <w:bCs/>
                <w:szCs w:val="24"/>
              </w:rPr>
              <w:t>144</w:t>
            </w:r>
            <w:r>
              <w:rPr>
                <w:rFonts w:hint="eastAsia"/>
                <w:bCs/>
                <w:szCs w:val="24"/>
              </w:rPr>
              <w:t>t/a，粉尘排放速率为0</w:t>
            </w:r>
            <w:r>
              <w:rPr>
                <w:bCs/>
                <w:szCs w:val="24"/>
              </w:rPr>
              <w:t>.3</w:t>
            </w:r>
            <w:r>
              <w:rPr>
                <w:rFonts w:hint="eastAsia"/>
                <w:bCs/>
                <w:szCs w:val="24"/>
              </w:rPr>
              <w:t>kg/</w:t>
            </w:r>
            <w:r>
              <w:rPr>
                <w:bCs/>
                <w:szCs w:val="24"/>
              </w:rPr>
              <w:t>h</w:t>
            </w:r>
            <w:r>
              <w:rPr>
                <w:rFonts w:hint="eastAsia"/>
                <w:bCs/>
                <w:szCs w:val="24"/>
              </w:rPr>
              <w:t>，排放量为</w:t>
            </w:r>
            <w:r>
              <w:rPr>
                <w:bCs/>
                <w:szCs w:val="24"/>
              </w:rPr>
              <w:t>0.72</w:t>
            </w:r>
            <w:r>
              <w:rPr>
                <w:rFonts w:hint="eastAsia"/>
                <w:bCs/>
                <w:szCs w:val="24"/>
              </w:rPr>
              <w:t>t/a。</w:t>
            </w:r>
          </w:p>
          <w:p>
            <w:pPr>
              <w:pStyle w:val="144"/>
              <w:spacing w:before="0" w:after="0"/>
              <w:ind w:firstLine="480"/>
              <w:rPr>
                <w:rFonts w:hAnsi="宋体"/>
                <w:b/>
              </w:rPr>
            </w:pPr>
            <w:r>
              <w:rPr>
                <w:rFonts w:hint="eastAsia"/>
                <w:bCs/>
              </w:rPr>
              <w:t>该工序布袋除尘器采用脉冲布袋除尘器，处理风量</w:t>
            </w:r>
            <w:r>
              <w:rPr>
                <w:bCs/>
              </w:rPr>
              <w:t>30000</w:t>
            </w:r>
            <w:r>
              <w:rPr>
                <w:rFonts w:hint="eastAsia"/>
                <w:bCs/>
              </w:rPr>
              <w:t>m</w:t>
            </w:r>
            <w:r>
              <w:rPr>
                <w:bCs/>
                <w:vertAlign w:val="superscript"/>
              </w:rPr>
              <w:t>3</w:t>
            </w:r>
            <w:r>
              <w:rPr>
                <w:bCs/>
              </w:rPr>
              <w:t>/h</w:t>
            </w:r>
            <w:r>
              <w:rPr>
                <w:rFonts w:hint="eastAsia"/>
                <w:bCs/>
              </w:rPr>
              <w:t>，过滤面积约</w:t>
            </w:r>
            <w:r>
              <w:rPr>
                <w:bCs/>
              </w:rPr>
              <w:t>835</w:t>
            </w:r>
            <w:r>
              <w:rPr>
                <w:rFonts w:hint="eastAsia"/>
                <w:bCs/>
              </w:rPr>
              <w:t>m</w:t>
            </w:r>
            <w:r>
              <w:rPr>
                <w:bCs/>
                <w:vertAlign w:val="superscript"/>
              </w:rPr>
              <w:t>2</w:t>
            </w:r>
            <w:r>
              <w:rPr>
                <w:rFonts w:hint="eastAsia"/>
                <w:bCs/>
              </w:rPr>
              <w:t>，滤袋数量</w:t>
            </w:r>
            <w:r>
              <w:rPr>
                <w:bCs/>
              </w:rPr>
              <w:t>835</w:t>
            </w:r>
            <w:r>
              <w:rPr>
                <w:rFonts w:hint="eastAsia"/>
                <w:bCs/>
              </w:rPr>
              <w:t>条，过滤风速约</w:t>
            </w:r>
            <w:r>
              <w:rPr>
                <w:bCs/>
              </w:rPr>
              <w:t>0.6</w:t>
            </w:r>
            <w:r>
              <w:rPr>
                <w:rFonts w:hint="eastAsia"/>
                <w:bCs/>
              </w:rPr>
              <w:t>m</w:t>
            </w:r>
            <w:r>
              <w:rPr>
                <w:bCs/>
              </w:rPr>
              <w:t>/min</w:t>
            </w:r>
            <w:r>
              <w:rPr>
                <w:rFonts w:hint="eastAsia"/>
                <w:bCs/>
              </w:rPr>
              <w:t>，材质采用防静电针刺毡，允许使用温度≤8</w:t>
            </w:r>
            <w:r>
              <w:rPr>
                <w:bCs/>
              </w:rPr>
              <w:t>0</w:t>
            </w:r>
            <w:r>
              <w:rPr>
                <w:rFonts w:hint="eastAsia"/>
                <w:bCs/>
              </w:rPr>
              <w:t>℃。</w:t>
            </w:r>
            <w:r>
              <w:rPr>
                <w:rFonts w:hint="eastAsia"/>
                <w:b/>
              </w:rPr>
              <w:t>G</w:t>
            </w:r>
            <w:r>
              <w:rPr>
                <w:b/>
                <w:vertAlign w:val="subscript"/>
              </w:rPr>
              <w:t>5</w:t>
            </w:r>
            <w:r>
              <w:rPr>
                <w:rFonts w:hint="eastAsia" w:hAnsi="宋体"/>
                <w:b/>
              </w:rPr>
              <w:t>：</w:t>
            </w:r>
            <w:r>
              <w:rPr>
                <w:rFonts w:hint="eastAsia"/>
                <w:b/>
                <w:bCs/>
              </w:rPr>
              <w:t>微粉生产线鄂破系统</w:t>
            </w:r>
            <w:r>
              <w:rPr>
                <w:rFonts w:hint="eastAsia"/>
                <w:b/>
              </w:rPr>
              <w:t>产生的粉尘</w:t>
            </w:r>
          </w:p>
          <w:p>
            <w:pPr>
              <w:ind w:firstLine="480"/>
              <w:rPr>
                <w:bCs/>
                <w:szCs w:val="24"/>
              </w:rPr>
            </w:pPr>
            <w:r>
              <w:rPr>
                <w:rFonts w:hint="eastAsia"/>
                <w:bCs/>
                <w:szCs w:val="24"/>
              </w:rPr>
              <w:t>原料尾矿石由装载机送入入料坑，由入料坑下水平振动输送机输送至颚式破碎机进行粗破，经粗破后的物料自由落入鄂破下小料仓，物料经鄂破下小料仓再由水平振动输送机输送至2台颚式破碎机进行细破，经细破后的物料经颚式破碎机下小料仓再由电机振动给料机输送至提升机入料口，经提升后的物料通过溜槽进入超细破碎机上料仓。</w:t>
            </w:r>
          </w:p>
          <w:p>
            <w:pPr>
              <w:ind w:firstLine="480"/>
              <w:rPr>
                <w:bCs/>
                <w:szCs w:val="24"/>
              </w:rPr>
            </w:pPr>
            <w:r>
              <w:rPr>
                <w:rFonts w:hint="eastAsia"/>
                <w:bCs/>
                <w:szCs w:val="24"/>
              </w:rPr>
              <w:t>环评要求鄂式破碎系统上料仓、颚式破碎机、直线筛、中间品料仓及转载点均设置集尘罩，其中直线筛全封闭后集尘，粉尘收集后由1套脉冲布袋除尘器过滤处理后由1根1</w:t>
            </w:r>
            <w:r>
              <w:rPr>
                <w:bCs/>
                <w:szCs w:val="24"/>
              </w:rPr>
              <w:t>5</w:t>
            </w:r>
            <w:r>
              <w:rPr>
                <w:rFonts w:hint="eastAsia"/>
                <w:bCs/>
                <w:szCs w:val="24"/>
              </w:rPr>
              <w:t>m高排气筒外排。</w:t>
            </w:r>
          </w:p>
          <w:p>
            <w:pPr>
              <w:ind w:firstLine="480"/>
              <w:rPr>
                <w:bCs/>
                <w:szCs w:val="24"/>
              </w:rPr>
            </w:pPr>
            <w:r>
              <w:rPr>
                <w:rFonts w:hint="eastAsia"/>
                <w:bCs/>
                <w:szCs w:val="24"/>
              </w:rPr>
              <w:t>鄂破系统运行时间为</w:t>
            </w:r>
            <w:r>
              <w:rPr>
                <w:bCs/>
                <w:szCs w:val="24"/>
              </w:rPr>
              <w:t>2400h</w:t>
            </w:r>
            <w:r>
              <w:rPr>
                <w:rFonts w:hint="eastAsia"/>
                <w:bCs/>
                <w:szCs w:val="24"/>
              </w:rPr>
              <w:t>/</w:t>
            </w:r>
            <w:r>
              <w:rPr>
                <w:bCs/>
                <w:szCs w:val="24"/>
              </w:rPr>
              <w:t>a</w:t>
            </w:r>
            <w:r>
              <w:rPr>
                <w:rFonts w:hint="eastAsia"/>
                <w:bCs/>
                <w:szCs w:val="24"/>
              </w:rPr>
              <w:t>，粉尘产生浓度按</w:t>
            </w:r>
            <w:r>
              <w:rPr>
                <w:bCs/>
                <w:szCs w:val="24"/>
              </w:rPr>
              <w:t>2000</w:t>
            </w:r>
            <w:r>
              <w:rPr>
                <w:rFonts w:hint="eastAsia"/>
                <w:bCs/>
                <w:szCs w:val="24"/>
              </w:rPr>
              <w:t>mg</w:t>
            </w:r>
            <w:r>
              <w:rPr>
                <w:bCs/>
                <w:szCs w:val="24"/>
              </w:rPr>
              <w:t>/m</w:t>
            </w:r>
            <w:r>
              <w:rPr>
                <w:bCs/>
                <w:szCs w:val="24"/>
                <w:vertAlign w:val="superscript"/>
              </w:rPr>
              <w:t>3</w:t>
            </w:r>
            <w:r>
              <w:rPr>
                <w:rFonts w:hint="eastAsia"/>
                <w:bCs/>
                <w:szCs w:val="24"/>
              </w:rPr>
              <w:t>，配套除尘器风量按</w:t>
            </w:r>
            <w:r>
              <w:rPr>
                <w:bCs/>
                <w:szCs w:val="24"/>
              </w:rPr>
              <w:t>30000</w:t>
            </w:r>
            <w:r>
              <w:rPr>
                <w:rFonts w:hint="eastAsia"/>
                <w:bCs/>
                <w:szCs w:val="24"/>
              </w:rPr>
              <w:t>m</w:t>
            </w:r>
            <w:r>
              <w:rPr>
                <w:bCs/>
                <w:szCs w:val="24"/>
                <w:vertAlign w:val="superscript"/>
              </w:rPr>
              <w:t>3</w:t>
            </w:r>
            <w:r>
              <w:rPr>
                <w:bCs/>
                <w:szCs w:val="24"/>
              </w:rPr>
              <w:t>/h</w:t>
            </w:r>
            <w:r>
              <w:rPr>
                <w:rFonts w:hint="eastAsia"/>
                <w:bCs/>
                <w:szCs w:val="24"/>
              </w:rPr>
              <w:t>计，除尘效率大于99</w:t>
            </w:r>
            <w:r>
              <w:rPr>
                <w:bCs/>
                <w:szCs w:val="24"/>
              </w:rPr>
              <w:t>.5</w:t>
            </w:r>
            <w:r>
              <w:rPr>
                <w:rFonts w:hint="eastAsia"/>
                <w:bCs/>
                <w:szCs w:val="24"/>
              </w:rPr>
              <w:t>%，则外排浓度小于</w:t>
            </w:r>
            <w:r>
              <w:rPr>
                <w:bCs/>
                <w:szCs w:val="24"/>
              </w:rPr>
              <w:t>10</w:t>
            </w:r>
            <w:r>
              <w:rPr>
                <w:rFonts w:hint="eastAsia"/>
                <w:bCs/>
                <w:szCs w:val="24"/>
              </w:rPr>
              <w:t>mg</w:t>
            </w:r>
            <w:r>
              <w:rPr>
                <w:bCs/>
                <w:szCs w:val="24"/>
              </w:rPr>
              <w:t>/m</w:t>
            </w:r>
            <w:r>
              <w:rPr>
                <w:bCs/>
                <w:szCs w:val="24"/>
                <w:vertAlign w:val="superscript"/>
              </w:rPr>
              <w:t>3</w:t>
            </w:r>
            <w:r>
              <w:rPr>
                <w:rFonts w:hint="eastAsia"/>
                <w:bCs/>
                <w:szCs w:val="24"/>
              </w:rPr>
              <w:t>，按</w:t>
            </w:r>
            <w:r>
              <w:rPr>
                <w:bCs/>
                <w:szCs w:val="24"/>
              </w:rPr>
              <w:t>10</w:t>
            </w:r>
            <w:r>
              <w:rPr>
                <w:rFonts w:hint="eastAsia"/>
                <w:bCs/>
                <w:szCs w:val="24"/>
              </w:rPr>
              <w:t>mg</w:t>
            </w:r>
            <w:r>
              <w:rPr>
                <w:bCs/>
                <w:szCs w:val="24"/>
              </w:rPr>
              <w:t>/m</w:t>
            </w:r>
            <w:r>
              <w:rPr>
                <w:bCs/>
                <w:szCs w:val="24"/>
                <w:vertAlign w:val="superscript"/>
              </w:rPr>
              <w:t>3</w:t>
            </w:r>
            <w:r>
              <w:rPr>
                <w:rFonts w:hint="eastAsia"/>
                <w:bCs/>
                <w:szCs w:val="24"/>
              </w:rPr>
              <w:t>计；则粉尘产生量为</w:t>
            </w:r>
            <w:r>
              <w:rPr>
                <w:bCs/>
                <w:szCs w:val="24"/>
              </w:rPr>
              <w:t>144</w:t>
            </w:r>
            <w:r>
              <w:rPr>
                <w:rFonts w:hint="eastAsia"/>
                <w:bCs/>
                <w:szCs w:val="24"/>
              </w:rPr>
              <w:t>t/a，粉尘排放速率为0</w:t>
            </w:r>
            <w:r>
              <w:rPr>
                <w:bCs/>
                <w:szCs w:val="24"/>
              </w:rPr>
              <w:t>.3</w:t>
            </w:r>
            <w:r>
              <w:rPr>
                <w:rFonts w:hint="eastAsia"/>
                <w:bCs/>
                <w:szCs w:val="24"/>
              </w:rPr>
              <w:t>kg/</w:t>
            </w:r>
            <w:r>
              <w:rPr>
                <w:bCs/>
                <w:szCs w:val="24"/>
              </w:rPr>
              <w:t>h</w:t>
            </w:r>
            <w:r>
              <w:rPr>
                <w:rFonts w:hint="eastAsia"/>
                <w:bCs/>
                <w:szCs w:val="24"/>
              </w:rPr>
              <w:t>，排放量为</w:t>
            </w:r>
            <w:r>
              <w:rPr>
                <w:bCs/>
                <w:szCs w:val="24"/>
              </w:rPr>
              <w:t>0.72</w:t>
            </w:r>
            <w:r>
              <w:rPr>
                <w:rFonts w:hint="eastAsia"/>
                <w:bCs/>
                <w:szCs w:val="24"/>
              </w:rPr>
              <w:t>t/a。</w:t>
            </w:r>
          </w:p>
          <w:p>
            <w:pPr>
              <w:ind w:firstLine="480"/>
              <w:rPr>
                <w:b/>
              </w:rPr>
            </w:pPr>
            <w:r>
              <w:rPr>
                <w:rFonts w:hint="eastAsia"/>
                <w:bCs/>
                <w:szCs w:val="24"/>
              </w:rPr>
              <w:t>该工序布袋除尘器采用脉冲布袋除尘器，处理风量</w:t>
            </w:r>
            <w:r>
              <w:rPr>
                <w:bCs/>
                <w:szCs w:val="24"/>
              </w:rPr>
              <w:t>30000</w:t>
            </w:r>
            <w:r>
              <w:rPr>
                <w:rFonts w:hint="eastAsia"/>
                <w:bCs/>
                <w:szCs w:val="24"/>
              </w:rPr>
              <w:t>m</w:t>
            </w:r>
            <w:r>
              <w:rPr>
                <w:bCs/>
                <w:szCs w:val="24"/>
                <w:vertAlign w:val="superscript"/>
              </w:rPr>
              <w:t>3</w:t>
            </w:r>
            <w:r>
              <w:rPr>
                <w:bCs/>
                <w:szCs w:val="24"/>
              </w:rPr>
              <w:t>/h</w:t>
            </w:r>
            <w:r>
              <w:rPr>
                <w:rFonts w:hint="eastAsia"/>
                <w:bCs/>
                <w:szCs w:val="24"/>
              </w:rPr>
              <w:t>，过滤面积约</w:t>
            </w:r>
            <w:r>
              <w:rPr>
                <w:bCs/>
                <w:szCs w:val="24"/>
              </w:rPr>
              <w:t>835</w:t>
            </w:r>
            <w:r>
              <w:rPr>
                <w:rFonts w:hint="eastAsia"/>
                <w:bCs/>
                <w:szCs w:val="24"/>
              </w:rPr>
              <w:t>m</w:t>
            </w:r>
            <w:r>
              <w:rPr>
                <w:bCs/>
                <w:szCs w:val="24"/>
                <w:vertAlign w:val="superscript"/>
              </w:rPr>
              <w:t>2</w:t>
            </w:r>
            <w:r>
              <w:rPr>
                <w:rFonts w:hint="eastAsia"/>
                <w:bCs/>
                <w:szCs w:val="24"/>
              </w:rPr>
              <w:t>，滤袋数量</w:t>
            </w:r>
            <w:r>
              <w:rPr>
                <w:bCs/>
                <w:szCs w:val="24"/>
              </w:rPr>
              <w:t>835</w:t>
            </w:r>
            <w:r>
              <w:rPr>
                <w:rFonts w:hint="eastAsia"/>
                <w:bCs/>
                <w:szCs w:val="24"/>
              </w:rPr>
              <w:t>条，过滤风速约</w:t>
            </w:r>
            <w:r>
              <w:rPr>
                <w:bCs/>
                <w:szCs w:val="24"/>
              </w:rPr>
              <w:t>0.6</w:t>
            </w:r>
            <w:r>
              <w:rPr>
                <w:rFonts w:hint="eastAsia"/>
                <w:bCs/>
                <w:szCs w:val="24"/>
              </w:rPr>
              <w:t>m</w:t>
            </w:r>
            <w:r>
              <w:rPr>
                <w:bCs/>
                <w:szCs w:val="24"/>
              </w:rPr>
              <w:t>/min</w:t>
            </w:r>
            <w:r>
              <w:rPr>
                <w:rFonts w:hint="eastAsia"/>
                <w:bCs/>
                <w:szCs w:val="24"/>
              </w:rPr>
              <w:t>，材质采用防静电针刺毡，允许使用温度≤8</w:t>
            </w:r>
            <w:r>
              <w:rPr>
                <w:bCs/>
                <w:szCs w:val="24"/>
              </w:rPr>
              <w:t>0</w:t>
            </w:r>
            <w:r>
              <w:rPr>
                <w:rFonts w:hint="eastAsia"/>
                <w:bCs/>
                <w:szCs w:val="24"/>
              </w:rPr>
              <w:t>℃</w:t>
            </w:r>
            <w:r>
              <w:rPr>
                <w:rFonts w:hint="eastAsia"/>
              </w:rPr>
              <w:t>。</w:t>
            </w:r>
          </w:p>
          <w:p>
            <w:pPr>
              <w:pStyle w:val="144"/>
              <w:spacing w:before="0" w:after="0"/>
              <w:ind w:firstLine="0" w:firstLineChars="0"/>
              <w:rPr>
                <w:rFonts w:hAnsi="宋体"/>
                <w:b/>
              </w:rPr>
            </w:pPr>
            <w:r>
              <w:rPr>
                <w:rFonts w:hint="eastAsia"/>
                <w:b/>
              </w:rPr>
              <w:t>G</w:t>
            </w:r>
            <w:r>
              <w:rPr>
                <w:b/>
                <w:vertAlign w:val="subscript"/>
              </w:rPr>
              <w:t>6</w:t>
            </w:r>
            <w:r>
              <w:rPr>
                <w:rFonts w:hint="eastAsia" w:hAnsi="宋体"/>
                <w:b/>
              </w:rPr>
              <w:t>：</w:t>
            </w:r>
            <w:r>
              <w:rPr>
                <w:rFonts w:hint="eastAsia"/>
                <w:b/>
                <w:bCs/>
              </w:rPr>
              <w:t>微粉生产线超细破碎机系统</w:t>
            </w:r>
            <w:r>
              <w:rPr>
                <w:rFonts w:hint="eastAsia"/>
                <w:b/>
              </w:rPr>
              <w:t>产生的粉尘</w:t>
            </w:r>
          </w:p>
          <w:p>
            <w:pPr>
              <w:ind w:firstLine="480"/>
              <w:rPr>
                <w:bCs/>
                <w:szCs w:val="24"/>
              </w:rPr>
            </w:pPr>
            <w:r>
              <w:rPr>
                <w:rFonts w:hint="eastAsia"/>
                <w:bCs/>
                <w:szCs w:val="24"/>
              </w:rPr>
              <w:t>由超细破碎机上料仓下水平振动输送机输送至超细破碎机进行粗破，经破碎后的物料经超细破碎机下小料仓再由水平振动输送机输送至振动筛分机筛分出微粉产品。</w:t>
            </w:r>
          </w:p>
          <w:p>
            <w:pPr>
              <w:ind w:firstLine="480"/>
              <w:rPr>
                <w:bCs/>
                <w:szCs w:val="24"/>
              </w:rPr>
            </w:pPr>
            <w:r>
              <w:rPr>
                <w:rFonts w:hint="eastAsia"/>
                <w:bCs/>
                <w:szCs w:val="24"/>
              </w:rPr>
              <w:t>环评要求超细破碎系统上料仓、超细破碎机、振动筛、成品料仓及转载点均设置集尘罩，其中振动筛全封闭后集尘，粉尘收集后由1套脉冲布袋除尘器过滤处理后由1根1</w:t>
            </w:r>
            <w:r>
              <w:rPr>
                <w:bCs/>
                <w:szCs w:val="24"/>
              </w:rPr>
              <w:t>5</w:t>
            </w:r>
            <w:r>
              <w:rPr>
                <w:rFonts w:hint="eastAsia"/>
                <w:bCs/>
                <w:szCs w:val="24"/>
              </w:rPr>
              <w:t>m高排气筒外排。</w:t>
            </w:r>
          </w:p>
          <w:p>
            <w:pPr>
              <w:ind w:firstLine="480"/>
              <w:rPr>
                <w:bCs/>
                <w:szCs w:val="24"/>
              </w:rPr>
            </w:pPr>
            <w:r>
              <w:rPr>
                <w:rFonts w:hint="eastAsia"/>
                <w:bCs/>
                <w:szCs w:val="24"/>
              </w:rPr>
              <w:t>超细破碎机系统运行时间为</w:t>
            </w:r>
            <w:r>
              <w:rPr>
                <w:bCs/>
                <w:szCs w:val="24"/>
              </w:rPr>
              <w:t>2400h</w:t>
            </w:r>
            <w:r>
              <w:rPr>
                <w:rFonts w:hint="eastAsia"/>
                <w:bCs/>
                <w:szCs w:val="24"/>
              </w:rPr>
              <w:t>/</w:t>
            </w:r>
            <w:r>
              <w:rPr>
                <w:bCs/>
                <w:szCs w:val="24"/>
              </w:rPr>
              <w:t>a</w:t>
            </w:r>
            <w:r>
              <w:rPr>
                <w:rFonts w:hint="eastAsia"/>
                <w:bCs/>
                <w:szCs w:val="24"/>
              </w:rPr>
              <w:t>，粉尘产生浓度按</w:t>
            </w:r>
            <w:r>
              <w:rPr>
                <w:bCs/>
                <w:szCs w:val="24"/>
              </w:rPr>
              <w:t>2000</w:t>
            </w:r>
            <w:r>
              <w:rPr>
                <w:rFonts w:hint="eastAsia"/>
                <w:bCs/>
                <w:szCs w:val="24"/>
              </w:rPr>
              <w:t>mg</w:t>
            </w:r>
            <w:r>
              <w:rPr>
                <w:bCs/>
                <w:szCs w:val="24"/>
              </w:rPr>
              <w:t>/m</w:t>
            </w:r>
            <w:r>
              <w:rPr>
                <w:bCs/>
                <w:szCs w:val="24"/>
                <w:vertAlign w:val="superscript"/>
              </w:rPr>
              <w:t>3</w:t>
            </w:r>
            <w:r>
              <w:rPr>
                <w:rFonts w:hint="eastAsia"/>
                <w:bCs/>
                <w:szCs w:val="24"/>
              </w:rPr>
              <w:t>，配套除尘器风量按</w:t>
            </w:r>
            <w:r>
              <w:rPr>
                <w:bCs/>
                <w:szCs w:val="24"/>
              </w:rPr>
              <w:t>30000</w:t>
            </w:r>
            <w:r>
              <w:rPr>
                <w:rFonts w:hint="eastAsia"/>
                <w:bCs/>
                <w:szCs w:val="24"/>
              </w:rPr>
              <w:t>m</w:t>
            </w:r>
            <w:r>
              <w:rPr>
                <w:bCs/>
                <w:szCs w:val="24"/>
                <w:vertAlign w:val="superscript"/>
              </w:rPr>
              <w:t>3</w:t>
            </w:r>
            <w:r>
              <w:rPr>
                <w:bCs/>
                <w:szCs w:val="24"/>
              </w:rPr>
              <w:t>/h</w:t>
            </w:r>
            <w:r>
              <w:rPr>
                <w:rFonts w:hint="eastAsia"/>
                <w:bCs/>
                <w:szCs w:val="24"/>
              </w:rPr>
              <w:t>计，除尘效率大于99</w:t>
            </w:r>
            <w:r>
              <w:rPr>
                <w:bCs/>
                <w:szCs w:val="24"/>
              </w:rPr>
              <w:t>.5</w:t>
            </w:r>
            <w:r>
              <w:rPr>
                <w:rFonts w:hint="eastAsia"/>
                <w:bCs/>
                <w:szCs w:val="24"/>
              </w:rPr>
              <w:t>%，则外排浓度小于</w:t>
            </w:r>
            <w:r>
              <w:rPr>
                <w:bCs/>
                <w:szCs w:val="24"/>
              </w:rPr>
              <w:t>10</w:t>
            </w:r>
            <w:r>
              <w:rPr>
                <w:rFonts w:hint="eastAsia"/>
                <w:bCs/>
                <w:szCs w:val="24"/>
              </w:rPr>
              <w:t>mg</w:t>
            </w:r>
            <w:r>
              <w:rPr>
                <w:bCs/>
                <w:szCs w:val="24"/>
              </w:rPr>
              <w:t>/m</w:t>
            </w:r>
            <w:r>
              <w:rPr>
                <w:bCs/>
                <w:szCs w:val="24"/>
                <w:vertAlign w:val="superscript"/>
              </w:rPr>
              <w:t>3</w:t>
            </w:r>
            <w:r>
              <w:rPr>
                <w:rFonts w:hint="eastAsia"/>
                <w:bCs/>
                <w:szCs w:val="24"/>
              </w:rPr>
              <w:t>，按</w:t>
            </w:r>
            <w:r>
              <w:rPr>
                <w:bCs/>
                <w:szCs w:val="24"/>
              </w:rPr>
              <w:t>10</w:t>
            </w:r>
            <w:r>
              <w:rPr>
                <w:rFonts w:hint="eastAsia"/>
                <w:bCs/>
                <w:szCs w:val="24"/>
              </w:rPr>
              <w:t>mg</w:t>
            </w:r>
            <w:r>
              <w:rPr>
                <w:bCs/>
                <w:szCs w:val="24"/>
              </w:rPr>
              <w:t>/m</w:t>
            </w:r>
            <w:r>
              <w:rPr>
                <w:bCs/>
                <w:szCs w:val="24"/>
                <w:vertAlign w:val="superscript"/>
              </w:rPr>
              <w:t>3</w:t>
            </w:r>
            <w:r>
              <w:rPr>
                <w:rFonts w:hint="eastAsia"/>
                <w:bCs/>
                <w:szCs w:val="24"/>
              </w:rPr>
              <w:t>计；则粉尘产生量为</w:t>
            </w:r>
            <w:r>
              <w:rPr>
                <w:bCs/>
                <w:szCs w:val="24"/>
              </w:rPr>
              <w:t>144</w:t>
            </w:r>
            <w:r>
              <w:rPr>
                <w:rFonts w:hint="eastAsia"/>
                <w:bCs/>
                <w:szCs w:val="24"/>
              </w:rPr>
              <w:t>t/a，粉尘排放速率为0</w:t>
            </w:r>
            <w:r>
              <w:rPr>
                <w:bCs/>
                <w:szCs w:val="24"/>
              </w:rPr>
              <w:t>.3</w:t>
            </w:r>
            <w:r>
              <w:rPr>
                <w:rFonts w:hint="eastAsia"/>
                <w:bCs/>
                <w:szCs w:val="24"/>
              </w:rPr>
              <w:t>kg/</w:t>
            </w:r>
            <w:r>
              <w:rPr>
                <w:bCs/>
                <w:szCs w:val="24"/>
              </w:rPr>
              <w:t>h</w:t>
            </w:r>
            <w:r>
              <w:rPr>
                <w:rFonts w:hint="eastAsia"/>
                <w:bCs/>
                <w:szCs w:val="24"/>
              </w:rPr>
              <w:t>，排放量为</w:t>
            </w:r>
            <w:r>
              <w:rPr>
                <w:bCs/>
                <w:szCs w:val="24"/>
              </w:rPr>
              <w:t>0.72</w:t>
            </w:r>
            <w:r>
              <w:rPr>
                <w:rFonts w:hint="eastAsia"/>
                <w:bCs/>
                <w:szCs w:val="24"/>
              </w:rPr>
              <w:t>t/a。</w:t>
            </w:r>
          </w:p>
          <w:p>
            <w:pPr>
              <w:pStyle w:val="144"/>
              <w:snapToGrid/>
              <w:spacing w:before="0" w:after="0"/>
              <w:ind w:firstLine="480"/>
            </w:pPr>
            <w:r>
              <w:rPr>
                <w:rFonts w:hint="eastAsia"/>
                <w:bCs/>
              </w:rPr>
              <w:t>该工序布袋除尘器采用脉冲布袋除尘器，处理风量</w:t>
            </w:r>
            <w:r>
              <w:rPr>
                <w:bCs/>
              </w:rPr>
              <w:t>30000</w:t>
            </w:r>
            <w:r>
              <w:rPr>
                <w:rFonts w:hint="eastAsia"/>
                <w:bCs/>
              </w:rPr>
              <w:t>m</w:t>
            </w:r>
            <w:r>
              <w:rPr>
                <w:bCs/>
                <w:vertAlign w:val="superscript"/>
              </w:rPr>
              <w:t>3</w:t>
            </w:r>
            <w:r>
              <w:rPr>
                <w:bCs/>
              </w:rPr>
              <w:t>/h</w:t>
            </w:r>
            <w:r>
              <w:rPr>
                <w:rFonts w:hint="eastAsia"/>
                <w:bCs/>
              </w:rPr>
              <w:t>，过滤面积约</w:t>
            </w:r>
            <w:r>
              <w:rPr>
                <w:bCs/>
              </w:rPr>
              <w:t>835</w:t>
            </w:r>
            <w:r>
              <w:rPr>
                <w:rFonts w:hint="eastAsia"/>
                <w:bCs/>
              </w:rPr>
              <w:t>m</w:t>
            </w:r>
            <w:r>
              <w:rPr>
                <w:bCs/>
                <w:vertAlign w:val="superscript"/>
              </w:rPr>
              <w:t>2</w:t>
            </w:r>
            <w:r>
              <w:rPr>
                <w:rFonts w:hint="eastAsia"/>
                <w:bCs/>
              </w:rPr>
              <w:t>，滤袋数量</w:t>
            </w:r>
            <w:r>
              <w:rPr>
                <w:bCs/>
              </w:rPr>
              <w:t>835</w:t>
            </w:r>
            <w:r>
              <w:rPr>
                <w:rFonts w:hint="eastAsia"/>
                <w:bCs/>
              </w:rPr>
              <w:t>条，过滤风速约</w:t>
            </w:r>
            <w:r>
              <w:rPr>
                <w:bCs/>
              </w:rPr>
              <w:t>0.6</w:t>
            </w:r>
            <w:r>
              <w:rPr>
                <w:rFonts w:hint="eastAsia"/>
                <w:bCs/>
              </w:rPr>
              <w:t>m</w:t>
            </w:r>
            <w:r>
              <w:rPr>
                <w:bCs/>
              </w:rPr>
              <w:t>/min</w:t>
            </w:r>
            <w:r>
              <w:rPr>
                <w:rFonts w:hint="eastAsia"/>
                <w:bCs/>
              </w:rPr>
              <w:t>，材质采用防静电针刺毡，允许使用温度≤8</w:t>
            </w:r>
            <w:r>
              <w:rPr>
                <w:bCs/>
              </w:rPr>
              <w:t>0</w:t>
            </w:r>
            <w:r>
              <w:rPr>
                <w:rFonts w:hint="eastAsia"/>
                <w:bCs/>
              </w:rPr>
              <w:t>℃</w:t>
            </w:r>
            <w:r>
              <w:rPr>
                <w:rFonts w:hint="eastAsia"/>
              </w:rPr>
              <w:t>。</w:t>
            </w:r>
          </w:p>
          <w:p>
            <w:pPr>
              <w:pStyle w:val="144"/>
              <w:spacing w:before="0" w:after="0"/>
              <w:ind w:firstLine="0" w:firstLineChars="0"/>
              <w:rPr>
                <w:b/>
              </w:rPr>
            </w:pPr>
            <w:r>
              <w:rPr>
                <w:b/>
              </w:rPr>
              <w:t>2</w:t>
            </w:r>
            <w:r>
              <w:rPr>
                <w:rFonts w:hAnsi="宋体"/>
                <w:b/>
              </w:rPr>
              <w:t>、</w:t>
            </w:r>
            <w:r>
              <w:rPr>
                <w:rFonts w:hint="eastAsia"/>
                <w:b/>
              </w:rPr>
              <w:t>大气污染物产排量汇总</w:t>
            </w:r>
          </w:p>
          <w:p>
            <w:pPr>
              <w:ind w:firstLine="482"/>
              <w:rPr>
                <w:b/>
              </w:rPr>
            </w:pPr>
            <w:r>
              <w:rPr>
                <w:rFonts w:hint="eastAsia"/>
                <w:b/>
              </w:rPr>
              <w:t>本项目污染物产排量汇总情况见下表。</w:t>
            </w:r>
          </w:p>
          <w:p>
            <w:pPr>
              <w:pStyle w:val="144"/>
              <w:spacing w:before="0" w:after="0"/>
              <w:ind w:firstLine="0" w:firstLineChars="0"/>
              <w:jc w:val="center"/>
              <w:rPr>
                <w:rFonts w:ascii="黑体" w:hAnsi="黑体" w:eastAsia="黑体"/>
              </w:rPr>
            </w:pPr>
            <w:r>
              <w:rPr>
                <w:rFonts w:hint="eastAsia" w:ascii="黑体" w:hAnsi="黑体" w:eastAsia="黑体"/>
              </w:rPr>
              <w:t>表</w:t>
            </w:r>
            <w:r>
              <w:rPr>
                <w:rFonts w:ascii="黑体" w:hAnsi="黑体" w:eastAsia="黑体"/>
              </w:rPr>
              <w:t>32</w:t>
            </w:r>
            <w:r>
              <w:rPr>
                <w:rFonts w:hint="eastAsia" w:ascii="黑体" w:hAnsi="黑体" w:eastAsia="黑体"/>
              </w:rPr>
              <w:t xml:space="preserve">  本项目污染物产排量汇总情况表</w:t>
            </w:r>
          </w:p>
          <w:tbl>
            <w:tblPr>
              <w:tblStyle w:val="7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3"/>
              <w:gridCol w:w="738"/>
              <w:gridCol w:w="881"/>
              <w:gridCol w:w="2503"/>
              <w:gridCol w:w="738"/>
              <w:gridCol w:w="884"/>
              <w:gridCol w:w="736"/>
              <w:gridCol w:w="11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bookmarkStart w:id="15" w:name="_Hlk14970184"/>
                  <w:r>
                    <w:rPr>
                      <w:rFonts w:hint="eastAsia"/>
                      <w:sz w:val="21"/>
                      <w:szCs w:val="21"/>
                    </w:rPr>
                    <w:t>污染源</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产生量</w:t>
                  </w:r>
                </w:p>
                <w:p>
                  <w:pPr>
                    <w:pStyle w:val="144"/>
                    <w:spacing w:before="0" w:after="0" w:line="240" w:lineRule="auto"/>
                    <w:ind w:firstLine="0" w:firstLineChars="0"/>
                    <w:jc w:val="center"/>
                    <w:rPr>
                      <w:sz w:val="21"/>
                      <w:szCs w:val="21"/>
                    </w:rPr>
                  </w:pPr>
                  <w:r>
                    <w:rPr>
                      <w:sz w:val="21"/>
                      <w:szCs w:val="21"/>
                    </w:rPr>
                    <w:t>t/a</w:t>
                  </w:r>
                </w:p>
              </w:tc>
              <w:tc>
                <w:tcPr>
                  <w:tcW w:w="48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产生</w:t>
                  </w:r>
                </w:p>
                <w:p>
                  <w:pPr>
                    <w:pStyle w:val="144"/>
                    <w:spacing w:before="0" w:after="0" w:line="240" w:lineRule="auto"/>
                    <w:ind w:firstLine="0" w:firstLineChars="0"/>
                    <w:jc w:val="center"/>
                    <w:rPr>
                      <w:sz w:val="21"/>
                      <w:szCs w:val="21"/>
                    </w:rPr>
                  </w:pPr>
                  <w:r>
                    <w:rPr>
                      <w:rFonts w:hint="eastAsia"/>
                      <w:sz w:val="21"/>
                      <w:szCs w:val="21"/>
                    </w:rPr>
                    <w:t>浓度</w:t>
                  </w:r>
                  <w:r>
                    <w:rPr>
                      <w:sz w:val="21"/>
                      <w:szCs w:val="21"/>
                    </w:rPr>
                    <w:t>mg/m</w:t>
                  </w:r>
                  <w:r>
                    <w:rPr>
                      <w:sz w:val="21"/>
                      <w:szCs w:val="21"/>
                      <w:vertAlign w:val="superscript"/>
                    </w:rPr>
                    <w:t>3</w:t>
                  </w:r>
                </w:p>
              </w:tc>
              <w:tc>
                <w:tcPr>
                  <w:tcW w:w="1381"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处理方式</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排放量</w:t>
                  </w:r>
                </w:p>
                <w:p>
                  <w:pPr>
                    <w:pStyle w:val="144"/>
                    <w:spacing w:before="0" w:after="0" w:line="240" w:lineRule="auto"/>
                    <w:ind w:firstLine="0" w:firstLineChars="0"/>
                    <w:jc w:val="center"/>
                    <w:rPr>
                      <w:sz w:val="21"/>
                      <w:szCs w:val="21"/>
                    </w:rPr>
                  </w:pPr>
                  <w:r>
                    <w:rPr>
                      <w:sz w:val="21"/>
                      <w:szCs w:val="21"/>
                    </w:rPr>
                    <w:t>t/a</w:t>
                  </w:r>
                </w:p>
              </w:tc>
              <w:tc>
                <w:tcPr>
                  <w:tcW w:w="488"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排放</w:t>
                  </w:r>
                </w:p>
                <w:p>
                  <w:pPr>
                    <w:pStyle w:val="144"/>
                    <w:spacing w:before="0" w:after="0" w:line="240" w:lineRule="auto"/>
                    <w:ind w:firstLine="0" w:firstLineChars="0"/>
                    <w:jc w:val="center"/>
                    <w:rPr>
                      <w:sz w:val="21"/>
                      <w:szCs w:val="21"/>
                    </w:rPr>
                  </w:pPr>
                  <w:r>
                    <w:rPr>
                      <w:rFonts w:hint="eastAsia"/>
                      <w:sz w:val="21"/>
                      <w:szCs w:val="21"/>
                    </w:rPr>
                    <w:t>浓度</w:t>
                  </w:r>
                  <w:r>
                    <w:rPr>
                      <w:sz w:val="21"/>
                      <w:szCs w:val="21"/>
                    </w:rPr>
                    <w:t>mg/m</w:t>
                  </w:r>
                  <w:r>
                    <w:rPr>
                      <w:sz w:val="21"/>
                      <w:szCs w:val="21"/>
                      <w:vertAlign w:val="superscript"/>
                    </w:rPr>
                    <w:t>3</w:t>
                  </w:r>
                </w:p>
              </w:tc>
              <w:tc>
                <w:tcPr>
                  <w:tcW w:w="40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排放强度</w:t>
                  </w:r>
                  <w:r>
                    <w:rPr>
                      <w:sz w:val="21"/>
                      <w:szCs w:val="21"/>
                    </w:rPr>
                    <w:t>kg/h</w:t>
                  </w:r>
                </w:p>
              </w:tc>
              <w:tc>
                <w:tcPr>
                  <w:tcW w:w="612"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排放形式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运输扬尘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2</w:t>
                  </w:r>
                  <w:r>
                    <w:rPr>
                      <w:sz w:val="21"/>
                      <w:szCs w:val="21"/>
                    </w:rPr>
                    <w:t>7.55</w:t>
                  </w:r>
                </w:p>
              </w:tc>
              <w:tc>
                <w:tcPr>
                  <w:tcW w:w="48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w:t>
                  </w:r>
                </w:p>
              </w:tc>
              <w:tc>
                <w:tcPr>
                  <w:tcW w:w="1381"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道路硬化、汽车冲洗、洒水抑尘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0.28</w:t>
                  </w:r>
                </w:p>
              </w:tc>
              <w:tc>
                <w:tcPr>
                  <w:tcW w:w="488"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w:t>
                  </w:r>
                </w:p>
              </w:tc>
              <w:tc>
                <w:tcPr>
                  <w:tcW w:w="40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w:t>
                  </w:r>
                </w:p>
              </w:tc>
              <w:tc>
                <w:tcPr>
                  <w:tcW w:w="612"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堆场扬尘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2</w:t>
                  </w:r>
                  <w:r>
                    <w:rPr>
                      <w:sz w:val="21"/>
                      <w:szCs w:val="21"/>
                    </w:rPr>
                    <w:t>2.3</w:t>
                  </w:r>
                </w:p>
              </w:tc>
              <w:tc>
                <w:tcPr>
                  <w:tcW w:w="48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w:t>
                  </w:r>
                </w:p>
              </w:tc>
              <w:tc>
                <w:tcPr>
                  <w:tcW w:w="1381"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全封闭原料库，喷雾抑尘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w:t>
                  </w:r>
                </w:p>
              </w:tc>
              <w:tc>
                <w:tcPr>
                  <w:tcW w:w="488"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w:t>
                  </w:r>
                </w:p>
              </w:tc>
              <w:tc>
                <w:tcPr>
                  <w:tcW w:w="40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w:t>
                  </w:r>
                </w:p>
              </w:tc>
              <w:tc>
                <w:tcPr>
                  <w:tcW w:w="612"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装卸扬尘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4</w:t>
                  </w:r>
                  <w:r>
                    <w:rPr>
                      <w:sz w:val="21"/>
                      <w:szCs w:val="21"/>
                    </w:rPr>
                    <w:t>1.5</w:t>
                  </w:r>
                </w:p>
              </w:tc>
              <w:tc>
                <w:tcPr>
                  <w:tcW w:w="48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w:t>
                  </w:r>
                </w:p>
              </w:tc>
              <w:tc>
                <w:tcPr>
                  <w:tcW w:w="1381"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全封闭原料库，喷雾抑尘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0.42</w:t>
                  </w:r>
                </w:p>
              </w:tc>
              <w:tc>
                <w:tcPr>
                  <w:tcW w:w="488"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w:t>
                  </w:r>
                </w:p>
              </w:tc>
              <w:tc>
                <w:tcPr>
                  <w:tcW w:w="40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w:t>
                  </w:r>
                </w:p>
              </w:tc>
              <w:tc>
                <w:tcPr>
                  <w:tcW w:w="612"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建筑骨料生产线粗破、反击破系统粉尘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144</w:t>
                  </w:r>
                </w:p>
              </w:tc>
              <w:tc>
                <w:tcPr>
                  <w:tcW w:w="48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2</w:t>
                  </w:r>
                  <w:r>
                    <w:rPr>
                      <w:rFonts w:hint="eastAsia"/>
                      <w:sz w:val="21"/>
                      <w:szCs w:val="21"/>
                    </w:rPr>
                    <w:t>000</w:t>
                  </w:r>
                </w:p>
              </w:tc>
              <w:tc>
                <w:tcPr>
                  <w:tcW w:w="1381"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bCs/>
                      <w:sz w:val="21"/>
                      <w:szCs w:val="21"/>
                    </w:rPr>
                    <w:t>入料口、颚式破碎机、反击式破碎机、直线筛、中间品料仓及转载点均设置集尘罩，粉尘收集后由1套脉冲布袋除尘器过滤处理后由1根1</w:t>
                  </w:r>
                  <w:r>
                    <w:rPr>
                      <w:bCs/>
                      <w:sz w:val="21"/>
                      <w:szCs w:val="21"/>
                    </w:rPr>
                    <w:t>5</w:t>
                  </w:r>
                  <w:r>
                    <w:rPr>
                      <w:rFonts w:hint="eastAsia"/>
                      <w:bCs/>
                      <w:sz w:val="21"/>
                      <w:szCs w:val="21"/>
                    </w:rPr>
                    <w:t>m高排气筒外排</w:t>
                  </w:r>
                </w:p>
              </w:tc>
              <w:tc>
                <w:tcPr>
                  <w:tcW w:w="407" w:type="pct"/>
                  <w:tcBorders>
                    <w:top w:val="single" w:color="auto" w:sz="4" w:space="0"/>
                    <w:left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0.72</w:t>
                  </w:r>
                </w:p>
              </w:tc>
              <w:tc>
                <w:tcPr>
                  <w:tcW w:w="488" w:type="pct"/>
                  <w:tcBorders>
                    <w:top w:val="single" w:color="auto" w:sz="4" w:space="0"/>
                    <w:left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10</w:t>
                  </w:r>
                </w:p>
              </w:tc>
              <w:tc>
                <w:tcPr>
                  <w:tcW w:w="406" w:type="pct"/>
                  <w:tcBorders>
                    <w:top w:val="single" w:color="auto" w:sz="4" w:space="0"/>
                    <w:left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0.3</w:t>
                  </w:r>
                </w:p>
              </w:tc>
              <w:tc>
                <w:tcPr>
                  <w:tcW w:w="612" w:type="pct"/>
                  <w:tcBorders>
                    <w:top w:val="single" w:color="auto" w:sz="4" w:space="0"/>
                    <w:left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w:t>
                  </w:r>
                  <w:r>
                    <w:rPr>
                      <w:rFonts w:hint="eastAsia"/>
                      <w:sz w:val="21"/>
                      <w:szCs w:val="21"/>
                    </w:rPr>
                    <w:t>根</w:t>
                  </w:r>
                  <w:r>
                    <w:rPr>
                      <w:sz w:val="21"/>
                      <w:szCs w:val="21"/>
                    </w:rPr>
                    <w:t>15m</w:t>
                  </w:r>
                  <w:r>
                    <w:rPr>
                      <w:rFonts w:hint="eastAsia"/>
                      <w:sz w:val="21"/>
                      <w:szCs w:val="21"/>
                    </w:rPr>
                    <w:t>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建筑骨料生产线冲击破系统粉尘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144</w:t>
                  </w:r>
                </w:p>
              </w:tc>
              <w:tc>
                <w:tcPr>
                  <w:tcW w:w="48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2</w:t>
                  </w:r>
                  <w:r>
                    <w:rPr>
                      <w:rFonts w:hint="eastAsia"/>
                      <w:sz w:val="21"/>
                      <w:szCs w:val="21"/>
                    </w:rPr>
                    <w:t>000</w:t>
                  </w:r>
                </w:p>
              </w:tc>
              <w:tc>
                <w:tcPr>
                  <w:tcW w:w="1381"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上料仓、立式冲击破、预分筛、成品筛、成品仓及转载点均设置集尘罩，粉尘收集后由1套脉冲布袋除尘器过滤处理后由1根15m高排气筒外排</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0.72</w:t>
                  </w:r>
                </w:p>
              </w:tc>
              <w:tc>
                <w:tcPr>
                  <w:tcW w:w="488"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10</w:t>
                  </w:r>
                </w:p>
              </w:tc>
              <w:tc>
                <w:tcPr>
                  <w:tcW w:w="40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0.3</w:t>
                  </w:r>
                </w:p>
              </w:tc>
              <w:tc>
                <w:tcPr>
                  <w:tcW w:w="612"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w:t>
                  </w:r>
                  <w:r>
                    <w:rPr>
                      <w:rFonts w:hint="eastAsia"/>
                      <w:sz w:val="21"/>
                      <w:szCs w:val="21"/>
                    </w:rPr>
                    <w:t>根</w:t>
                  </w:r>
                  <w:r>
                    <w:rPr>
                      <w:sz w:val="21"/>
                      <w:szCs w:val="21"/>
                    </w:rPr>
                    <w:t>15m</w:t>
                  </w:r>
                  <w:r>
                    <w:rPr>
                      <w:rFonts w:hint="eastAsia"/>
                      <w:sz w:val="21"/>
                      <w:szCs w:val="21"/>
                    </w:rPr>
                    <w:t>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微粉生产线鄂破系统粉尘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144</w:t>
                  </w:r>
                </w:p>
              </w:tc>
              <w:tc>
                <w:tcPr>
                  <w:tcW w:w="48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2</w:t>
                  </w:r>
                  <w:r>
                    <w:rPr>
                      <w:rFonts w:hint="eastAsia"/>
                      <w:sz w:val="21"/>
                      <w:szCs w:val="21"/>
                    </w:rPr>
                    <w:t>000</w:t>
                  </w:r>
                </w:p>
              </w:tc>
              <w:tc>
                <w:tcPr>
                  <w:tcW w:w="1381"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上料仓、颚式破碎机、直线筛、中间品料仓及转载点均设置集尘罩，粉尘收集后由1套脉冲布袋除尘器过滤处理后由1根15m高排气筒外排</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0.72</w:t>
                  </w:r>
                </w:p>
              </w:tc>
              <w:tc>
                <w:tcPr>
                  <w:tcW w:w="488"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10</w:t>
                  </w:r>
                </w:p>
              </w:tc>
              <w:tc>
                <w:tcPr>
                  <w:tcW w:w="40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0.3</w:t>
                  </w:r>
                </w:p>
              </w:tc>
              <w:tc>
                <w:tcPr>
                  <w:tcW w:w="612"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w:t>
                  </w:r>
                  <w:r>
                    <w:rPr>
                      <w:rFonts w:hint="eastAsia"/>
                      <w:sz w:val="21"/>
                      <w:szCs w:val="21"/>
                    </w:rPr>
                    <w:t>根</w:t>
                  </w:r>
                  <w:r>
                    <w:rPr>
                      <w:sz w:val="21"/>
                      <w:szCs w:val="21"/>
                    </w:rPr>
                    <w:t>15m</w:t>
                  </w:r>
                  <w:r>
                    <w:rPr>
                      <w:rFonts w:hint="eastAsia"/>
                      <w:sz w:val="21"/>
                      <w:szCs w:val="21"/>
                    </w:rPr>
                    <w:t>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微粉生产线超细破碎机系统粉尘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144</w:t>
                  </w:r>
                </w:p>
              </w:tc>
              <w:tc>
                <w:tcPr>
                  <w:tcW w:w="48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2</w:t>
                  </w:r>
                  <w:r>
                    <w:rPr>
                      <w:rFonts w:hint="eastAsia"/>
                      <w:sz w:val="21"/>
                      <w:szCs w:val="21"/>
                    </w:rPr>
                    <w:t>000</w:t>
                  </w:r>
                </w:p>
              </w:tc>
              <w:tc>
                <w:tcPr>
                  <w:tcW w:w="1381"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bCs/>
                      <w:sz w:val="21"/>
                      <w:szCs w:val="21"/>
                    </w:rPr>
                    <w:t>超细破碎系统上料仓、超细破碎机、振动筛、成品料仓及转载点均设置集尘罩，粉尘收集后由1套脉冲布袋除尘器过滤处理后由1根1</w:t>
                  </w:r>
                  <w:r>
                    <w:rPr>
                      <w:bCs/>
                      <w:sz w:val="21"/>
                      <w:szCs w:val="21"/>
                    </w:rPr>
                    <w:t>5</w:t>
                  </w:r>
                  <w:r>
                    <w:rPr>
                      <w:rFonts w:hint="eastAsia"/>
                      <w:bCs/>
                      <w:sz w:val="21"/>
                      <w:szCs w:val="21"/>
                    </w:rPr>
                    <w:t>m高排气筒外排</w:t>
                  </w:r>
                </w:p>
              </w:tc>
              <w:tc>
                <w:tcPr>
                  <w:tcW w:w="407" w:type="pct"/>
                  <w:tcBorders>
                    <w:top w:val="single" w:color="auto" w:sz="4" w:space="0"/>
                    <w:left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0.72</w:t>
                  </w:r>
                </w:p>
              </w:tc>
              <w:tc>
                <w:tcPr>
                  <w:tcW w:w="488" w:type="pct"/>
                  <w:tcBorders>
                    <w:top w:val="single" w:color="auto" w:sz="4" w:space="0"/>
                    <w:left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10</w:t>
                  </w:r>
                </w:p>
              </w:tc>
              <w:tc>
                <w:tcPr>
                  <w:tcW w:w="406" w:type="pct"/>
                  <w:tcBorders>
                    <w:top w:val="single" w:color="auto" w:sz="4" w:space="0"/>
                    <w:left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0.3</w:t>
                  </w:r>
                </w:p>
              </w:tc>
              <w:tc>
                <w:tcPr>
                  <w:tcW w:w="612" w:type="pct"/>
                  <w:tcBorders>
                    <w:top w:val="single" w:color="auto" w:sz="4" w:space="0"/>
                    <w:left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w:t>
                  </w:r>
                  <w:r>
                    <w:rPr>
                      <w:rFonts w:hint="eastAsia"/>
                      <w:sz w:val="21"/>
                      <w:szCs w:val="21"/>
                    </w:rPr>
                    <w:t>根</w:t>
                  </w:r>
                  <w:r>
                    <w:rPr>
                      <w:sz w:val="21"/>
                      <w:szCs w:val="21"/>
                    </w:rPr>
                    <w:t>15m</w:t>
                  </w:r>
                  <w:r>
                    <w:rPr>
                      <w:rFonts w:hint="eastAsia"/>
                      <w:sz w:val="21"/>
                      <w:szCs w:val="21"/>
                    </w:rPr>
                    <w:t>排气筒</w:t>
                  </w:r>
                </w:p>
              </w:tc>
            </w:tr>
            <w:bookmarkEnd w:id="15"/>
          </w:tbl>
          <w:p>
            <w:pPr>
              <w:pStyle w:val="144"/>
              <w:spacing w:before="0" w:after="0"/>
              <w:ind w:firstLine="0" w:firstLineChars="0"/>
              <w:jc w:val="center"/>
              <w:rPr>
                <w:rFonts w:ascii="黑体" w:hAnsi="黑体" w:eastAsia="黑体"/>
              </w:rPr>
            </w:pPr>
          </w:p>
          <w:p>
            <w:pPr>
              <w:pStyle w:val="144"/>
              <w:spacing w:before="0" w:after="0"/>
              <w:ind w:firstLine="0" w:firstLineChars="0"/>
              <w:jc w:val="center"/>
              <w:rPr>
                <w:rFonts w:ascii="黑体" w:hAnsi="黑体" w:eastAsia="黑体"/>
              </w:rPr>
            </w:pPr>
            <w:r>
              <w:rPr>
                <w:rFonts w:hint="eastAsia" w:ascii="黑体" w:hAnsi="黑体" w:eastAsia="黑体"/>
              </w:rPr>
              <w:t>表</w:t>
            </w:r>
            <w:r>
              <w:rPr>
                <w:rFonts w:ascii="黑体" w:hAnsi="黑体" w:eastAsia="黑体"/>
              </w:rPr>
              <w:t xml:space="preserve">33 </w:t>
            </w:r>
            <w:r>
              <w:rPr>
                <w:rFonts w:hint="eastAsia" w:ascii="黑体" w:hAnsi="黑体" w:eastAsia="黑体"/>
              </w:rPr>
              <w:t xml:space="preserve"> 本项目大气污染物产排量汇总情况表 t/a</w:t>
            </w:r>
          </w:p>
          <w:tbl>
            <w:tblPr>
              <w:tblStyle w:val="7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61"/>
              <w:gridCol w:w="31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污染源</w:t>
                  </w:r>
                </w:p>
              </w:tc>
              <w:tc>
                <w:tcPr>
                  <w:tcW w:w="171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工业粉尘t/a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建筑骨料生产线粗破、反击破系统粉尘</w:t>
                  </w:r>
                </w:p>
              </w:tc>
              <w:tc>
                <w:tcPr>
                  <w:tcW w:w="171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16"/>
                    </w:rPr>
                  </w:pPr>
                  <w:r>
                    <w:rPr>
                      <w:sz w:val="21"/>
                      <w:szCs w:val="16"/>
                    </w:rPr>
                    <w:t>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建筑骨料生产线冲击破系统粉尘</w:t>
                  </w:r>
                </w:p>
              </w:tc>
              <w:tc>
                <w:tcPr>
                  <w:tcW w:w="171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16"/>
                    </w:rPr>
                  </w:pPr>
                  <w:r>
                    <w:rPr>
                      <w:sz w:val="21"/>
                      <w:szCs w:val="16"/>
                    </w:rPr>
                    <w:t>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微粉生产线鄂破系统粉尘</w:t>
                  </w:r>
                </w:p>
              </w:tc>
              <w:tc>
                <w:tcPr>
                  <w:tcW w:w="171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16"/>
                    </w:rPr>
                  </w:pPr>
                  <w:r>
                    <w:rPr>
                      <w:sz w:val="21"/>
                      <w:szCs w:val="16"/>
                    </w:rPr>
                    <w:t>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微粉生产线超细破碎机系统粉尘</w:t>
                  </w:r>
                </w:p>
              </w:tc>
              <w:tc>
                <w:tcPr>
                  <w:tcW w:w="171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16"/>
                    </w:rPr>
                  </w:pPr>
                  <w:r>
                    <w:rPr>
                      <w:sz w:val="21"/>
                      <w:szCs w:val="16"/>
                    </w:rPr>
                    <w:t>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合计</w:t>
                  </w:r>
                </w:p>
              </w:tc>
              <w:tc>
                <w:tcPr>
                  <w:tcW w:w="171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16"/>
                    </w:rPr>
                  </w:pPr>
                  <w:r>
                    <w:rPr>
                      <w:sz w:val="21"/>
                      <w:szCs w:val="16"/>
                    </w:rPr>
                    <w:t>2.88</w:t>
                  </w:r>
                </w:p>
              </w:tc>
            </w:tr>
          </w:tbl>
          <w:p>
            <w:pPr>
              <w:pStyle w:val="144"/>
              <w:spacing w:before="0" w:after="0"/>
              <w:ind w:firstLine="0" w:firstLineChars="0"/>
              <w:rPr>
                <w:b/>
              </w:rPr>
            </w:pPr>
            <w:r>
              <w:rPr>
                <w:b/>
              </w:rPr>
              <w:t>3</w:t>
            </w:r>
            <w:r>
              <w:rPr>
                <w:rFonts w:hAnsi="宋体"/>
                <w:b/>
              </w:rPr>
              <w:t>、</w:t>
            </w:r>
            <w:r>
              <w:rPr>
                <w:rFonts w:hint="eastAsia" w:hAnsi="宋体"/>
                <w:b/>
              </w:rPr>
              <w:t>大气环境影响预测与评价</w:t>
            </w:r>
          </w:p>
          <w:p>
            <w:pPr>
              <w:pStyle w:val="172"/>
              <w:ind w:firstLine="480" w:firstLineChars="200"/>
              <w:rPr>
                <w:rFonts w:ascii="Times New Roman" w:hAnsi="宋体" w:eastAsia="宋体"/>
              </w:rPr>
            </w:pPr>
            <w:r>
              <w:rPr>
                <w:rFonts w:hint="eastAsia" w:ascii="Times New Roman" w:hAnsi="宋体" w:eastAsia="宋体"/>
              </w:rPr>
              <w:t>此次评价根据《环境影响评价技术导则</w:t>
            </w:r>
            <w:r>
              <w:rPr>
                <w:rFonts w:ascii="Times New Roman" w:hAnsi="宋体" w:eastAsia="宋体"/>
              </w:rPr>
              <w:t xml:space="preserve">  </w:t>
            </w:r>
            <w:r>
              <w:rPr>
                <w:rFonts w:hint="eastAsia" w:ascii="Times New Roman" w:hAnsi="宋体" w:eastAsia="宋体"/>
              </w:rPr>
              <w:t>大气环境》（</w:t>
            </w:r>
            <w:r>
              <w:rPr>
                <w:rFonts w:ascii="Times New Roman" w:hAnsi="宋体" w:eastAsia="宋体"/>
              </w:rPr>
              <w:t>HJ2.2-2018</w:t>
            </w:r>
            <w:r>
              <w:rPr>
                <w:rFonts w:hint="eastAsia" w:ascii="Times New Roman" w:hAnsi="宋体" w:eastAsia="宋体"/>
              </w:rPr>
              <w:t>）附录</w:t>
            </w:r>
            <w:r>
              <w:rPr>
                <w:rFonts w:ascii="Times New Roman" w:hAnsi="宋体" w:eastAsia="宋体"/>
              </w:rPr>
              <w:t>A</w:t>
            </w:r>
            <w:r>
              <w:rPr>
                <w:rFonts w:hint="eastAsia" w:ascii="Times New Roman" w:hAnsi="宋体" w:eastAsia="宋体"/>
              </w:rPr>
              <w:t>推荐模型中的估算模型</w:t>
            </w:r>
            <w:r>
              <w:rPr>
                <w:rFonts w:ascii="Times New Roman" w:hAnsi="宋体" w:eastAsia="宋体"/>
              </w:rPr>
              <w:t>AERSCREEN</w:t>
            </w:r>
            <w:r>
              <w:rPr>
                <w:rFonts w:hint="eastAsia" w:ascii="Times New Roman" w:hAnsi="宋体" w:eastAsia="宋体"/>
              </w:rPr>
              <w:t>计算了各污染源的最大环境影响。</w:t>
            </w:r>
          </w:p>
          <w:p>
            <w:pPr>
              <w:pStyle w:val="172"/>
              <w:ind w:firstLine="480" w:firstLineChars="200"/>
              <w:rPr>
                <w:rFonts w:ascii="Times New Roman" w:hAnsi="宋体" w:eastAsia="宋体"/>
              </w:rPr>
            </w:pPr>
            <w:r>
              <w:rPr>
                <w:rFonts w:hint="eastAsia" w:ascii="宋体" w:hAnsi="宋体" w:eastAsia="宋体" w:cs="宋体"/>
              </w:rPr>
              <w:t>①</w:t>
            </w:r>
            <w:r>
              <w:rPr>
                <w:rFonts w:hint="eastAsia" w:ascii="Times New Roman" w:hAnsi="宋体" w:eastAsia="宋体"/>
              </w:rPr>
              <w:t>项目污染源</w:t>
            </w:r>
          </w:p>
          <w:p>
            <w:pPr>
              <w:pStyle w:val="172"/>
              <w:ind w:firstLine="480" w:firstLineChars="200"/>
              <w:rPr>
                <w:rFonts w:ascii="Times New Roman" w:hAnsi="宋体" w:eastAsia="宋体"/>
                <w:b/>
              </w:rPr>
            </w:pPr>
            <w:r>
              <w:rPr>
                <w:rFonts w:hint="eastAsia" w:ascii="Times New Roman" w:hAnsi="宋体" w:eastAsia="宋体"/>
              </w:rPr>
              <w:t>本项目大气污染源参数具体见下表。</w:t>
            </w:r>
          </w:p>
          <w:p>
            <w:pPr>
              <w:pStyle w:val="172"/>
              <w:ind w:firstLine="480"/>
              <w:jc w:val="center"/>
              <w:rPr>
                <w:rFonts w:ascii="黑体" w:hAnsi="黑体"/>
              </w:rPr>
            </w:pPr>
            <w:r>
              <w:rPr>
                <w:rFonts w:hint="eastAsia" w:ascii="黑体" w:hAnsi="黑体"/>
              </w:rPr>
              <w:t>表</w:t>
            </w:r>
            <w:r>
              <w:rPr>
                <w:rFonts w:ascii="黑体" w:hAnsi="黑体"/>
              </w:rPr>
              <w:t>34</w:t>
            </w:r>
            <w:r>
              <w:rPr>
                <w:rFonts w:hint="eastAsia" w:ascii="黑体" w:hAnsi="黑体"/>
              </w:rPr>
              <w:t xml:space="preserve"> </w:t>
            </w:r>
            <w:r>
              <w:rPr>
                <w:rFonts w:ascii="黑体" w:hAnsi="黑体"/>
              </w:rPr>
              <w:t xml:space="preserve"> </w:t>
            </w:r>
            <w:r>
              <w:rPr>
                <w:rFonts w:hint="eastAsia" w:ascii="黑体" w:hAnsi="黑体"/>
              </w:rPr>
              <w:t>本项目大气污染源点源参数表</w:t>
            </w:r>
          </w:p>
          <w:tbl>
            <w:tblPr>
              <w:tblStyle w:val="7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2"/>
              <w:gridCol w:w="758"/>
              <w:gridCol w:w="1709"/>
              <w:gridCol w:w="1709"/>
              <w:gridCol w:w="1709"/>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230"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编号</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ascii="Times New Roman" w:hAnsi="宋体" w:eastAsia="宋体"/>
                      <w:sz w:val="21"/>
                      <w:szCs w:val="21"/>
                    </w:rPr>
                    <w:t>1</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2</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ascii="Times New Roman" w:hAnsi="宋体" w:eastAsia="宋体"/>
                      <w:sz w:val="21"/>
                      <w:szCs w:val="21"/>
                    </w:rPr>
                    <w:t>3</w:t>
                  </w:r>
                </w:p>
              </w:tc>
              <w:tc>
                <w:tcPr>
                  <w:tcW w:w="942"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ascii="Times New Roman" w:hAnsi="宋体" w:eastAsia="宋体"/>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0"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污染源</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建筑骨料生产线粗破、反击破系统粉尘</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建筑骨料生产线冲击破系统粉尘</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微粉生产线鄂破系统粉尘</w:t>
                  </w:r>
                </w:p>
              </w:tc>
              <w:tc>
                <w:tcPr>
                  <w:tcW w:w="942"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微粉生产线超细破碎机系统粉尘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0"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排气筒高度</w:t>
                  </w:r>
                  <w:r>
                    <w:rPr>
                      <w:rFonts w:ascii="Times New Roman" w:hAnsi="宋体" w:eastAsia="宋体"/>
                      <w:sz w:val="21"/>
                      <w:szCs w:val="21"/>
                    </w:rPr>
                    <w:t>/m</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15</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15</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15</w:t>
                  </w:r>
                </w:p>
              </w:tc>
              <w:tc>
                <w:tcPr>
                  <w:tcW w:w="942"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hint="eastAsia" w:ascii="Times New Roman" w:hAnsi="宋体" w:eastAsia="宋体"/>
                      <w:b/>
                      <w:sz w:val="21"/>
                      <w:szCs w:val="21"/>
                    </w:rPr>
                    <w:t>1</w:t>
                  </w:r>
                  <w:r>
                    <w:rPr>
                      <w:rFonts w:ascii="Times New Roman" w:hAnsi="宋体" w:eastAsia="宋体"/>
                      <w:b/>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0"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排气筒出口内径</w:t>
                  </w:r>
                  <w:r>
                    <w:rPr>
                      <w:rFonts w:ascii="Times New Roman" w:hAnsi="宋体" w:eastAsia="宋体"/>
                      <w:sz w:val="21"/>
                      <w:szCs w:val="21"/>
                    </w:rPr>
                    <w:t>/m</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0.8</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0.8</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0.8</w:t>
                  </w:r>
                </w:p>
              </w:tc>
              <w:tc>
                <w:tcPr>
                  <w:tcW w:w="942"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0"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烟气流速</w:t>
                  </w:r>
                  <w:r>
                    <w:rPr>
                      <w:rFonts w:ascii="Times New Roman" w:hAnsi="宋体" w:eastAsia="宋体"/>
                      <w:sz w:val="21"/>
                      <w:szCs w:val="21"/>
                    </w:rPr>
                    <w:t>/(m/s)</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17.8</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17.8</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17.8</w:t>
                  </w:r>
                </w:p>
              </w:tc>
              <w:tc>
                <w:tcPr>
                  <w:tcW w:w="942"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0"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烟气温度</w:t>
                  </w:r>
                  <w:r>
                    <w:rPr>
                      <w:rFonts w:ascii="Times New Roman" w:hAnsi="宋体" w:eastAsia="宋体"/>
                      <w:sz w:val="21"/>
                      <w:szCs w:val="21"/>
                    </w:rPr>
                    <w:t>/</w:t>
                  </w:r>
                  <w:r>
                    <w:rPr>
                      <w:rFonts w:hint="eastAsia" w:ascii="Times New Roman" w:hAnsi="宋体" w:eastAsia="宋体"/>
                      <w:sz w:val="21"/>
                      <w:szCs w:val="21"/>
                    </w:rPr>
                    <w:t>℃</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20</w:t>
                  </w:r>
                  <w:r>
                    <w:rPr>
                      <w:rFonts w:hint="eastAsia" w:ascii="Times New Roman" w:hAnsi="宋体" w:eastAsia="宋体"/>
                      <w:sz w:val="21"/>
                      <w:szCs w:val="21"/>
                    </w:rPr>
                    <w:t>℃</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20</w:t>
                  </w:r>
                  <w:r>
                    <w:rPr>
                      <w:rFonts w:hint="eastAsia" w:ascii="Times New Roman" w:hAnsi="宋体" w:eastAsia="宋体"/>
                      <w:sz w:val="21"/>
                      <w:szCs w:val="21"/>
                    </w:rPr>
                    <w:t>℃</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20</w:t>
                  </w:r>
                  <w:r>
                    <w:rPr>
                      <w:rFonts w:hint="eastAsia" w:ascii="Times New Roman" w:hAnsi="宋体" w:eastAsia="宋体"/>
                      <w:sz w:val="21"/>
                      <w:szCs w:val="21"/>
                    </w:rPr>
                    <w:t>℃</w:t>
                  </w:r>
                </w:p>
              </w:tc>
              <w:tc>
                <w:tcPr>
                  <w:tcW w:w="942"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20</w:t>
                  </w:r>
                  <w:r>
                    <w:rPr>
                      <w:rFonts w:hint="eastAsia" w:ascii="Times New Roman" w:hAnsi="宋体" w:eastAsia="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0"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年排放小时数</w:t>
                  </w:r>
                  <w:r>
                    <w:rPr>
                      <w:rFonts w:ascii="Times New Roman" w:hAnsi="宋体" w:eastAsia="宋体"/>
                      <w:sz w:val="21"/>
                      <w:szCs w:val="21"/>
                    </w:rPr>
                    <w:t>/h</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2400</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2400</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2400</w:t>
                  </w:r>
                </w:p>
              </w:tc>
              <w:tc>
                <w:tcPr>
                  <w:tcW w:w="942"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2400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0"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排放工况</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hint="eastAsia" w:ascii="Times New Roman" w:hAnsi="宋体" w:eastAsia="宋体"/>
                      <w:b/>
                      <w:sz w:val="21"/>
                      <w:szCs w:val="21"/>
                    </w:rPr>
                    <w:t>正常排放</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hint="eastAsia" w:ascii="Times New Roman" w:hAnsi="宋体" w:eastAsia="宋体"/>
                      <w:b/>
                      <w:sz w:val="21"/>
                      <w:szCs w:val="21"/>
                    </w:rPr>
                    <w:t>正常排放</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hint="eastAsia" w:ascii="Times New Roman" w:hAnsi="宋体" w:eastAsia="宋体"/>
                      <w:b/>
                      <w:sz w:val="21"/>
                      <w:szCs w:val="21"/>
                    </w:rPr>
                    <w:t>正常排放</w:t>
                  </w:r>
                </w:p>
              </w:tc>
              <w:tc>
                <w:tcPr>
                  <w:tcW w:w="942"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hint="eastAsia" w:ascii="Times New Roman" w:hAnsi="宋体" w:eastAsia="宋体"/>
                      <w:b/>
                      <w:sz w:val="21"/>
                      <w:szCs w:val="21"/>
                    </w:rPr>
                    <w:t>正常排放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污染物排放速率</w:t>
                  </w:r>
                  <w:r>
                    <w:rPr>
                      <w:rFonts w:ascii="Times New Roman" w:hAnsi="宋体" w:eastAsia="宋体"/>
                      <w:sz w:val="21"/>
                      <w:szCs w:val="21"/>
                    </w:rPr>
                    <w:t>/(kg/h)</w:t>
                  </w:r>
                </w:p>
              </w:tc>
              <w:tc>
                <w:tcPr>
                  <w:tcW w:w="418"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ascii="Times New Roman" w:hAnsi="宋体" w:eastAsia="宋体"/>
                      <w:sz w:val="21"/>
                      <w:szCs w:val="21"/>
                    </w:rPr>
                    <w:t>PM</w:t>
                  </w:r>
                  <w:r>
                    <w:rPr>
                      <w:rFonts w:ascii="Times New Roman" w:hAnsi="宋体" w:eastAsia="宋体"/>
                      <w:sz w:val="21"/>
                      <w:szCs w:val="21"/>
                      <w:vertAlign w:val="subscript"/>
                    </w:rPr>
                    <w:t>10</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0.3</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hint="eastAsia" w:ascii="Times New Roman" w:hAnsi="宋体" w:eastAsia="宋体"/>
                      <w:b/>
                      <w:sz w:val="21"/>
                      <w:szCs w:val="21"/>
                    </w:rPr>
                    <w:t>0</w:t>
                  </w:r>
                  <w:r>
                    <w:rPr>
                      <w:rFonts w:ascii="Times New Roman" w:hAnsi="宋体" w:eastAsia="宋体"/>
                      <w:b/>
                      <w:sz w:val="21"/>
                      <w:szCs w:val="21"/>
                    </w:rPr>
                    <w:t>.3</w:t>
                  </w:r>
                </w:p>
              </w:tc>
              <w:tc>
                <w:tcPr>
                  <w:tcW w:w="943"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0.3</w:t>
                  </w:r>
                </w:p>
              </w:tc>
              <w:tc>
                <w:tcPr>
                  <w:tcW w:w="942"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0.3</w:t>
                  </w:r>
                </w:p>
              </w:tc>
            </w:tr>
          </w:tbl>
          <w:p>
            <w:pPr>
              <w:pStyle w:val="144"/>
              <w:spacing w:before="0" w:after="0"/>
              <w:ind w:firstLine="0" w:firstLineChars="0"/>
              <w:jc w:val="center"/>
              <w:rPr>
                <w:rFonts w:ascii="黑体" w:hAnsi="黑体" w:eastAsia="黑体"/>
                <w:kern w:val="0"/>
              </w:rPr>
            </w:pPr>
            <w:r>
              <w:rPr>
                <w:rFonts w:hint="eastAsia" w:ascii="黑体" w:hAnsi="黑体" w:eastAsia="黑体"/>
                <w:kern w:val="0"/>
              </w:rPr>
              <w:t>表</w:t>
            </w:r>
            <w:r>
              <w:rPr>
                <w:rFonts w:ascii="黑体" w:hAnsi="黑体" w:eastAsia="黑体"/>
                <w:kern w:val="0"/>
              </w:rPr>
              <w:t>35</w:t>
            </w:r>
            <w:r>
              <w:rPr>
                <w:rFonts w:hint="eastAsia" w:ascii="黑体" w:hAnsi="黑体" w:eastAsia="黑体"/>
                <w:kern w:val="0"/>
              </w:rPr>
              <w:t xml:space="preserve">  面源参数表</w:t>
            </w:r>
          </w:p>
          <w:tbl>
            <w:tblPr>
              <w:tblStyle w:val="7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45"/>
              <w:gridCol w:w="1327"/>
              <w:gridCol w:w="2545"/>
              <w:gridCol w:w="25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2192"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编号</w:t>
                  </w:r>
                </w:p>
              </w:tc>
              <w:tc>
                <w:tcPr>
                  <w:tcW w:w="1404"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ascii="Times New Roman" w:hAnsi="宋体" w:eastAsia="宋体"/>
                      <w:sz w:val="21"/>
                      <w:szCs w:val="21"/>
                    </w:rPr>
                    <w:t>1</w:t>
                  </w:r>
                </w:p>
              </w:tc>
              <w:tc>
                <w:tcPr>
                  <w:tcW w:w="1404"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ascii="Times New Roman" w:hAnsi="宋体" w:eastAsia="宋体"/>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92"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污染源</w:t>
                  </w:r>
                </w:p>
              </w:tc>
              <w:tc>
                <w:tcPr>
                  <w:tcW w:w="1404"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运输扬尘</w:t>
                  </w:r>
                </w:p>
              </w:tc>
              <w:tc>
                <w:tcPr>
                  <w:tcW w:w="1404"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装卸扬尘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92"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面源长度</w:t>
                  </w:r>
                  <w:r>
                    <w:rPr>
                      <w:rFonts w:ascii="Times New Roman" w:hAnsi="宋体" w:eastAsia="宋体"/>
                      <w:sz w:val="21"/>
                      <w:szCs w:val="21"/>
                    </w:rPr>
                    <w:t>/m</w:t>
                  </w:r>
                </w:p>
              </w:tc>
              <w:tc>
                <w:tcPr>
                  <w:tcW w:w="1404"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200</w:t>
                  </w:r>
                </w:p>
              </w:tc>
              <w:tc>
                <w:tcPr>
                  <w:tcW w:w="1404"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92"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面源宽度</w:t>
                  </w:r>
                  <w:r>
                    <w:rPr>
                      <w:rFonts w:ascii="Times New Roman" w:hAnsi="宋体" w:eastAsia="宋体"/>
                      <w:sz w:val="21"/>
                      <w:szCs w:val="21"/>
                    </w:rPr>
                    <w:t>/m</w:t>
                  </w:r>
                </w:p>
              </w:tc>
              <w:tc>
                <w:tcPr>
                  <w:tcW w:w="1404"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10</w:t>
                  </w:r>
                </w:p>
              </w:tc>
              <w:tc>
                <w:tcPr>
                  <w:tcW w:w="1404"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92"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与正北向夹角</w:t>
                  </w:r>
                  <w:r>
                    <w:rPr>
                      <w:rFonts w:ascii="Times New Roman" w:hAnsi="宋体" w:eastAsia="宋体"/>
                      <w:sz w:val="21"/>
                      <w:szCs w:val="21"/>
                    </w:rPr>
                    <w:t>/</w:t>
                  </w:r>
                  <w:r>
                    <w:rPr>
                      <w:rFonts w:hint="eastAsia" w:ascii="Times New Roman" w:hAnsi="宋体" w:eastAsia="宋体"/>
                      <w:sz w:val="21"/>
                      <w:szCs w:val="21"/>
                    </w:rPr>
                    <w:t>°</w:t>
                  </w:r>
                </w:p>
              </w:tc>
              <w:tc>
                <w:tcPr>
                  <w:tcW w:w="1404"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50</w:t>
                  </w:r>
                  <w:r>
                    <w:rPr>
                      <w:rFonts w:hint="eastAsia" w:ascii="Times New Roman" w:hAnsi="宋体" w:eastAsia="宋体"/>
                      <w:sz w:val="21"/>
                      <w:szCs w:val="21"/>
                    </w:rPr>
                    <w:t>℃</w:t>
                  </w:r>
                </w:p>
              </w:tc>
              <w:tc>
                <w:tcPr>
                  <w:tcW w:w="1404"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20</w:t>
                  </w:r>
                  <w:r>
                    <w:rPr>
                      <w:rFonts w:hint="eastAsia" w:ascii="Times New Roman" w:hAnsi="宋体" w:eastAsia="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92"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面源有效排放高度</w:t>
                  </w:r>
                  <w:r>
                    <w:rPr>
                      <w:rFonts w:ascii="Times New Roman" w:hAnsi="宋体" w:eastAsia="宋体"/>
                      <w:sz w:val="21"/>
                      <w:szCs w:val="21"/>
                    </w:rPr>
                    <w:t>/m</w:t>
                  </w:r>
                </w:p>
              </w:tc>
              <w:tc>
                <w:tcPr>
                  <w:tcW w:w="1404"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10</w:t>
                  </w:r>
                </w:p>
              </w:tc>
              <w:tc>
                <w:tcPr>
                  <w:tcW w:w="1404"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ascii="Times New Roman" w:hAnsi="宋体" w:eastAsia="宋体"/>
                      <w:b/>
                      <w:sz w:val="21"/>
                      <w:szCs w:val="21"/>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92"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年排放小时数</w:t>
                  </w:r>
                  <w:r>
                    <w:rPr>
                      <w:rFonts w:ascii="Times New Roman" w:hAnsi="宋体" w:eastAsia="宋体"/>
                      <w:sz w:val="21"/>
                      <w:szCs w:val="21"/>
                    </w:rPr>
                    <w:t>/h</w:t>
                  </w:r>
                </w:p>
              </w:tc>
              <w:tc>
                <w:tcPr>
                  <w:tcW w:w="1404"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hint="eastAsia" w:ascii="Times New Roman" w:hAnsi="宋体" w:eastAsia="宋体"/>
                      <w:b/>
                      <w:sz w:val="21"/>
                      <w:szCs w:val="21"/>
                    </w:rPr>
                    <w:t>7</w:t>
                  </w:r>
                  <w:r>
                    <w:rPr>
                      <w:rFonts w:ascii="Times New Roman" w:hAnsi="宋体" w:eastAsia="宋体"/>
                      <w:b/>
                      <w:sz w:val="21"/>
                      <w:szCs w:val="21"/>
                    </w:rPr>
                    <w:t>200</w:t>
                  </w:r>
                </w:p>
              </w:tc>
              <w:tc>
                <w:tcPr>
                  <w:tcW w:w="1404"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hint="eastAsia" w:ascii="Times New Roman" w:hAnsi="宋体" w:eastAsia="宋体"/>
                      <w:b/>
                      <w:sz w:val="21"/>
                      <w:szCs w:val="21"/>
                    </w:rPr>
                    <w:t>7</w:t>
                  </w:r>
                  <w:r>
                    <w:rPr>
                      <w:rFonts w:ascii="Times New Roman" w:hAnsi="宋体" w:eastAsia="宋体"/>
                      <w:b/>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92"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排放工况</w:t>
                  </w:r>
                </w:p>
              </w:tc>
              <w:tc>
                <w:tcPr>
                  <w:tcW w:w="1404"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hint="eastAsia" w:ascii="Times New Roman" w:hAnsi="宋体" w:eastAsia="宋体"/>
                      <w:b/>
                      <w:sz w:val="21"/>
                      <w:szCs w:val="21"/>
                    </w:rPr>
                    <w:t>正常</w:t>
                  </w:r>
                </w:p>
              </w:tc>
              <w:tc>
                <w:tcPr>
                  <w:tcW w:w="1404"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hint="eastAsia" w:ascii="Times New Roman" w:hAnsi="宋体" w:eastAsia="宋体"/>
                      <w:b/>
                      <w:sz w:val="21"/>
                      <w:szCs w:val="21"/>
                    </w:rPr>
                    <w:t>正常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60"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hint="eastAsia" w:ascii="Times New Roman" w:hAnsi="宋体" w:eastAsia="宋体"/>
                      <w:sz w:val="21"/>
                      <w:szCs w:val="21"/>
                    </w:rPr>
                    <w:t>污染物排放速率</w:t>
                  </w:r>
                  <w:r>
                    <w:rPr>
                      <w:rFonts w:ascii="Times New Roman" w:hAnsi="宋体" w:eastAsia="宋体"/>
                      <w:sz w:val="21"/>
                      <w:szCs w:val="21"/>
                    </w:rPr>
                    <w:t>/(kg/h)</w:t>
                  </w:r>
                </w:p>
              </w:tc>
              <w:tc>
                <w:tcPr>
                  <w:tcW w:w="732"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sz w:val="21"/>
                      <w:szCs w:val="21"/>
                    </w:rPr>
                  </w:pPr>
                  <w:r>
                    <w:rPr>
                      <w:rFonts w:ascii="Times New Roman" w:hAnsi="宋体" w:eastAsia="宋体"/>
                      <w:sz w:val="21"/>
                      <w:szCs w:val="21"/>
                    </w:rPr>
                    <w:t>TSP</w:t>
                  </w:r>
                </w:p>
              </w:tc>
              <w:tc>
                <w:tcPr>
                  <w:tcW w:w="1404"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hint="eastAsia" w:ascii="Times New Roman" w:hAnsi="宋体" w:eastAsia="宋体"/>
                      <w:b/>
                      <w:sz w:val="21"/>
                      <w:szCs w:val="21"/>
                    </w:rPr>
                    <w:t>0</w:t>
                  </w:r>
                  <w:r>
                    <w:rPr>
                      <w:rFonts w:ascii="Times New Roman" w:hAnsi="宋体" w:eastAsia="宋体"/>
                      <w:b/>
                      <w:sz w:val="21"/>
                      <w:szCs w:val="21"/>
                    </w:rPr>
                    <w:t>.039</w:t>
                  </w:r>
                </w:p>
              </w:tc>
              <w:tc>
                <w:tcPr>
                  <w:tcW w:w="1404" w:type="pct"/>
                  <w:tcBorders>
                    <w:top w:val="single" w:color="auto" w:sz="4" w:space="0"/>
                    <w:left w:val="single" w:color="auto" w:sz="4" w:space="0"/>
                    <w:bottom w:val="single" w:color="auto" w:sz="4" w:space="0"/>
                    <w:right w:val="single" w:color="auto" w:sz="4" w:space="0"/>
                  </w:tcBorders>
                  <w:vAlign w:val="center"/>
                </w:tcPr>
                <w:p>
                  <w:pPr>
                    <w:pStyle w:val="172"/>
                    <w:widowControl w:val="0"/>
                    <w:spacing w:line="240" w:lineRule="auto"/>
                    <w:ind w:firstLine="0"/>
                    <w:jc w:val="center"/>
                    <w:rPr>
                      <w:rFonts w:ascii="Times New Roman" w:hAnsi="宋体" w:eastAsia="宋体"/>
                      <w:b/>
                      <w:sz w:val="21"/>
                      <w:szCs w:val="21"/>
                    </w:rPr>
                  </w:pPr>
                  <w:r>
                    <w:rPr>
                      <w:rFonts w:hint="eastAsia" w:ascii="Times New Roman" w:hAnsi="宋体" w:eastAsia="宋体"/>
                      <w:b/>
                      <w:sz w:val="21"/>
                      <w:szCs w:val="21"/>
                    </w:rPr>
                    <w:t>0</w:t>
                  </w:r>
                  <w:r>
                    <w:rPr>
                      <w:rFonts w:ascii="Times New Roman" w:hAnsi="宋体" w:eastAsia="宋体"/>
                      <w:b/>
                      <w:sz w:val="21"/>
                      <w:szCs w:val="21"/>
                    </w:rPr>
                    <w:t>.058</w:t>
                  </w:r>
                </w:p>
              </w:tc>
            </w:tr>
          </w:tbl>
          <w:p>
            <w:pPr>
              <w:pStyle w:val="172"/>
              <w:ind w:firstLine="480" w:firstLineChars="200"/>
              <w:rPr>
                <w:rFonts w:ascii="Times New Roman" w:hAnsi="宋体" w:eastAsia="宋体"/>
              </w:rPr>
            </w:pPr>
            <w:r>
              <w:rPr>
                <w:rFonts w:hint="eastAsia" w:ascii="Times New Roman" w:hAnsi="宋体" w:eastAsia="宋体"/>
              </w:rPr>
              <w:t>②评价因子和评价标准的确定</w:t>
            </w:r>
          </w:p>
          <w:p>
            <w:pPr>
              <w:pStyle w:val="172"/>
              <w:ind w:firstLine="480" w:firstLineChars="200"/>
              <w:rPr>
                <w:rFonts w:ascii="Times New Roman" w:hAnsi="宋体" w:eastAsia="宋体"/>
                <w:b/>
              </w:rPr>
            </w:pPr>
            <w:r>
              <w:rPr>
                <w:rFonts w:hint="eastAsia" w:ascii="Times New Roman" w:hAnsi="宋体" w:eastAsia="宋体"/>
              </w:rPr>
              <w:t>根据工程分析，本项目大气环境影响评价因子为：</w:t>
            </w:r>
            <w:r>
              <w:rPr>
                <w:rFonts w:ascii="Times New Roman" w:hAnsi="宋体" w:eastAsia="宋体"/>
              </w:rPr>
              <w:t>PM</w:t>
            </w:r>
            <w:r>
              <w:rPr>
                <w:rFonts w:ascii="Times New Roman" w:hAnsi="宋体" w:eastAsia="宋体"/>
                <w:vertAlign w:val="subscript"/>
              </w:rPr>
              <w:t>10</w:t>
            </w:r>
            <w:r>
              <w:rPr>
                <w:rFonts w:hint="eastAsia" w:ascii="Times New Roman" w:hAnsi="宋体" w:eastAsia="宋体"/>
              </w:rPr>
              <w:t>、</w:t>
            </w:r>
            <w:r>
              <w:rPr>
                <w:rFonts w:ascii="Times New Roman" w:hAnsi="宋体" w:eastAsia="宋体"/>
              </w:rPr>
              <w:t>TSP</w:t>
            </w:r>
            <w:r>
              <w:rPr>
                <w:rFonts w:hint="eastAsia" w:ascii="Times New Roman" w:hAnsi="宋体" w:eastAsia="宋体"/>
              </w:rPr>
              <w:t>；本次环境空气影响预测因子评价标准采用的具体评价标准值见下表。</w:t>
            </w:r>
          </w:p>
          <w:p>
            <w:pPr>
              <w:pStyle w:val="172"/>
              <w:ind w:firstLine="0"/>
              <w:jc w:val="center"/>
              <w:rPr>
                <w:rFonts w:ascii="黑体" w:hAnsi="黑体"/>
              </w:rPr>
            </w:pPr>
            <w:r>
              <w:rPr>
                <w:rFonts w:hint="eastAsia" w:ascii="黑体" w:hAnsi="黑体"/>
              </w:rPr>
              <w:t>表</w:t>
            </w:r>
            <w:r>
              <w:rPr>
                <w:rFonts w:ascii="黑体" w:hAnsi="黑体"/>
              </w:rPr>
              <w:t xml:space="preserve">36 </w:t>
            </w:r>
            <w:r>
              <w:rPr>
                <w:rFonts w:hint="eastAsia" w:ascii="黑体" w:hAnsi="黑体"/>
              </w:rPr>
              <w:t xml:space="preserve"> 评价因子和评价标准表</w:t>
            </w:r>
          </w:p>
          <w:tbl>
            <w:tblPr>
              <w:tblStyle w:val="7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0"/>
              <w:gridCol w:w="1325"/>
              <w:gridCol w:w="1620"/>
              <w:gridCol w:w="4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1"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评价因子</w:t>
                  </w:r>
                </w:p>
              </w:tc>
              <w:tc>
                <w:tcPr>
                  <w:tcW w:w="731"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平均时段</w:t>
                  </w:r>
                </w:p>
              </w:tc>
              <w:tc>
                <w:tcPr>
                  <w:tcW w:w="894"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标准值</w:t>
                  </w:r>
                  <w:r>
                    <w:rPr>
                      <w:rFonts w:ascii="Times New Roman" w:hAnsi="Times New Roman" w:eastAsia="宋体"/>
                      <w:sz w:val="21"/>
                      <w:szCs w:val="21"/>
                    </w:rPr>
                    <w:t>μ</w:t>
                  </w:r>
                  <w:r>
                    <w:rPr>
                      <w:rFonts w:ascii="Times New Roman" w:hAnsi="宋体" w:eastAsia="宋体"/>
                      <w:sz w:val="21"/>
                      <w:szCs w:val="21"/>
                    </w:rPr>
                    <w:t>g/m</w:t>
                  </w:r>
                  <w:r>
                    <w:rPr>
                      <w:rFonts w:ascii="Times New Roman" w:hAnsi="宋体" w:eastAsia="宋体"/>
                      <w:sz w:val="21"/>
                      <w:szCs w:val="21"/>
                      <w:vertAlign w:val="superscript"/>
                    </w:rPr>
                    <w:t>3</w:t>
                  </w:r>
                </w:p>
              </w:tc>
              <w:tc>
                <w:tcPr>
                  <w:tcW w:w="2564"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1"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ascii="Times New Roman" w:hAnsi="宋体" w:eastAsia="宋体"/>
                      <w:sz w:val="21"/>
                      <w:szCs w:val="21"/>
                    </w:rPr>
                    <w:t>PM</w:t>
                  </w:r>
                  <w:r>
                    <w:rPr>
                      <w:rFonts w:ascii="Times New Roman" w:hAnsi="宋体" w:eastAsia="宋体"/>
                      <w:sz w:val="21"/>
                      <w:szCs w:val="21"/>
                      <w:vertAlign w:val="subscript"/>
                    </w:rPr>
                    <w:t>10</w:t>
                  </w:r>
                </w:p>
              </w:tc>
              <w:tc>
                <w:tcPr>
                  <w:tcW w:w="731"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ascii="Times New Roman" w:hAnsi="宋体" w:eastAsia="宋体"/>
                      <w:sz w:val="21"/>
                      <w:szCs w:val="21"/>
                    </w:rPr>
                    <w:t>1h</w:t>
                  </w:r>
                  <w:r>
                    <w:rPr>
                      <w:rFonts w:hint="eastAsia" w:ascii="Times New Roman" w:hAnsi="宋体" w:eastAsia="宋体"/>
                      <w:sz w:val="21"/>
                      <w:szCs w:val="21"/>
                    </w:rPr>
                    <w:t>平均</w:t>
                  </w:r>
                </w:p>
              </w:tc>
              <w:tc>
                <w:tcPr>
                  <w:tcW w:w="894"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ascii="Times New Roman" w:hAnsi="宋体" w:eastAsia="宋体"/>
                      <w:sz w:val="21"/>
                      <w:szCs w:val="21"/>
                    </w:rPr>
                    <w:t>450</w:t>
                  </w:r>
                </w:p>
              </w:tc>
              <w:tc>
                <w:tcPr>
                  <w:tcW w:w="2564" w:type="pct"/>
                  <w:vMerge w:val="restar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《环境空气质量标准》（</w:t>
                  </w:r>
                  <w:r>
                    <w:rPr>
                      <w:rFonts w:ascii="Times New Roman" w:hAnsi="宋体" w:eastAsia="宋体"/>
                      <w:sz w:val="21"/>
                      <w:szCs w:val="21"/>
                    </w:rPr>
                    <w:t>GB3095-2012</w:t>
                  </w:r>
                  <w:r>
                    <w:rPr>
                      <w:rFonts w:hint="eastAsia" w:ascii="Times New Roman" w:hAnsi="宋体" w:eastAsia="宋体"/>
                      <w:sz w:val="21"/>
                      <w:szCs w:val="21"/>
                    </w:rPr>
                    <w:t>）中小时浓度值；只有</w:t>
                  </w:r>
                  <w:r>
                    <w:rPr>
                      <w:rFonts w:ascii="Times New Roman" w:hAnsi="宋体" w:eastAsia="宋体"/>
                      <w:sz w:val="21"/>
                      <w:szCs w:val="21"/>
                    </w:rPr>
                    <w:t>24h</w:t>
                  </w:r>
                  <w:r>
                    <w:rPr>
                      <w:rFonts w:hint="eastAsia" w:ascii="Times New Roman" w:hAnsi="宋体" w:eastAsia="宋体"/>
                      <w:sz w:val="21"/>
                      <w:szCs w:val="21"/>
                    </w:rPr>
                    <w:t>平均质量浓度的，按其二级浓度限值的</w:t>
                  </w:r>
                  <w:r>
                    <w:rPr>
                      <w:rFonts w:ascii="Times New Roman" w:hAnsi="宋体" w:eastAsia="宋体"/>
                      <w:sz w:val="21"/>
                      <w:szCs w:val="21"/>
                    </w:rPr>
                    <w:t>3</w:t>
                  </w:r>
                  <w:r>
                    <w:rPr>
                      <w:rFonts w:hint="eastAsia" w:ascii="Times New Roman" w:hAnsi="宋体" w:eastAsia="宋体"/>
                      <w:sz w:val="21"/>
                      <w:szCs w:val="21"/>
                    </w:rPr>
                    <w:t>倍折算值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1"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ascii="Times New Roman" w:hAnsi="宋体" w:eastAsia="宋体"/>
                      <w:sz w:val="21"/>
                      <w:szCs w:val="21"/>
                    </w:rPr>
                    <w:t>TSP</w:t>
                  </w:r>
                </w:p>
              </w:tc>
              <w:tc>
                <w:tcPr>
                  <w:tcW w:w="731"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ascii="Times New Roman" w:hAnsi="宋体" w:eastAsia="宋体"/>
                      <w:sz w:val="21"/>
                      <w:szCs w:val="21"/>
                    </w:rPr>
                    <w:t>1h</w:t>
                  </w:r>
                  <w:r>
                    <w:rPr>
                      <w:rFonts w:hint="eastAsia" w:ascii="Times New Roman" w:hAnsi="宋体" w:eastAsia="宋体"/>
                      <w:sz w:val="21"/>
                      <w:szCs w:val="21"/>
                    </w:rPr>
                    <w:t>平均</w:t>
                  </w:r>
                </w:p>
              </w:tc>
              <w:tc>
                <w:tcPr>
                  <w:tcW w:w="894"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ascii="Times New Roman" w:hAnsi="宋体" w:eastAsia="宋体"/>
                      <w:sz w:val="21"/>
                      <w:szCs w:val="21"/>
                    </w:rPr>
                    <w:t>900</w:t>
                  </w:r>
                </w:p>
              </w:tc>
              <w:tc>
                <w:tcPr>
                  <w:tcW w:w="2564"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hAnsi="宋体"/>
                      <w:sz w:val="21"/>
                      <w:szCs w:val="21"/>
                    </w:rPr>
                  </w:pPr>
                </w:p>
              </w:tc>
            </w:tr>
          </w:tbl>
          <w:p>
            <w:pPr>
              <w:pStyle w:val="172"/>
              <w:ind w:firstLine="480" w:firstLineChars="200"/>
              <w:rPr>
                <w:rFonts w:ascii="Times New Roman" w:hAnsi="宋体" w:eastAsia="宋体"/>
              </w:rPr>
            </w:pPr>
            <w:r>
              <w:rPr>
                <w:rFonts w:hint="eastAsia" w:ascii="Times New Roman" w:hAnsi="宋体" w:eastAsia="宋体"/>
              </w:rPr>
              <w:t>③估算模型参数</w:t>
            </w:r>
          </w:p>
          <w:p>
            <w:pPr>
              <w:pStyle w:val="172"/>
              <w:ind w:firstLine="480" w:firstLineChars="200"/>
              <w:rPr>
                <w:rFonts w:ascii="Times New Roman" w:hAnsi="宋体" w:eastAsia="宋体"/>
              </w:rPr>
            </w:pPr>
            <w:r>
              <w:rPr>
                <w:rFonts w:hint="eastAsia" w:ascii="Times New Roman" w:hAnsi="宋体" w:eastAsia="宋体"/>
              </w:rPr>
              <w:t>估算模型参数表见下表。</w:t>
            </w:r>
          </w:p>
          <w:p>
            <w:pPr>
              <w:pStyle w:val="172"/>
              <w:ind w:firstLine="480"/>
              <w:jc w:val="center"/>
              <w:rPr>
                <w:rFonts w:ascii="黑体" w:hAnsi="黑体"/>
              </w:rPr>
            </w:pPr>
            <w:r>
              <w:rPr>
                <w:rFonts w:hint="eastAsia" w:ascii="黑体" w:hAnsi="黑体"/>
              </w:rPr>
              <w:t>表</w:t>
            </w:r>
            <w:r>
              <w:rPr>
                <w:rFonts w:ascii="黑体" w:hAnsi="黑体"/>
              </w:rPr>
              <w:t>37</w:t>
            </w:r>
            <w:r>
              <w:rPr>
                <w:rFonts w:hint="eastAsia" w:ascii="黑体" w:hAnsi="黑体"/>
              </w:rPr>
              <w:t xml:space="preserve">  估算模型参数表</w:t>
            </w:r>
          </w:p>
          <w:tbl>
            <w:tblPr>
              <w:tblStyle w:val="7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19"/>
              <w:gridCol w:w="3021"/>
              <w:gridCol w:w="30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33"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参数</w:t>
                  </w:r>
                </w:p>
              </w:tc>
              <w:tc>
                <w:tcPr>
                  <w:tcW w:w="1667"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vMerge w:val="restar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城市</w:t>
                  </w:r>
                  <w:r>
                    <w:rPr>
                      <w:rFonts w:ascii="Times New Roman" w:hAnsi="宋体" w:eastAsia="宋体"/>
                      <w:sz w:val="21"/>
                      <w:szCs w:val="21"/>
                    </w:rPr>
                    <w:t>/</w:t>
                  </w:r>
                  <w:r>
                    <w:rPr>
                      <w:rFonts w:hint="eastAsia" w:ascii="Times New Roman" w:hAnsi="宋体" w:eastAsia="宋体"/>
                      <w:sz w:val="21"/>
                      <w:szCs w:val="21"/>
                    </w:rPr>
                    <w:t>农村选项</w:t>
                  </w:r>
                </w:p>
              </w:tc>
              <w:tc>
                <w:tcPr>
                  <w:tcW w:w="1666"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城市</w:t>
                  </w:r>
                  <w:r>
                    <w:rPr>
                      <w:rFonts w:ascii="Times New Roman" w:hAnsi="宋体" w:eastAsia="宋体"/>
                      <w:sz w:val="21"/>
                      <w:szCs w:val="21"/>
                    </w:rPr>
                    <w:t>/</w:t>
                  </w:r>
                  <w:r>
                    <w:rPr>
                      <w:rFonts w:hint="eastAsia" w:ascii="Times New Roman" w:hAnsi="宋体" w:eastAsia="宋体"/>
                      <w:sz w:val="21"/>
                      <w:szCs w:val="21"/>
                    </w:rPr>
                    <w:t>农村</w:t>
                  </w:r>
                </w:p>
              </w:tc>
              <w:tc>
                <w:tcPr>
                  <w:tcW w:w="1667"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b/>
                      <w:sz w:val="21"/>
                      <w:szCs w:val="21"/>
                    </w:rPr>
                  </w:pPr>
                  <w:r>
                    <w:rPr>
                      <w:rFonts w:hint="eastAsia" w:ascii="Times New Roman" w:hAnsi="宋体" w:eastAsia="宋体"/>
                      <w:b/>
                      <w:sz w:val="21"/>
                      <w:szCs w:val="21"/>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hAnsi="宋体"/>
                      <w:sz w:val="21"/>
                      <w:szCs w:val="21"/>
                    </w:rPr>
                  </w:pPr>
                </w:p>
              </w:tc>
              <w:tc>
                <w:tcPr>
                  <w:tcW w:w="1666"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人口数（城市选项时）</w:t>
                  </w:r>
                </w:p>
              </w:tc>
              <w:tc>
                <w:tcPr>
                  <w:tcW w:w="1667"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b/>
                      <w:sz w:val="21"/>
                      <w:szCs w:val="21"/>
                    </w:rPr>
                  </w:pPr>
                  <w:r>
                    <w:rPr>
                      <w:rFonts w:ascii="Times New Roman" w:hAnsi="宋体" w:eastAsia="宋体"/>
                      <w:b/>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33"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最高环境温度</w:t>
                  </w:r>
                  <w:r>
                    <w:rPr>
                      <w:rFonts w:ascii="Times New Roman" w:hAnsi="宋体" w:eastAsia="宋体"/>
                      <w:sz w:val="21"/>
                      <w:szCs w:val="21"/>
                    </w:rPr>
                    <w:t>/</w:t>
                  </w:r>
                  <w:r>
                    <w:rPr>
                      <w:rFonts w:hint="eastAsia" w:ascii="Times New Roman" w:hAnsi="宋体" w:eastAsia="宋体"/>
                      <w:sz w:val="21"/>
                      <w:szCs w:val="21"/>
                    </w:rPr>
                    <w:t>℃</w:t>
                  </w:r>
                </w:p>
              </w:tc>
              <w:tc>
                <w:tcPr>
                  <w:tcW w:w="1667"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b/>
                      <w:sz w:val="21"/>
                      <w:szCs w:val="21"/>
                    </w:rPr>
                  </w:pPr>
                  <w:r>
                    <w:rPr>
                      <w:rFonts w:ascii="Times New Roman" w:hAnsi="宋体" w:eastAsia="宋体"/>
                      <w:b/>
                      <w:sz w:val="21"/>
                      <w:szCs w:val="21"/>
                    </w:rPr>
                    <w:t>29.8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33"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最低环境温度</w:t>
                  </w:r>
                  <w:r>
                    <w:rPr>
                      <w:rFonts w:ascii="Times New Roman" w:hAnsi="宋体" w:eastAsia="宋体"/>
                      <w:sz w:val="21"/>
                      <w:szCs w:val="21"/>
                    </w:rPr>
                    <w:t>/</w:t>
                  </w:r>
                  <w:r>
                    <w:rPr>
                      <w:rFonts w:hint="eastAsia" w:ascii="Times New Roman" w:hAnsi="宋体" w:eastAsia="宋体"/>
                      <w:sz w:val="21"/>
                      <w:szCs w:val="21"/>
                    </w:rPr>
                    <w:t>℃</w:t>
                  </w:r>
                </w:p>
              </w:tc>
              <w:tc>
                <w:tcPr>
                  <w:tcW w:w="1667"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b/>
                      <w:sz w:val="21"/>
                      <w:szCs w:val="21"/>
                    </w:rPr>
                  </w:pPr>
                  <w:r>
                    <w:rPr>
                      <w:rFonts w:ascii="Times New Roman" w:hAnsi="宋体" w:eastAsia="宋体"/>
                      <w:b/>
                      <w:sz w:val="21"/>
                      <w:szCs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33"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土地利用类型</w:t>
                  </w:r>
                </w:p>
              </w:tc>
              <w:tc>
                <w:tcPr>
                  <w:tcW w:w="1667"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b/>
                      <w:sz w:val="21"/>
                      <w:szCs w:val="21"/>
                    </w:rPr>
                  </w:pPr>
                  <w:r>
                    <w:rPr>
                      <w:rFonts w:hint="eastAsia" w:ascii="Times New Roman" w:hAnsi="宋体" w:eastAsia="宋体"/>
                      <w:b/>
                      <w:sz w:val="21"/>
                      <w:szCs w:val="21"/>
                    </w:rPr>
                    <w:t>农田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33" w:type="pct"/>
                  <w:gridSpan w:val="2"/>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区域湿度条件</w:t>
                  </w:r>
                </w:p>
              </w:tc>
              <w:tc>
                <w:tcPr>
                  <w:tcW w:w="1667"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b/>
                      <w:sz w:val="21"/>
                      <w:szCs w:val="21"/>
                    </w:rPr>
                  </w:pPr>
                  <w:r>
                    <w:rPr>
                      <w:rFonts w:hint="eastAsia" w:ascii="Times New Roman" w:hAnsi="宋体" w:eastAsia="宋体"/>
                      <w:b/>
                      <w:sz w:val="21"/>
                      <w:szCs w:val="21"/>
                    </w:rPr>
                    <w:t>中等湿度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vMerge w:val="restar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是否考虑地形</w:t>
                  </w:r>
                </w:p>
              </w:tc>
              <w:tc>
                <w:tcPr>
                  <w:tcW w:w="1666"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考虑地形</w:t>
                  </w:r>
                </w:p>
              </w:tc>
              <w:tc>
                <w:tcPr>
                  <w:tcW w:w="1667"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b/>
                      <w:sz w:val="21"/>
                      <w:szCs w:val="21"/>
                    </w:rPr>
                  </w:pPr>
                  <w:r>
                    <w:rPr>
                      <w:rFonts w:hint="eastAsia" w:ascii="Times New Roman" w:hAnsi="宋体" w:eastAsia="宋体"/>
                      <w:b/>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hAnsi="宋体"/>
                      <w:sz w:val="21"/>
                      <w:szCs w:val="21"/>
                    </w:rPr>
                  </w:pPr>
                </w:p>
              </w:tc>
              <w:tc>
                <w:tcPr>
                  <w:tcW w:w="1666"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地形数据分辨率</w:t>
                  </w:r>
                  <w:r>
                    <w:rPr>
                      <w:rFonts w:ascii="Times New Roman" w:hAnsi="宋体" w:eastAsia="宋体"/>
                      <w:sz w:val="21"/>
                      <w:szCs w:val="21"/>
                    </w:rPr>
                    <w:t>/m</w:t>
                  </w:r>
                </w:p>
              </w:tc>
              <w:tc>
                <w:tcPr>
                  <w:tcW w:w="1667"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b/>
                      <w:sz w:val="21"/>
                      <w:szCs w:val="21"/>
                    </w:rPr>
                  </w:pPr>
                  <w:r>
                    <w:rPr>
                      <w:rFonts w:ascii="Times New Roman" w:hAnsi="宋体" w:eastAsia="宋体"/>
                      <w:b/>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vMerge w:val="restar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是否考虑岸线熏烟</w:t>
                  </w:r>
                </w:p>
              </w:tc>
              <w:tc>
                <w:tcPr>
                  <w:tcW w:w="1666"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考虑岸线熏烟</w:t>
                  </w:r>
                </w:p>
              </w:tc>
              <w:tc>
                <w:tcPr>
                  <w:tcW w:w="1667"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b/>
                      <w:sz w:val="21"/>
                      <w:szCs w:val="21"/>
                    </w:rPr>
                  </w:pPr>
                  <w:r>
                    <w:rPr>
                      <w:rFonts w:hint="eastAsia" w:ascii="Times New Roman" w:hAnsi="宋体" w:eastAsia="宋体"/>
                      <w:b/>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hAnsi="宋体"/>
                      <w:sz w:val="21"/>
                      <w:szCs w:val="21"/>
                    </w:rPr>
                  </w:pPr>
                </w:p>
              </w:tc>
              <w:tc>
                <w:tcPr>
                  <w:tcW w:w="1666"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岸线距离</w:t>
                  </w:r>
                  <w:r>
                    <w:rPr>
                      <w:rFonts w:ascii="Times New Roman" w:hAnsi="宋体" w:eastAsia="宋体"/>
                      <w:sz w:val="21"/>
                      <w:szCs w:val="21"/>
                    </w:rPr>
                    <w:t>/km</w:t>
                  </w:r>
                </w:p>
              </w:tc>
              <w:tc>
                <w:tcPr>
                  <w:tcW w:w="1667"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b/>
                      <w:sz w:val="21"/>
                      <w:szCs w:val="21"/>
                    </w:rPr>
                  </w:pPr>
                  <w:r>
                    <w:rPr>
                      <w:rFonts w:ascii="Times New Roman" w:hAnsi="宋体" w:eastAsia="宋体"/>
                      <w:b/>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hAnsi="宋体"/>
                      <w:sz w:val="21"/>
                      <w:szCs w:val="21"/>
                    </w:rPr>
                  </w:pPr>
                </w:p>
              </w:tc>
              <w:tc>
                <w:tcPr>
                  <w:tcW w:w="1666"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sz w:val="21"/>
                      <w:szCs w:val="21"/>
                    </w:rPr>
                  </w:pPr>
                  <w:r>
                    <w:rPr>
                      <w:rFonts w:hint="eastAsia" w:ascii="Times New Roman" w:hAnsi="宋体" w:eastAsia="宋体"/>
                      <w:sz w:val="21"/>
                      <w:szCs w:val="21"/>
                    </w:rPr>
                    <w:t>岸线方向</w:t>
                  </w:r>
                  <w:r>
                    <w:rPr>
                      <w:rFonts w:ascii="Times New Roman" w:hAnsi="宋体" w:eastAsia="宋体"/>
                      <w:sz w:val="21"/>
                      <w:szCs w:val="21"/>
                    </w:rPr>
                    <w:t>/</w:t>
                  </w:r>
                  <w:r>
                    <w:rPr>
                      <w:rFonts w:hint="eastAsia" w:ascii="Times New Roman" w:hAnsi="宋体" w:eastAsia="宋体"/>
                      <w:sz w:val="21"/>
                      <w:szCs w:val="21"/>
                    </w:rPr>
                    <w:t>°</w:t>
                  </w:r>
                </w:p>
              </w:tc>
              <w:tc>
                <w:tcPr>
                  <w:tcW w:w="1667"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宋体" w:eastAsia="宋体"/>
                      <w:b/>
                      <w:sz w:val="21"/>
                      <w:szCs w:val="21"/>
                    </w:rPr>
                  </w:pPr>
                  <w:r>
                    <w:rPr>
                      <w:rFonts w:ascii="Times New Roman" w:hAnsi="宋体" w:eastAsia="宋体"/>
                      <w:b/>
                      <w:sz w:val="21"/>
                      <w:szCs w:val="21"/>
                    </w:rPr>
                    <w:t>/</w:t>
                  </w:r>
                </w:p>
              </w:tc>
            </w:tr>
          </w:tbl>
          <w:p>
            <w:pPr>
              <w:pStyle w:val="172"/>
              <w:ind w:firstLine="480" w:firstLineChars="200"/>
              <w:rPr>
                <w:rFonts w:ascii="Times New Roman" w:hAnsi="宋体" w:eastAsia="宋体"/>
              </w:rPr>
            </w:pPr>
            <w:r>
              <w:rPr>
                <w:rFonts w:hint="eastAsia" w:ascii="Times New Roman" w:hAnsi="宋体" w:eastAsia="宋体"/>
              </w:rPr>
              <w:t>④主要污染源估算模型计算结果</w:t>
            </w:r>
          </w:p>
          <w:p>
            <w:pPr>
              <w:pStyle w:val="172"/>
              <w:ind w:firstLine="480" w:firstLineChars="200"/>
              <w:rPr>
                <w:rFonts w:ascii="Times New Roman" w:hAnsi="宋体" w:eastAsia="宋体"/>
              </w:rPr>
            </w:pPr>
            <w:r>
              <w:rPr>
                <w:rFonts w:hint="eastAsia" w:ascii="Times New Roman" w:hAnsi="宋体" w:eastAsia="宋体"/>
              </w:rPr>
              <w:t>主要污染源估算模型预测结果见下表。</w:t>
            </w:r>
          </w:p>
          <w:p>
            <w:pPr>
              <w:pStyle w:val="172"/>
              <w:ind w:firstLine="480"/>
              <w:jc w:val="center"/>
              <w:rPr>
                <w:rFonts w:ascii="黑体" w:hAnsi="黑体"/>
              </w:rPr>
            </w:pPr>
            <w:r>
              <w:rPr>
                <w:rFonts w:hint="eastAsia" w:ascii="黑体" w:hAnsi="黑体"/>
              </w:rPr>
              <w:t>表</w:t>
            </w:r>
            <w:r>
              <w:rPr>
                <w:rFonts w:ascii="黑体" w:hAnsi="黑体"/>
              </w:rPr>
              <w:t>38</w:t>
            </w:r>
            <w:r>
              <w:rPr>
                <w:rFonts w:hint="eastAsia" w:ascii="黑体" w:hAnsi="黑体"/>
              </w:rPr>
              <w:t xml:space="preserve">  主要污染源估算模型计算结果</w:t>
            </w:r>
          </w:p>
          <w:tbl>
            <w:tblPr>
              <w:tblStyle w:val="7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08"/>
              <w:gridCol w:w="799"/>
              <w:gridCol w:w="1537"/>
              <w:gridCol w:w="1526"/>
              <w:gridCol w:w="1185"/>
              <w:gridCol w:w="846"/>
              <w:gridCol w:w="1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3"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sz w:val="21"/>
                      <w:szCs w:val="21"/>
                    </w:rPr>
                    <w:t>污染源</w:t>
                  </w:r>
                </w:p>
              </w:tc>
              <w:tc>
                <w:tcPr>
                  <w:tcW w:w="441"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sz w:val="21"/>
                      <w:szCs w:val="21"/>
                    </w:rPr>
                    <w:t>预测</w:t>
                  </w:r>
                </w:p>
                <w:p>
                  <w:pPr>
                    <w:pStyle w:val="144"/>
                    <w:snapToGrid/>
                    <w:spacing w:before="0" w:after="0" w:line="240" w:lineRule="auto"/>
                    <w:ind w:firstLine="0" w:firstLineChars="0"/>
                    <w:jc w:val="center"/>
                    <w:rPr>
                      <w:sz w:val="21"/>
                      <w:szCs w:val="21"/>
                    </w:rPr>
                  </w:pPr>
                  <w:r>
                    <w:rPr>
                      <w:rFonts w:hint="eastAsia"/>
                      <w:sz w:val="21"/>
                      <w:szCs w:val="21"/>
                    </w:rPr>
                    <w:t>因子</w:t>
                  </w:r>
                </w:p>
              </w:tc>
              <w:tc>
                <w:tcPr>
                  <w:tcW w:w="848"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vertAlign w:val="superscript"/>
                    </w:rPr>
                  </w:pPr>
                  <w:r>
                    <w:rPr>
                      <w:rFonts w:hint="eastAsia"/>
                      <w:sz w:val="21"/>
                      <w:szCs w:val="21"/>
                    </w:rPr>
                    <w:t>最大落地浓度</w:t>
                  </w:r>
                  <w:r>
                    <w:rPr>
                      <w:sz w:val="21"/>
                      <w:szCs w:val="21"/>
                    </w:rPr>
                    <w:t>mg/m</w:t>
                  </w:r>
                  <w:r>
                    <w:rPr>
                      <w:sz w:val="21"/>
                      <w:szCs w:val="21"/>
                      <w:vertAlign w:val="superscript"/>
                    </w:rPr>
                    <w:t>3</w:t>
                  </w:r>
                </w:p>
              </w:tc>
              <w:tc>
                <w:tcPr>
                  <w:tcW w:w="842"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sz w:val="21"/>
                      <w:szCs w:val="21"/>
                    </w:rPr>
                    <w:t>最大浓度落地点</w:t>
                  </w:r>
                  <w:r>
                    <w:rPr>
                      <w:sz w:val="21"/>
                      <w:szCs w:val="21"/>
                    </w:rPr>
                    <w:t>m</w:t>
                  </w:r>
                </w:p>
              </w:tc>
              <w:tc>
                <w:tcPr>
                  <w:tcW w:w="654"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sz w:val="21"/>
                      <w:szCs w:val="21"/>
                    </w:rPr>
                    <w:t>占标率</w:t>
                  </w:r>
                </w:p>
                <w:p>
                  <w:pPr>
                    <w:pStyle w:val="144"/>
                    <w:snapToGrid/>
                    <w:spacing w:before="0" w:after="0" w:line="240" w:lineRule="auto"/>
                    <w:ind w:firstLine="0" w:firstLineChars="0"/>
                    <w:jc w:val="center"/>
                    <w:rPr>
                      <w:sz w:val="21"/>
                      <w:szCs w:val="21"/>
                    </w:rPr>
                  </w:pPr>
                  <w:r>
                    <w:rPr>
                      <w:sz w:val="21"/>
                      <w:szCs w:val="21"/>
                    </w:rPr>
                    <w:t>%</w:t>
                  </w:r>
                </w:p>
              </w:tc>
              <w:tc>
                <w:tcPr>
                  <w:tcW w:w="467"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sz w:val="21"/>
                      <w:szCs w:val="21"/>
                    </w:rPr>
                    <w:t>D10%</w:t>
                  </w:r>
                </w:p>
              </w:tc>
              <w:tc>
                <w:tcPr>
                  <w:tcW w:w="695"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sz w:val="21"/>
                      <w:szCs w:val="21"/>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建筑骨料生产线粗破、反击破系统粉尘排气筒</w:t>
                  </w:r>
                </w:p>
              </w:tc>
              <w:tc>
                <w:tcPr>
                  <w:tcW w:w="441"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Ansi="宋体"/>
                      <w:sz w:val="21"/>
                      <w:szCs w:val="21"/>
                    </w:rPr>
                    <w:t>PM</w:t>
                  </w:r>
                  <w:r>
                    <w:rPr>
                      <w:rFonts w:hAnsi="宋体"/>
                      <w:sz w:val="21"/>
                      <w:szCs w:val="21"/>
                      <w:vertAlign w:val="subscript"/>
                    </w:rPr>
                    <w:t>10</w:t>
                  </w:r>
                </w:p>
              </w:tc>
              <w:tc>
                <w:tcPr>
                  <w:tcW w:w="848"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.0185</w:t>
                  </w:r>
                </w:p>
              </w:tc>
              <w:tc>
                <w:tcPr>
                  <w:tcW w:w="842"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sz w:val="21"/>
                      <w:szCs w:val="21"/>
                    </w:rPr>
                    <w:t>2</w:t>
                  </w:r>
                  <w:r>
                    <w:rPr>
                      <w:sz w:val="21"/>
                      <w:szCs w:val="21"/>
                    </w:rPr>
                    <w:t>18</w:t>
                  </w:r>
                </w:p>
              </w:tc>
              <w:tc>
                <w:tcPr>
                  <w:tcW w:w="654"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sz w:val="21"/>
                      <w:szCs w:val="21"/>
                    </w:rPr>
                    <w:t>4.12</w:t>
                  </w:r>
                </w:p>
              </w:tc>
              <w:tc>
                <w:tcPr>
                  <w:tcW w:w="467"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sz w:val="21"/>
                      <w:szCs w:val="21"/>
                    </w:rPr>
                    <w:t>0</w:t>
                  </w:r>
                </w:p>
              </w:tc>
              <w:tc>
                <w:tcPr>
                  <w:tcW w:w="695"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b/>
                      <w:sz w:val="21"/>
                      <w:szCs w:val="21"/>
                    </w:rPr>
                  </w:pPr>
                  <w:r>
                    <w:rPr>
                      <w:rFonts w:hint="eastAsia"/>
                      <w:b/>
                      <w:sz w:val="21"/>
                      <w:szCs w:val="21"/>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建筑骨料生产线冲击破系统产生的粉尘排气筒</w:t>
                  </w:r>
                </w:p>
              </w:tc>
              <w:tc>
                <w:tcPr>
                  <w:tcW w:w="441"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rFonts w:hAnsi="宋体"/>
                      <w:sz w:val="21"/>
                      <w:szCs w:val="21"/>
                    </w:rPr>
                  </w:pPr>
                  <w:r>
                    <w:rPr>
                      <w:rFonts w:hAnsi="宋体"/>
                      <w:sz w:val="21"/>
                      <w:szCs w:val="21"/>
                    </w:rPr>
                    <w:t>PM</w:t>
                  </w:r>
                  <w:r>
                    <w:rPr>
                      <w:rFonts w:hAnsi="宋体"/>
                      <w:sz w:val="21"/>
                      <w:szCs w:val="21"/>
                      <w:vertAlign w:val="subscript"/>
                    </w:rPr>
                    <w:t>10</w:t>
                  </w:r>
                </w:p>
              </w:tc>
              <w:tc>
                <w:tcPr>
                  <w:tcW w:w="848"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.0185</w:t>
                  </w:r>
                </w:p>
              </w:tc>
              <w:tc>
                <w:tcPr>
                  <w:tcW w:w="842"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sz w:val="21"/>
                      <w:szCs w:val="21"/>
                    </w:rPr>
                    <w:t>2</w:t>
                  </w:r>
                  <w:r>
                    <w:rPr>
                      <w:sz w:val="21"/>
                      <w:szCs w:val="21"/>
                    </w:rPr>
                    <w:t>18</w:t>
                  </w:r>
                </w:p>
              </w:tc>
              <w:tc>
                <w:tcPr>
                  <w:tcW w:w="654"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sz w:val="21"/>
                      <w:szCs w:val="21"/>
                    </w:rPr>
                    <w:t>4.12</w:t>
                  </w:r>
                </w:p>
              </w:tc>
              <w:tc>
                <w:tcPr>
                  <w:tcW w:w="467"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sz w:val="21"/>
                      <w:szCs w:val="21"/>
                    </w:rPr>
                    <w:t>0</w:t>
                  </w:r>
                </w:p>
              </w:tc>
              <w:tc>
                <w:tcPr>
                  <w:tcW w:w="695"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b/>
                      <w:sz w:val="21"/>
                      <w:szCs w:val="21"/>
                    </w:rPr>
                  </w:pPr>
                  <w:r>
                    <w:rPr>
                      <w:rFonts w:hint="eastAsia"/>
                      <w:b/>
                      <w:sz w:val="21"/>
                      <w:szCs w:val="21"/>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3" w:type="pct"/>
                  <w:tcBorders>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微粉生产线鄂破系统产生的粉尘排气筒</w:t>
                  </w:r>
                </w:p>
              </w:tc>
              <w:tc>
                <w:tcPr>
                  <w:tcW w:w="441"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Ansi="宋体"/>
                      <w:sz w:val="21"/>
                      <w:szCs w:val="21"/>
                    </w:rPr>
                    <w:t>PM</w:t>
                  </w:r>
                  <w:r>
                    <w:rPr>
                      <w:rFonts w:hAnsi="宋体"/>
                      <w:sz w:val="21"/>
                      <w:szCs w:val="21"/>
                      <w:vertAlign w:val="subscript"/>
                    </w:rPr>
                    <w:t>10</w:t>
                  </w:r>
                </w:p>
              </w:tc>
              <w:tc>
                <w:tcPr>
                  <w:tcW w:w="848"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.0185</w:t>
                  </w:r>
                </w:p>
              </w:tc>
              <w:tc>
                <w:tcPr>
                  <w:tcW w:w="842"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sz w:val="21"/>
                      <w:szCs w:val="21"/>
                    </w:rPr>
                    <w:t>2</w:t>
                  </w:r>
                  <w:r>
                    <w:rPr>
                      <w:sz w:val="21"/>
                      <w:szCs w:val="21"/>
                    </w:rPr>
                    <w:t>18</w:t>
                  </w:r>
                </w:p>
              </w:tc>
              <w:tc>
                <w:tcPr>
                  <w:tcW w:w="654"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sz w:val="21"/>
                      <w:szCs w:val="21"/>
                    </w:rPr>
                    <w:t>4.12</w:t>
                  </w:r>
                </w:p>
              </w:tc>
              <w:tc>
                <w:tcPr>
                  <w:tcW w:w="467"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sz w:val="21"/>
                      <w:szCs w:val="21"/>
                    </w:rPr>
                    <w:t>0</w:t>
                  </w:r>
                </w:p>
              </w:tc>
              <w:tc>
                <w:tcPr>
                  <w:tcW w:w="695"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b/>
                      <w:sz w:val="21"/>
                      <w:szCs w:val="21"/>
                    </w:rPr>
                  </w:pPr>
                  <w:r>
                    <w:rPr>
                      <w:rFonts w:hint="eastAsia"/>
                      <w:b/>
                      <w:sz w:val="21"/>
                      <w:szCs w:val="21"/>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3" w:type="pct"/>
                  <w:tcBorders>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微粉生产线超细破碎机系统产生的粉尘排气筒</w:t>
                  </w:r>
                </w:p>
              </w:tc>
              <w:tc>
                <w:tcPr>
                  <w:tcW w:w="441"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rFonts w:hAnsi="宋体"/>
                      <w:sz w:val="21"/>
                      <w:szCs w:val="21"/>
                    </w:rPr>
                  </w:pPr>
                  <w:r>
                    <w:rPr>
                      <w:rFonts w:hAnsi="宋体"/>
                      <w:sz w:val="21"/>
                      <w:szCs w:val="21"/>
                    </w:rPr>
                    <w:t>PM</w:t>
                  </w:r>
                  <w:r>
                    <w:rPr>
                      <w:rFonts w:hAnsi="宋体"/>
                      <w:sz w:val="21"/>
                      <w:szCs w:val="21"/>
                      <w:vertAlign w:val="subscript"/>
                    </w:rPr>
                    <w:t>10</w:t>
                  </w:r>
                </w:p>
              </w:tc>
              <w:tc>
                <w:tcPr>
                  <w:tcW w:w="848"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.0185</w:t>
                  </w:r>
                </w:p>
              </w:tc>
              <w:tc>
                <w:tcPr>
                  <w:tcW w:w="842"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sz w:val="21"/>
                      <w:szCs w:val="21"/>
                    </w:rPr>
                    <w:t>2</w:t>
                  </w:r>
                  <w:r>
                    <w:rPr>
                      <w:sz w:val="21"/>
                      <w:szCs w:val="21"/>
                    </w:rPr>
                    <w:t>18</w:t>
                  </w:r>
                </w:p>
              </w:tc>
              <w:tc>
                <w:tcPr>
                  <w:tcW w:w="654"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sz w:val="21"/>
                      <w:szCs w:val="21"/>
                    </w:rPr>
                    <w:t>4.12</w:t>
                  </w:r>
                </w:p>
              </w:tc>
              <w:tc>
                <w:tcPr>
                  <w:tcW w:w="467"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sz w:val="21"/>
                      <w:szCs w:val="21"/>
                    </w:rPr>
                    <w:t>0</w:t>
                  </w:r>
                </w:p>
              </w:tc>
              <w:tc>
                <w:tcPr>
                  <w:tcW w:w="695"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b/>
                      <w:sz w:val="21"/>
                      <w:szCs w:val="21"/>
                    </w:rPr>
                  </w:pPr>
                  <w:r>
                    <w:rPr>
                      <w:rFonts w:hint="eastAsia"/>
                      <w:b/>
                      <w:sz w:val="21"/>
                      <w:szCs w:val="21"/>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原料库</w:t>
                  </w:r>
                </w:p>
              </w:tc>
              <w:tc>
                <w:tcPr>
                  <w:tcW w:w="441"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rFonts w:hAnsi="宋体"/>
                      <w:sz w:val="21"/>
                      <w:szCs w:val="21"/>
                    </w:rPr>
                  </w:pPr>
                  <w:r>
                    <w:rPr>
                      <w:rFonts w:hAnsi="宋体"/>
                      <w:sz w:val="21"/>
                      <w:szCs w:val="21"/>
                    </w:rPr>
                    <w:t>TSP</w:t>
                  </w:r>
                </w:p>
              </w:tc>
              <w:tc>
                <w:tcPr>
                  <w:tcW w:w="848"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.0052</w:t>
                  </w:r>
                </w:p>
              </w:tc>
              <w:tc>
                <w:tcPr>
                  <w:tcW w:w="842"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sz w:val="21"/>
                      <w:szCs w:val="21"/>
                    </w:rPr>
                    <w:t>78</w:t>
                  </w:r>
                </w:p>
              </w:tc>
              <w:tc>
                <w:tcPr>
                  <w:tcW w:w="654"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sz w:val="21"/>
                      <w:szCs w:val="21"/>
                    </w:rPr>
                    <w:t>0.78</w:t>
                  </w:r>
                </w:p>
              </w:tc>
              <w:tc>
                <w:tcPr>
                  <w:tcW w:w="467"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sz w:val="21"/>
                      <w:szCs w:val="21"/>
                    </w:rPr>
                    <w:t>0</w:t>
                  </w:r>
                </w:p>
              </w:tc>
              <w:tc>
                <w:tcPr>
                  <w:tcW w:w="695"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bCs/>
                      <w:sz w:val="21"/>
                      <w:szCs w:val="21"/>
                    </w:rPr>
                  </w:pPr>
                  <w:r>
                    <w:rPr>
                      <w:rFonts w:hint="eastAsia"/>
                      <w:bCs/>
                      <w:sz w:val="21"/>
                      <w:szCs w:val="21"/>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运输扬尘</w:t>
                  </w:r>
                </w:p>
              </w:tc>
              <w:tc>
                <w:tcPr>
                  <w:tcW w:w="441"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Ansi="宋体"/>
                      <w:sz w:val="21"/>
                      <w:szCs w:val="21"/>
                    </w:rPr>
                    <w:t>TSP</w:t>
                  </w:r>
                </w:p>
              </w:tc>
              <w:tc>
                <w:tcPr>
                  <w:tcW w:w="848"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rFonts w:hint="eastAsia"/>
                      <w:sz w:val="21"/>
                      <w:szCs w:val="21"/>
                    </w:rPr>
                    <w:t>0</w:t>
                  </w:r>
                  <w:r>
                    <w:rPr>
                      <w:sz w:val="21"/>
                      <w:szCs w:val="21"/>
                    </w:rPr>
                    <w:t>.0054</w:t>
                  </w:r>
                </w:p>
              </w:tc>
              <w:tc>
                <w:tcPr>
                  <w:tcW w:w="842"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sz w:val="21"/>
                      <w:szCs w:val="21"/>
                    </w:rPr>
                    <w:t>78</w:t>
                  </w:r>
                </w:p>
              </w:tc>
              <w:tc>
                <w:tcPr>
                  <w:tcW w:w="654"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sz w:val="21"/>
                      <w:szCs w:val="21"/>
                    </w:rPr>
                    <w:t>0.82</w:t>
                  </w:r>
                </w:p>
              </w:tc>
              <w:tc>
                <w:tcPr>
                  <w:tcW w:w="467"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sz w:val="21"/>
                      <w:szCs w:val="21"/>
                    </w:rPr>
                  </w:pPr>
                  <w:r>
                    <w:rPr>
                      <w:sz w:val="21"/>
                      <w:szCs w:val="21"/>
                    </w:rPr>
                    <w:t>0</w:t>
                  </w:r>
                </w:p>
              </w:tc>
              <w:tc>
                <w:tcPr>
                  <w:tcW w:w="695" w:type="pct"/>
                  <w:tcBorders>
                    <w:top w:val="single" w:color="auto" w:sz="4" w:space="0"/>
                    <w:left w:val="single" w:color="auto" w:sz="4" w:space="0"/>
                    <w:bottom w:val="single" w:color="auto" w:sz="4" w:space="0"/>
                    <w:right w:val="single" w:color="auto" w:sz="4" w:space="0"/>
                  </w:tcBorders>
                  <w:vAlign w:val="center"/>
                </w:tcPr>
                <w:p>
                  <w:pPr>
                    <w:pStyle w:val="144"/>
                    <w:snapToGrid/>
                    <w:spacing w:before="0" w:after="0" w:line="240" w:lineRule="auto"/>
                    <w:ind w:firstLine="0" w:firstLineChars="0"/>
                    <w:jc w:val="center"/>
                    <w:rPr>
                      <w:bCs/>
                      <w:sz w:val="21"/>
                      <w:szCs w:val="21"/>
                    </w:rPr>
                  </w:pPr>
                  <w:r>
                    <w:rPr>
                      <w:rFonts w:hint="eastAsia"/>
                      <w:bCs/>
                      <w:sz w:val="21"/>
                      <w:szCs w:val="21"/>
                    </w:rPr>
                    <w:t>三级</w:t>
                  </w:r>
                </w:p>
              </w:tc>
            </w:tr>
          </w:tbl>
          <w:p>
            <w:pPr>
              <w:pStyle w:val="172"/>
              <w:ind w:firstLine="480" w:firstLineChars="200"/>
              <w:rPr>
                <w:rFonts w:ascii="Times New Roman" w:hAnsi="宋体" w:eastAsia="宋体"/>
                <w:b/>
              </w:rPr>
            </w:pPr>
            <w:r>
              <w:rPr>
                <w:rFonts w:hint="eastAsia" w:ascii="Times New Roman" w:hAnsi="宋体" w:eastAsia="宋体"/>
              </w:rPr>
              <w:t>根据《环境影响评价技术导则</w:t>
            </w:r>
            <w:r>
              <w:rPr>
                <w:rFonts w:ascii="Times New Roman" w:hAnsi="宋体" w:eastAsia="宋体"/>
              </w:rPr>
              <w:t xml:space="preserve">  </w:t>
            </w:r>
            <w:r>
              <w:rPr>
                <w:rFonts w:hint="eastAsia" w:ascii="Times New Roman" w:hAnsi="宋体" w:eastAsia="宋体"/>
              </w:rPr>
              <w:t>大气环境》（</w:t>
            </w:r>
            <w:r>
              <w:rPr>
                <w:rFonts w:ascii="Times New Roman" w:hAnsi="宋体" w:eastAsia="宋体"/>
              </w:rPr>
              <w:t>HJ2.2-2018</w:t>
            </w:r>
            <w:r>
              <w:rPr>
                <w:rFonts w:hint="eastAsia" w:ascii="Times New Roman" w:hAnsi="宋体" w:eastAsia="宋体"/>
              </w:rPr>
              <w:t>）评价等级判别表和本次估算模型计算结果可知，本次评价等级为二级，评价范围边长为</w:t>
            </w:r>
            <w:r>
              <w:rPr>
                <w:rFonts w:ascii="Times New Roman" w:hAnsi="宋体" w:eastAsia="宋体"/>
              </w:rPr>
              <w:t>5km</w:t>
            </w:r>
            <w:r>
              <w:rPr>
                <w:rFonts w:hint="eastAsia" w:ascii="Times New Roman" w:hAnsi="宋体" w:eastAsia="宋体"/>
              </w:rPr>
              <w:t>。</w:t>
            </w:r>
          </w:p>
          <w:p>
            <w:pPr>
              <w:pStyle w:val="144"/>
              <w:spacing w:before="0" w:after="0"/>
              <w:ind w:firstLine="470" w:firstLineChars="196"/>
            </w:pPr>
            <w:r>
              <w:rPr>
                <w:rFonts w:hint="eastAsia"/>
              </w:rPr>
              <w:t>⑤污染物排放量核算</w:t>
            </w:r>
          </w:p>
          <w:p>
            <w:pPr>
              <w:pStyle w:val="172"/>
              <w:ind w:firstLine="480" w:firstLineChars="200"/>
              <w:rPr>
                <w:rFonts w:ascii="Times New Roman" w:hAnsi="宋体" w:eastAsia="宋体"/>
              </w:rPr>
            </w:pPr>
            <w:r>
              <w:rPr>
                <w:rFonts w:hint="eastAsia" w:ascii="Times New Roman" w:hAnsi="宋体" w:eastAsia="宋体"/>
              </w:rPr>
              <w:t>根据《环境影响评价技术导则</w:t>
            </w:r>
            <w:r>
              <w:rPr>
                <w:rFonts w:ascii="Times New Roman" w:hAnsi="宋体" w:eastAsia="宋体"/>
              </w:rPr>
              <w:t>-</w:t>
            </w:r>
            <w:r>
              <w:rPr>
                <w:rFonts w:hint="eastAsia" w:ascii="Times New Roman" w:hAnsi="宋体" w:eastAsia="宋体"/>
              </w:rPr>
              <w:t>大气环境》（</w:t>
            </w:r>
            <w:r>
              <w:rPr>
                <w:rFonts w:ascii="Times New Roman" w:hAnsi="宋体" w:eastAsia="宋体"/>
              </w:rPr>
              <w:t>HJ2.2-2018</w:t>
            </w:r>
            <w:r>
              <w:rPr>
                <w:rFonts w:hint="eastAsia" w:ascii="Times New Roman" w:hAnsi="宋体" w:eastAsia="宋体"/>
              </w:rPr>
              <w:t>），本项目不进行进一步预测与评价，只对污染物排放量进行核算。</w:t>
            </w:r>
          </w:p>
          <w:p>
            <w:pPr>
              <w:pStyle w:val="270"/>
              <w:ind w:firstLine="480"/>
            </w:pPr>
            <w:r>
              <w:rPr>
                <w:rFonts w:hint="eastAsia"/>
              </w:rPr>
              <w:t>本项目污染物排放量核算见下表。</w:t>
            </w:r>
          </w:p>
          <w:p>
            <w:pPr>
              <w:ind w:firstLine="480"/>
              <w:jc w:val="center"/>
              <w:rPr>
                <w:rFonts w:ascii="黑体" w:hAnsi="黑体" w:eastAsia="黑体"/>
                <w:kern w:val="0"/>
              </w:rPr>
            </w:pPr>
            <w:r>
              <w:rPr>
                <w:rFonts w:hint="eastAsia" w:ascii="黑体" w:hAnsi="黑体" w:eastAsia="黑体"/>
                <w:kern w:val="0"/>
              </w:rPr>
              <w:t>表</w:t>
            </w:r>
            <w:r>
              <w:rPr>
                <w:rFonts w:ascii="黑体" w:hAnsi="黑体" w:eastAsia="黑体"/>
                <w:kern w:val="0"/>
              </w:rPr>
              <w:t xml:space="preserve">39 </w:t>
            </w:r>
            <w:r>
              <w:rPr>
                <w:rFonts w:hint="eastAsia" w:ascii="黑体" w:hAnsi="黑体" w:eastAsia="黑体"/>
                <w:kern w:val="0"/>
              </w:rPr>
              <w:t xml:space="preserve"> 大气污染物有组织排放量核算表</w:t>
            </w:r>
          </w:p>
          <w:tbl>
            <w:tblPr>
              <w:tblStyle w:val="7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3"/>
              <w:gridCol w:w="2998"/>
              <w:gridCol w:w="1325"/>
              <w:gridCol w:w="1408"/>
              <w:gridCol w:w="1437"/>
              <w:gridCol w:w="13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5" w:type="pct"/>
                  <w:vMerge w:val="restart"/>
                  <w:shd w:val="clear" w:color="auto" w:fill="FFFFFF"/>
                  <w:vAlign w:val="center"/>
                </w:tcPr>
                <w:p>
                  <w:pPr>
                    <w:widowControl/>
                    <w:spacing w:line="240" w:lineRule="auto"/>
                    <w:ind w:firstLine="0" w:firstLineChars="0"/>
                    <w:jc w:val="center"/>
                    <w:rPr>
                      <w:b/>
                      <w:kern w:val="0"/>
                      <w:sz w:val="21"/>
                      <w:szCs w:val="21"/>
                    </w:rPr>
                  </w:pPr>
                  <w:bookmarkStart w:id="16" w:name="_Hlk9001520"/>
                  <w:r>
                    <w:rPr>
                      <w:rFonts w:hint="eastAsia"/>
                      <w:b/>
                      <w:kern w:val="0"/>
                      <w:sz w:val="21"/>
                      <w:szCs w:val="21"/>
                    </w:rPr>
                    <w:t>序号</w:t>
                  </w:r>
                </w:p>
              </w:tc>
              <w:tc>
                <w:tcPr>
                  <w:tcW w:w="1654" w:type="pct"/>
                  <w:vMerge w:val="restart"/>
                  <w:shd w:val="clear" w:color="auto" w:fill="FFFFFF"/>
                  <w:vAlign w:val="center"/>
                </w:tcPr>
                <w:p>
                  <w:pPr>
                    <w:widowControl/>
                    <w:spacing w:line="240" w:lineRule="auto"/>
                    <w:ind w:firstLine="0" w:firstLineChars="0"/>
                    <w:jc w:val="center"/>
                    <w:rPr>
                      <w:b/>
                      <w:kern w:val="0"/>
                      <w:sz w:val="21"/>
                      <w:szCs w:val="21"/>
                    </w:rPr>
                  </w:pPr>
                  <w:r>
                    <w:rPr>
                      <w:rFonts w:hint="eastAsia"/>
                      <w:b/>
                      <w:kern w:val="0"/>
                      <w:sz w:val="21"/>
                      <w:szCs w:val="21"/>
                    </w:rPr>
                    <w:t>排放口</w:t>
                  </w:r>
                </w:p>
                <w:p>
                  <w:pPr>
                    <w:widowControl/>
                    <w:spacing w:line="240" w:lineRule="auto"/>
                    <w:ind w:firstLine="0" w:firstLineChars="0"/>
                    <w:jc w:val="center"/>
                    <w:rPr>
                      <w:b/>
                      <w:kern w:val="0"/>
                      <w:sz w:val="21"/>
                      <w:szCs w:val="21"/>
                    </w:rPr>
                  </w:pPr>
                  <w:r>
                    <w:rPr>
                      <w:rFonts w:hint="eastAsia"/>
                      <w:b/>
                      <w:kern w:val="0"/>
                      <w:sz w:val="21"/>
                      <w:szCs w:val="21"/>
                    </w:rPr>
                    <w:t>编号</w:t>
                  </w:r>
                </w:p>
              </w:tc>
              <w:tc>
                <w:tcPr>
                  <w:tcW w:w="731" w:type="pct"/>
                  <w:vMerge w:val="restart"/>
                  <w:shd w:val="clear" w:color="auto" w:fill="FFFFFF"/>
                  <w:vAlign w:val="center"/>
                </w:tcPr>
                <w:p>
                  <w:pPr>
                    <w:widowControl/>
                    <w:spacing w:line="240" w:lineRule="auto"/>
                    <w:ind w:firstLine="0" w:firstLineChars="0"/>
                    <w:jc w:val="center"/>
                    <w:rPr>
                      <w:b/>
                      <w:kern w:val="0"/>
                      <w:sz w:val="21"/>
                      <w:szCs w:val="21"/>
                    </w:rPr>
                  </w:pPr>
                  <w:r>
                    <w:rPr>
                      <w:rFonts w:hint="eastAsia"/>
                      <w:b/>
                      <w:kern w:val="0"/>
                      <w:sz w:val="21"/>
                      <w:szCs w:val="21"/>
                    </w:rPr>
                    <w:t>污染物</w:t>
                  </w:r>
                </w:p>
              </w:tc>
              <w:tc>
                <w:tcPr>
                  <w:tcW w:w="777" w:type="pct"/>
                  <w:vMerge w:val="restart"/>
                  <w:shd w:val="clear" w:color="auto" w:fill="FFFFFF"/>
                  <w:vAlign w:val="center"/>
                </w:tcPr>
                <w:p>
                  <w:pPr>
                    <w:widowControl/>
                    <w:spacing w:line="240" w:lineRule="auto"/>
                    <w:ind w:firstLine="0" w:firstLineChars="0"/>
                    <w:jc w:val="center"/>
                    <w:rPr>
                      <w:b/>
                      <w:kern w:val="0"/>
                      <w:sz w:val="21"/>
                      <w:szCs w:val="21"/>
                    </w:rPr>
                  </w:pPr>
                  <w:r>
                    <w:rPr>
                      <w:rFonts w:hint="eastAsia"/>
                      <w:b/>
                      <w:kern w:val="0"/>
                      <w:sz w:val="21"/>
                      <w:szCs w:val="21"/>
                    </w:rPr>
                    <w:t>排放浓度</w:t>
                  </w:r>
                  <w:r>
                    <w:rPr>
                      <w:b/>
                      <w:kern w:val="0"/>
                      <w:sz w:val="21"/>
                      <w:szCs w:val="21"/>
                    </w:rPr>
                    <w:t>/(μg/m</w:t>
                  </w:r>
                  <w:r>
                    <w:rPr>
                      <w:b/>
                      <w:kern w:val="0"/>
                      <w:sz w:val="21"/>
                      <w:szCs w:val="21"/>
                      <w:vertAlign w:val="superscript"/>
                    </w:rPr>
                    <w:t>3</w:t>
                  </w:r>
                  <w:r>
                    <w:rPr>
                      <w:rFonts w:hint="eastAsia"/>
                      <w:b/>
                      <w:kern w:val="0"/>
                      <w:sz w:val="21"/>
                      <w:szCs w:val="21"/>
                    </w:rPr>
                    <w:t>）</w:t>
                  </w:r>
                </w:p>
              </w:tc>
              <w:tc>
                <w:tcPr>
                  <w:tcW w:w="793" w:type="pct"/>
                  <w:vMerge w:val="restart"/>
                  <w:shd w:val="clear" w:color="auto" w:fill="FFFFFF"/>
                  <w:vAlign w:val="center"/>
                </w:tcPr>
                <w:p>
                  <w:pPr>
                    <w:widowControl/>
                    <w:spacing w:line="240" w:lineRule="auto"/>
                    <w:ind w:firstLine="0" w:firstLineChars="0"/>
                    <w:jc w:val="center"/>
                    <w:rPr>
                      <w:b/>
                      <w:kern w:val="0"/>
                      <w:sz w:val="21"/>
                      <w:szCs w:val="21"/>
                    </w:rPr>
                  </w:pPr>
                  <w:r>
                    <w:rPr>
                      <w:rFonts w:hint="eastAsia"/>
                      <w:b/>
                      <w:kern w:val="0"/>
                      <w:sz w:val="21"/>
                      <w:szCs w:val="21"/>
                    </w:rPr>
                    <w:t>排放速率</w:t>
                  </w:r>
                  <w:r>
                    <w:rPr>
                      <w:b/>
                      <w:kern w:val="0"/>
                      <w:sz w:val="21"/>
                      <w:szCs w:val="21"/>
                    </w:rPr>
                    <w:t>/</w:t>
                  </w:r>
                  <w:r>
                    <w:rPr>
                      <w:rFonts w:hint="eastAsia"/>
                      <w:b/>
                      <w:kern w:val="0"/>
                      <w:sz w:val="21"/>
                      <w:szCs w:val="21"/>
                    </w:rPr>
                    <w:t>（</w:t>
                  </w:r>
                  <w:r>
                    <w:rPr>
                      <w:b/>
                      <w:kern w:val="0"/>
                      <w:sz w:val="21"/>
                      <w:szCs w:val="21"/>
                    </w:rPr>
                    <w:t>kg/h</w:t>
                  </w:r>
                  <w:r>
                    <w:rPr>
                      <w:rFonts w:hint="eastAsia"/>
                      <w:b/>
                      <w:kern w:val="0"/>
                      <w:sz w:val="21"/>
                      <w:szCs w:val="21"/>
                    </w:rPr>
                    <w:t>）</w:t>
                  </w:r>
                </w:p>
              </w:tc>
              <w:tc>
                <w:tcPr>
                  <w:tcW w:w="740" w:type="pct"/>
                  <w:vMerge w:val="restart"/>
                  <w:shd w:val="clear" w:color="auto" w:fill="FFFFFF"/>
                  <w:vAlign w:val="center"/>
                </w:tcPr>
                <w:p>
                  <w:pPr>
                    <w:widowControl/>
                    <w:spacing w:line="240" w:lineRule="auto"/>
                    <w:ind w:firstLine="0" w:firstLineChars="0"/>
                    <w:jc w:val="center"/>
                    <w:rPr>
                      <w:b/>
                      <w:kern w:val="0"/>
                      <w:sz w:val="21"/>
                      <w:szCs w:val="21"/>
                    </w:rPr>
                  </w:pPr>
                  <w:r>
                    <w:rPr>
                      <w:rFonts w:hint="eastAsia"/>
                      <w:b/>
                      <w:kern w:val="0"/>
                      <w:sz w:val="21"/>
                      <w:szCs w:val="21"/>
                    </w:rPr>
                    <w:t>年排放量</w:t>
                  </w:r>
                  <w:r>
                    <w:rPr>
                      <w:b/>
                      <w:kern w:val="0"/>
                      <w:sz w:val="21"/>
                      <w:szCs w:val="21"/>
                    </w:rPr>
                    <w:t>/</w:t>
                  </w:r>
                  <w:r>
                    <w:rPr>
                      <w:rFonts w:hint="eastAsia"/>
                      <w:b/>
                      <w:kern w:val="0"/>
                      <w:sz w:val="21"/>
                      <w:szCs w:val="21"/>
                    </w:rPr>
                    <w:t>（</w:t>
                  </w:r>
                  <w:r>
                    <w:rPr>
                      <w:b/>
                      <w:kern w:val="0"/>
                      <w:sz w:val="21"/>
                      <w:szCs w:val="21"/>
                    </w:rPr>
                    <w:t>t/a</w:t>
                  </w:r>
                  <w:r>
                    <w:rPr>
                      <w:rFonts w:hint="eastAsia"/>
                      <w:b/>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5" w:type="pct"/>
                  <w:vMerge w:val="continue"/>
                  <w:vAlign w:val="center"/>
                </w:tcPr>
                <w:p>
                  <w:pPr>
                    <w:widowControl/>
                    <w:spacing w:line="240" w:lineRule="auto"/>
                    <w:ind w:firstLine="0" w:firstLineChars="0"/>
                    <w:jc w:val="left"/>
                    <w:rPr>
                      <w:b/>
                      <w:kern w:val="0"/>
                      <w:sz w:val="21"/>
                      <w:szCs w:val="21"/>
                    </w:rPr>
                  </w:pPr>
                </w:p>
              </w:tc>
              <w:tc>
                <w:tcPr>
                  <w:tcW w:w="1654" w:type="pct"/>
                  <w:vMerge w:val="continue"/>
                  <w:vAlign w:val="center"/>
                </w:tcPr>
                <w:p>
                  <w:pPr>
                    <w:widowControl/>
                    <w:spacing w:line="240" w:lineRule="auto"/>
                    <w:ind w:firstLine="0" w:firstLineChars="0"/>
                    <w:jc w:val="left"/>
                    <w:rPr>
                      <w:b/>
                      <w:kern w:val="0"/>
                      <w:sz w:val="21"/>
                      <w:szCs w:val="21"/>
                    </w:rPr>
                  </w:pPr>
                </w:p>
              </w:tc>
              <w:tc>
                <w:tcPr>
                  <w:tcW w:w="731" w:type="pct"/>
                  <w:vMerge w:val="continue"/>
                  <w:vAlign w:val="center"/>
                </w:tcPr>
                <w:p>
                  <w:pPr>
                    <w:widowControl/>
                    <w:spacing w:line="240" w:lineRule="auto"/>
                    <w:ind w:firstLine="0" w:firstLineChars="0"/>
                    <w:jc w:val="left"/>
                    <w:rPr>
                      <w:b/>
                      <w:kern w:val="0"/>
                      <w:sz w:val="21"/>
                      <w:szCs w:val="21"/>
                    </w:rPr>
                  </w:pPr>
                </w:p>
              </w:tc>
              <w:tc>
                <w:tcPr>
                  <w:tcW w:w="777" w:type="pct"/>
                  <w:vMerge w:val="continue"/>
                  <w:vAlign w:val="center"/>
                </w:tcPr>
                <w:p>
                  <w:pPr>
                    <w:widowControl/>
                    <w:spacing w:line="240" w:lineRule="auto"/>
                    <w:ind w:firstLine="0" w:firstLineChars="0"/>
                    <w:jc w:val="left"/>
                    <w:rPr>
                      <w:b/>
                      <w:kern w:val="0"/>
                      <w:sz w:val="21"/>
                      <w:szCs w:val="21"/>
                    </w:rPr>
                  </w:pPr>
                </w:p>
              </w:tc>
              <w:tc>
                <w:tcPr>
                  <w:tcW w:w="793" w:type="pct"/>
                  <w:vMerge w:val="continue"/>
                  <w:vAlign w:val="center"/>
                </w:tcPr>
                <w:p>
                  <w:pPr>
                    <w:widowControl/>
                    <w:spacing w:line="240" w:lineRule="auto"/>
                    <w:ind w:firstLine="0" w:firstLineChars="0"/>
                    <w:jc w:val="left"/>
                    <w:rPr>
                      <w:b/>
                      <w:kern w:val="0"/>
                      <w:sz w:val="21"/>
                      <w:szCs w:val="21"/>
                    </w:rPr>
                  </w:pPr>
                </w:p>
              </w:tc>
              <w:tc>
                <w:tcPr>
                  <w:tcW w:w="740" w:type="pct"/>
                  <w:vMerge w:val="continue"/>
                  <w:vAlign w:val="center"/>
                </w:tcPr>
                <w:p>
                  <w:pPr>
                    <w:widowControl/>
                    <w:spacing w:line="240" w:lineRule="auto"/>
                    <w:ind w:firstLine="0" w:firstLineChars="0"/>
                    <w:jc w:val="left"/>
                    <w:rPr>
                      <w:b/>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6"/>
                  <w:shd w:val="clear" w:color="auto" w:fill="FFFFFF"/>
                  <w:vAlign w:val="center"/>
                </w:tcPr>
                <w:p>
                  <w:pPr>
                    <w:widowControl/>
                    <w:spacing w:line="240" w:lineRule="auto"/>
                    <w:ind w:firstLine="0" w:firstLineChars="0"/>
                    <w:jc w:val="center"/>
                    <w:rPr>
                      <w:kern w:val="0"/>
                      <w:sz w:val="21"/>
                      <w:szCs w:val="21"/>
                    </w:rPr>
                  </w:pPr>
                  <w:r>
                    <w:rPr>
                      <w:rFonts w:hint="eastAsia"/>
                      <w:kern w:val="0"/>
                      <w:sz w:val="21"/>
                      <w:szCs w:val="21"/>
                    </w:rPr>
                    <w:t>一般排放口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5" w:type="pct"/>
                  <w:shd w:val="clear" w:color="auto" w:fill="FFFFFF"/>
                  <w:vAlign w:val="center"/>
                </w:tcPr>
                <w:p>
                  <w:pPr>
                    <w:widowControl/>
                    <w:spacing w:line="240" w:lineRule="auto"/>
                    <w:ind w:firstLine="0" w:firstLineChars="0"/>
                    <w:jc w:val="center"/>
                    <w:rPr>
                      <w:kern w:val="0"/>
                      <w:sz w:val="21"/>
                      <w:szCs w:val="21"/>
                    </w:rPr>
                  </w:pPr>
                  <w:r>
                    <w:rPr>
                      <w:kern w:val="0"/>
                      <w:sz w:val="21"/>
                      <w:szCs w:val="21"/>
                    </w:rPr>
                    <w:t>1</w:t>
                  </w:r>
                </w:p>
              </w:tc>
              <w:tc>
                <w:tcPr>
                  <w:tcW w:w="1654" w:type="pct"/>
                  <w:shd w:val="clear" w:color="auto" w:fill="FFFFFF"/>
                  <w:vAlign w:val="center"/>
                </w:tcPr>
                <w:p>
                  <w:pPr>
                    <w:widowControl/>
                    <w:spacing w:line="240" w:lineRule="auto"/>
                    <w:ind w:firstLine="0" w:firstLineChars="0"/>
                    <w:jc w:val="center"/>
                    <w:rPr>
                      <w:kern w:val="0"/>
                      <w:sz w:val="21"/>
                      <w:szCs w:val="21"/>
                    </w:rPr>
                  </w:pPr>
                  <w:r>
                    <w:rPr>
                      <w:rFonts w:hint="eastAsia"/>
                      <w:sz w:val="21"/>
                      <w:szCs w:val="21"/>
                    </w:rPr>
                    <w:t>建筑骨料生产线粗破、反击破系统粉尘排气筒D</w:t>
                  </w:r>
                  <w:r>
                    <w:rPr>
                      <w:sz w:val="21"/>
                      <w:szCs w:val="21"/>
                    </w:rPr>
                    <w:t>A001</w:t>
                  </w:r>
                </w:p>
              </w:tc>
              <w:tc>
                <w:tcPr>
                  <w:tcW w:w="731" w:type="pct"/>
                  <w:shd w:val="clear" w:color="auto" w:fill="FFFFFF"/>
                  <w:vAlign w:val="center"/>
                </w:tcPr>
                <w:p>
                  <w:pPr>
                    <w:widowControl/>
                    <w:spacing w:line="240" w:lineRule="auto"/>
                    <w:ind w:firstLine="0" w:firstLineChars="0"/>
                    <w:jc w:val="center"/>
                    <w:rPr>
                      <w:kern w:val="0"/>
                      <w:sz w:val="21"/>
                      <w:szCs w:val="21"/>
                    </w:rPr>
                  </w:pPr>
                  <w:r>
                    <w:rPr>
                      <w:rFonts w:hint="eastAsia"/>
                      <w:kern w:val="0"/>
                      <w:sz w:val="21"/>
                      <w:szCs w:val="21"/>
                    </w:rPr>
                    <w:t>颗粒物</w:t>
                  </w:r>
                </w:p>
              </w:tc>
              <w:tc>
                <w:tcPr>
                  <w:tcW w:w="777" w:type="pct"/>
                  <w:shd w:val="clear" w:color="auto" w:fill="FFFFFF"/>
                  <w:vAlign w:val="center"/>
                </w:tcPr>
                <w:p>
                  <w:pPr>
                    <w:widowControl/>
                    <w:spacing w:line="240" w:lineRule="auto"/>
                    <w:ind w:firstLine="0" w:firstLineChars="0"/>
                    <w:jc w:val="center"/>
                    <w:rPr>
                      <w:kern w:val="0"/>
                      <w:sz w:val="21"/>
                      <w:szCs w:val="21"/>
                    </w:rPr>
                  </w:pPr>
                  <w:r>
                    <w:rPr>
                      <w:kern w:val="0"/>
                      <w:sz w:val="21"/>
                      <w:szCs w:val="21"/>
                    </w:rPr>
                    <w:t>10000</w:t>
                  </w:r>
                </w:p>
              </w:tc>
              <w:tc>
                <w:tcPr>
                  <w:tcW w:w="793" w:type="pct"/>
                  <w:shd w:val="clear" w:color="auto" w:fill="FFFFFF"/>
                  <w:vAlign w:val="center"/>
                </w:tcPr>
                <w:p>
                  <w:pPr>
                    <w:widowControl/>
                    <w:spacing w:line="240" w:lineRule="auto"/>
                    <w:ind w:firstLine="0" w:firstLineChars="0"/>
                    <w:jc w:val="center"/>
                    <w:rPr>
                      <w:kern w:val="0"/>
                      <w:sz w:val="21"/>
                      <w:szCs w:val="21"/>
                    </w:rPr>
                  </w:pPr>
                  <w:r>
                    <w:rPr>
                      <w:kern w:val="0"/>
                      <w:sz w:val="21"/>
                      <w:szCs w:val="21"/>
                    </w:rPr>
                    <w:t>0.3</w:t>
                  </w:r>
                </w:p>
              </w:tc>
              <w:tc>
                <w:tcPr>
                  <w:tcW w:w="740" w:type="pct"/>
                  <w:shd w:val="clear" w:color="auto" w:fill="FFFFFF"/>
                  <w:vAlign w:val="center"/>
                </w:tcPr>
                <w:p>
                  <w:pPr>
                    <w:pStyle w:val="144"/>
                    <w:spacing w:before="0" w:after="0" w:line="240" w:lineRule="auto"/>
                    <w:ind w:firstLine="0" w:firstLineChars="0"/>
                    <w:jc w:val="center"/>
                    <w:rPr>
                      <w:sz w:val="21"/>
                      <w:szCs w:val="21"/>
                    </w:rPr>
                  </w:pPr>
                  <w:r>
                    <w:rPr>
                      <w:sz w:val="21"/>
                      <w:szCs w:val="21"/>
                    </w:rPr>
                    <w:t>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5" w:type="pct"/>
                  <w:shd w:val="clear" w:color="auto" w:fill="FFFFFF"/>
                  <w:vAlign w:val="center"/>
                </w:tcPr>
                <w:p>
                  <w:pPr>
                    <w:widowControl/>
                    <w:spacing w:line="240" w:lineRule="auto"/>
                    <w:ind w:firstLine="0" w:firstLineChars="0"/>
                    <w:jc w:val="center"/>
                    <w:rPr>
                      <w:kern w:val="0"/>
                      <w:sz w:val="21"/>
                      <w:szCs w:val="21"/>
                    </w:rPr>
                  </w:pPr>
                  <w:r>
                    <w:rPr>
                      <w:kern w:val="0"/>
                      <w:sz w:val="21"/>
                      <w:szCs w:val="21"/>
                    </w:rPr>
                    <w:t>3</w:t>
                  </w:r>
                </w:p>
              </w:tc>
              <w:tc>
                <w:tcPr>
                  <w:tcW w:w="1654" w:type="pct"/>
                  <w:shd w:val="clear" w:color="auto" w:fill="FFFFFF"/>
                  <w:vAlign w:val="center"/>
                </w:tcPr>
                <w:p>
                  <w:pPr>
                    <w:widowControl/>
                    <w:spacing w:line="240" w:lineRule="auto"/>
                    <w:ind w:firstLine="0" w:firstLineChars="0"/>
                    <w:jc w:val="center"/>
                    <w:rPr>
                      <w:kern w:val="0"/>
                      <w:sz w:val="21"/>
                      <w:szCs w:val="21"/>
                    </w:rPr>
                  </w:pPr>
                  <w:r>
                    <w:rPr>
                      <w:rFonts w:hint="eastAsia"/>
                      <w:sz w:val="21"/>
                      <w:szCs w:val="21"/>
                    </w:rPr>
                    <w:t>建筑骨料生产线冲击破系统产生的粉尘排气筒D</w:t>
                  </w:r>
                  <w:r>
                    <w:rPr>
                      <w:sz w:val="21"/>
                      <w:szCs w:val="21"/>
                    </w:rPr>
                    <w:t>A002</w:t>
                  </w:r>
                </w:p>
              </w:tc>
              <w:tc>
                <w:tcPr>
                  <w:tcW w:w="731" w:type="pct"/>
                  <w:shd w:val="clear" w:color="auto" w:fill="FFFFFF"/>
                  <w:vAlign w:val="center"/>
                </w:tcPr>
                <w:p>
                  <w:pPr>
                    <w:widowControl/>
                    <w:spacing w:line="240" w:lineRule="auto"/>
                    <w:ind w:firstLine="0" w:firstLineChars="0"/>
                    <w:jc w:val="center"/>
                    <w:rPr>
                      <w:kern w:val="0"/>
                      <w:sz w:val="21"/>
                      <w:szCs w:val="21"/>
                    </w:rPr>
                  </w:pPr>
                  <w:r>
                    <w:rPr>
                      <w:rFonts w:hint="eastAsia"/>
                      <w:kern w:val="0"/>
                      <w:sz w:val="21"/>
                      <w:szCs w:val="21"/>
                    </w:rPr>
                    <w:t>颗粒物</w:t>
                  </w:r>
                </w:p>
              </w:tc>
              <w:tc>
                <w:tcPr>
                  <w:tcW w:w="777" w:type="pct"/>
                  <w:shd w:val="clear" w:color="auto" w:fill="FFFFFF"/>
                  <w:vAlign w:val="center"/>
                </w:tcPr>
                <w:p>
                  <w:pPr>
                    <w:widowControl/>
                    <w:spacing w:line="240" w:lineRule="auto"/>
                    <w:ind w:firstLine="0" w:firstLineChars="0"/>
                    <w:jc w:val="center"/>
                    <w:rPr>
                      <w:kern w:val="0"/>
                      <w:sz w:val="21"/>
                      <w:szCs w:val="21"/>
                    </w:rPr>
                  </w:pPr>
                  <w:r>
                    <w:rPr>
                      <w:kern w:val="0"/>
                      <w:sz w:val="21"/>
                      <w:szCs w:val="21"/>
                    </w:rPr>
                    <w:t>10000</w:t>
                  </w:r>
                </w:p>
              </w:tc>
              <w:tc>
                <w:tcPr>
                  <w:tcW w:w="793" w:type="pct"/>
                  <w:shd w:val="clear" w:color="auto" w:fill="FFFFFF"/>
                  <w:vAlign w:val="center"/>
                </w:tcPr>
                <w:p>
                  <w:pPr>
                    <w:widowControl/>
                    <w:spacing w:line="240" w:lineRule="auto"/>
                    <w:ind w:firstLine="0" w:firstLineChars="0"/>
                    <w:jc w:val="center"/>
                    <w:rPr>
                      <w:color w:val="000000"/>
                      <w:kern w:val="0"/>
                      <w:sz w:val="21"/>
                      <w:szCs w:val="21"/>
                    </w:rPr>
                  </w:pPr>
                  <w:r>
                    <w:rPr>
                      <w:rFonts w:hint="eastAsia"/>
                      <w:color w:val="000000"/>
                      <w:kern w:val="0"/>
                      <w:sz w:val="21"/>
                      <w:szCs w:val="21"/>
                    </w:rPr>
                    <w:t>0</w:t>
                  </w:r>
                  <w:r>
                    <w:rPr>
                      <w:color w:val="000000"/>
                      <w:kern w:val="0"/>
                      <w:sz w:val="21"/>
                      <w:szCs w:val="21"/>
                    </w:rPr>
                    <w:t>.3</w:t>
                  </w:r>
                </w:p>
              </w:tc>
              <w:tc>
                <w:tcPr>
                  <w:tcW w:w="740" w:type="pct"/>
                  <w:shd w:val="clear" w:color="auto" w:fill="FFFFFF"/>
                  <w:vAlign w:val="center"/>
                </w:tcPr>
                <w:p>
                  <w:pPr>
                    <w:pStyle w:val="144"/>
                    <w:spacing w:before="0" w:after="0" w:line="240" w:lineRule="auto"/>
                    <w:ind w:firstLine="0" w:firstLineChars="0"/>
                    <w:jc w:val="center"/>
                    <w:rPr>
                      <w:sz w:val="21"/>
                      <w:szCs w:val="21"/>
                    </w:rPr>
                  </w:pPr>
                  <w:r>
                    <w:rPr>
                      <w:sz w:val="21"/>
                      <w:szCs w:val="21"/>
                    </w:rPr>
                    <w:t>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5" w:type="pct"/>
                  <w:shd w:val="clear" w:color="auto" w:fill="FFFFFF"/>
                  <w:vAlign w:val="center"/>
                </w:tcPr>
                <w:p>
                  <w:pPr>
                    <w:widowControl/>
                    <w:spacing w:line="240" w:lineRule="auto"/>
                    <w:ind w:firstLine="0" w:firstLineChars="0"/>
                    <w:jc w:val="center"/>
                    <w:rPr>
                      <w:kern w:val="0"/>
                      <w:sz w:val="21"/>
                      <w:szCs w:val="21"/>
                    </w:rPr>
                  </w:pPr>
                  <w:r>
                    <w:rPr>
                      <w:rFonts w:hint="eastAsia"/>
                      <w:kern w:val="0"/>
                      <w:sz w:val="21"/>
                      <w:szCs w:val="21"/>
                    </w:rPr>
                    <w:t>4</w:t>
                  </w:r>
                </w:p>
              </w:tc>
              <w:tc>
                <w:tcPr>
                  <w:tcW w:w="1654" w:type="pct"/>
                  <w:shd w:val="clear" w:color="auto" w:fill="FFFFFF"/>
                  <w:vAlign w:val="center"/>
                </w:tcPr>
                <w:p>
                  <w:pPr>
                    <w:widowControl/>
                    <w:spacing w:line="240" w:lineRule="auto"/>
                    <w:ind w:firstLine="0" w:firstLineChars="0"/>
                    <w:jc w:val="center"/>
                    <w:rPr>
                      <w:kern w:val="0"/>
                      <w:sz w:val="21"/>
                      <w:szCs w:val="21"/>
                    </w:rPr>
                  </w:pPr>
                  <w:r>
                    <w:rPr>
                      <w:rFonts w:hint="eastAsia"/>
                      <w:sz w:val="21"/>
                      <w:szCs w:val="21"/>
                    </w:rPr>
                    <w:t>微粉生产线鄂破系统产生的粉尘排气筒D</w:t>
                  </w:r>
                  <w:r>
                    <w:rPr>
                      <w:sz w:val="21"/>
                      <w:szCs w:val="21"/>
                    </w:rPr>
                    <w:t>A003</w:t>
                  </w:r>
                </w:p>
              </w:tc>
              <w:tc>
                <w:tcPr>
                  <w:tcW w:w="731" w:type="pct"/>
                  <w:shd w:val="clear" w:color="auto" w:fill="FFFFFF"/>
                  <w:vAlign w:val="center"/>
                </w:tcPr>
                <w:p>
                  <w:pPr>
                    <w:widowControl/>
                    <w:spacing w:line="240" w:lineRule="auto"/>
                    <w:ind w:firstLine="0" w:firstLineChars="0"/>
                    <w:jc w:val="center"/>
                    <w:rPr>
                      <w:kern w:val="0"/>
                      <w:sz w:val="21"/>
                      <w:szCs w:val="21"/>
                    </w:rPr>
                  </w:pPr>
                  <w:r>
                    <w:rPr>
                      <w:rFonts w:hint="eastAsia"/>
                      <w:kern w:val="0"/>
                      <w:sz w:val="21"/>
                      <w:szCs w:val="21"/>
                    </w:rPr>
                    <w:t>颗粒物</w:t>
                  </w:r>
                </w:p>
              </w:tc>
              <w:tc>
                <w:tcPr>
                  <w:tcW w:w="777" w:type="pct"/>
                  <w:shd w:val="clear" w:color="auto" w:fill="FFFFFF"/>
                  <w:vAlign w:val="center"/>
                </w:tcPr>
                <w:p>
                  <w:pPr>
                    <w:widowControl/>
                    <w:spacing w:line="240" w:lineRule="auto"/>
                    <w:ind w:firstLine="0" w:firstLineChars="0"/>
                    <w:jc w:val="center"/>
                    <w:rPr>
                      <w:kern w:val="0"/>
                      <w:sz w:val="21"/>
                      <w:szCs w:val="21"/>
                    </w:rPr>
                  </w:pPr>
                  <w:r>
                    <w:rPr>
                      <w:kern w:val="0"/>
                      <w:sz w:val="21"/>
                      <w:szCs w:val="21"/>
                    </w:rPr>
                    <w:t>10000</w:t>
                  </w:r>
                </w:p>
              </w:tc>
              <w:tc>
                <w:tcPr>
                  <w:tcW w:w="793" w:type="pct"/>
                  <w:shd w:val="clear" w:color="auto" w:fill="FFFFFF"/>
                  <w:vAlign w:val="center"/>
                </w:tcPr>
                <w:p>
                  <w:pPr>
                    <w:widowControl/>
                    <w:spacing w:line="240" w:lineRule="auto"/>
                    <w:ind w:firstLine="0" w:firstLineChars="0"/>
                    <w:jc w:val="center"/>
                    <w:rPr>
                      <w:color w:val="000000"/>
                      <w:kern w:val="0"/>
                      <w:sz w:val="21"/>
                      <w:szCs w:val="21"/>
                    </w:rPr>
                  </w:pPr>
                  <w:r>
                    <w:rPr>
                      <w:rFonts w:hint="eastAsia"/>
                      <w:color w:val="000000"/>
                      <w:kern w:val="0"/>
                      <w:sz w:val="21"/>
                      <w:szCs w:val="21"/>
                    </w:rPr>
                    <w:t>0</w:t>
                  </w:r>
                  <w:r>
                    <w:rPr>
                      <w:color w:val="000000"/>
                      <w:kern w:val="0"/>
                      <w:sz w:val="21"/>
                      <w:szCs w:val="21"/>
                    </w:rPr>
                    <w:t>.3</w:t>
                  </w:r>
                </w:p>
              </w:tc>
              <w:tc>
                <w:tcPr>
                  <w:tcW w:w="740" w:type="pct"/>
                  <w:shd w:val="clear" w:color="auto" w:fill="FFFFFF"/>
                  <w:vAlign w:val="center"/>
                </w:tcPr>
                <w:p>
                  <w:pPr>
                    <w:pStyle w:val="144"/>
                    <w:spacing w:before="0" w:after="0" w:line="240" w:lineRule="auto"/>
                    <w:ind w:firstLine="0" w:firstLineChars="0"/>
                    <w:jc w:val="center"/>
                    <w:rPr>
                      <w:sz w:val="21"/>
                      <w:szCs w:val="21"/>
                    </w:rPr>
                  </w:pPr>
                  <w:r>
                    <w:rPr>
                      <w:sz w:val="21"/>
                      <w:szCs w:val="21"/>
                    </w:rPr>
                    <w:t>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5" w:type="pct"/>
                  <w:shd w:val="clear" w:color="auto" w:fill="FFFFFF"/>
                  <w:vAlign w:val="center"/>
                </w:tcPr>
                <w:p>
                  <w:pPr>
                    <w:widowControl/>
                    <w:spacing w:line="240" w:lineRule="auto"/>
                    <w:ind w:firstLine="0" w:firstLineChars="0"/>
                    <w:jc w:val="center"/>
                    <w:rPr>
                      <w:kern w:val="0"/>
                      <w:sz w:val="21"/>
                      <w:szCs w:val="21"/>
                    </w:rPr>
                  </w:pPr>
                  <w:r>
                    <w:rPr>
                      <w:rFonts w:hint="eastAsia"/>
                      <w:kern w:val="0"/>
                      <w:sz w:val="21"/>
                      <w:szCs w:val="21"/>
                    </w:rPr>
                    <w:t>5</w:t>
                  </w:r>
                </w:p>
              </w:tc>
              <w:tc>
                <w:tcPr>
                  <w:tcW w:w="1654" w:type="pct"/>
                  <w:shd w:val="clear" w:color="auto" w:fill="FFFFFF"/>
                  <w:vAlign w:val="center"/>
                </w:tcPr>
                <w:p>
                  <w:pPr>
                    <w:widowControl/>
                    <w:spacing w:line="240" w:lineRule="auto"/>
                    <w:ind w:firstLine="0" w:firstLineChars="0"/>
                    <w:jc w:val="center"/>
                    <w:rPr>
                      <w:kern w:val="0"/>
                      <w:sz w:val="21"/>
                      <w:szCs w:val="21"/>
                    </w:rPr>
                  </w:pPr>
                  <w:r>
                    <w:rPr>
                      <w:rFonts w:hint="eastAsia"/>
                      <w:sz w:val="21"/>
                      <w:szCs w:val="21"/>
                    </w:rPr>
                    <w:t>微粉生产线超细破碎机系统产生的粉尘排气筒D</w:t>
                  </w:r>
                  <w:r>
                    <w:rPr>
                      <w:sz w:val="21"/>
                      <w:szCs w:val="21"/>
                    </w:rPr>
                    <w:t>A004</w:t>
                  </w:r>
                </w:p>
              </w:tc>
              <w:tc>
                <w:tcPr>
                  <w:tcW w:w="731" w:type="pct"/>
                  <w:shd w:val="clear" w:color="auto" w:fill="FFFFFF"/>
                  <w:vAlign w:val="center"/>
                </w:tcPr>
                <w:p>
                  <w:pPr>
                    <w:widowControl/>
                    <w:spacing w:line="240" w:lineRule="auto"/>
                    <w:ind w:firstLine="0" w:firstLineChars="0"/>
                    <w:jc w:val="center"/>
                    <w:rPr>
                      <w:kern w:val="0"/>
                      <w:sz w:val="21"/>
                      <w:szCs w:val="21"/>
                    </w:rPr>
                  </w:pPr>
                  <w:r>
                    <w:rPr>
                      <w:rFonts w:hint="eastAsia"/>
                      <w:kern w:val="0"/>
                      <w:sz w:val="21"/>
                      <w:szCs w:val="21"/>
                    </w:rPr>
                    <w:t>颗粒物</w:t>
                  </w:r>
                </w:p>
              </w:tc>
              <w:tc>
                <w:tcPr>
                  <w:tcW w:w="777" w:type="pct"/>
                  <w:shd w:val="clear" w:color="auto" w:fill="FFFFFF"/>
                  <w:vAlign w:val="center"/>
                </w:tcPr>
                <w:p>
                  <w:pPr>
                    <w:widowControl/>
                    <w:spacing w:line="240" w:lineRule="auto"/>
                    <w:ind w:firstLine="0" w:firstLineChars="0"/>
                    <w:jc w:val="center"/>
                    <w:rPr>
                      <w:kern w:val="0"/>
                      <w:sz w:val="21"/>
                      <w:szCs w:val="21"/>
                    </w:rPr>
                  </w:pPr>
                  <w:r>
                    <w:rPr>
                      <w:kern w:val="0"/>
                      <w:sz w:val="21"/>
                      <w:szCs w:val="21"/>
                    </w:rPr>
                    <w:t>10000</w:t>
                  </w:r>
                </w:p>
              </w:tc>
              <w:tc>
                <w:tcPr>
                  <w:tcW w:w="793" w:type="pct"/>
                  <w:shd w:val="clear" w:color="auto" w:fill="FFFFFF"/>
                  <w:vAlign w:val="center"/>
                </w:tcPr>
                <w:p>
                  <w:pPr>
                    <w:widowControl/>
                    <w:spacing w:line="240" w:lineRule="auto"/>
                    <w:ind w:firstLine="0" w:firstLineChars="0"/>
                    <w:jc w:val="center"/>
                    <w:rPr>
                      <w:color w:val="000000"/>
                      <w:kern w:val="0"/>
                      <w:sz w:val="21"/>
                      <w:szCs w:val="21"/>
                    </w:rPr>
                  </w:pPr>
                  <w:r>
                    <w:rPr>
                      <w:color w:val="000000"/>
                      <w:kern w:val="0"/>
                      <w:sz w:val="21"/>
                      <w:szCs w:val="21"/>
                    </w:rPr>
                    <w:t>0.3</w:t>
                  </w:r>
                </w:p>
              </w:tc>
              <w:tc>
                <w:tcPr>
                  <w:tcW w:w="740" w:type="pct"/>
                  <w:shd w:val="clear" w:color="auto" w:fill="FFFFFF"/>
                  <w:vAlign w:val="center"/>
                </w:tcPr>
                <w:p>
                  <w:pPr>
                    <w:pStyle w:val="144"/>
                    <w:spacing w:before="0" w:after="0" w:line="240" w:lineRule="auto"/>
                    <w:ind w:firstLine="0" w:firstLineChars="0"/>
                    <w:jc w:val="center"/>
                    <w:rPr>
                      <w:sz w:val="21"/>
                      <w:szCs w:val="21"/>
                    </w:rPr>
                  </w:pPr>
                  <w:r>
                    <w:rPr>
                      <w:sz w:val="21"/>
                      <w:szCs w:val="21"/>
                    </w:rPr>
                    <w:t>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59" w:type="pct"/>
                  <w:gridSpan w:val="2"/>
                  <w:shd w:val="clear" w:color="auto" w:fill="FFFFFF"/>
                  <w:vAlign w:val="center"/>
                </w:tcPr>
                <w:p>
                  <w:pPr>
                    <w:widowControl/>
                    <w:spacing w:line="240" w:lineRule="auto"/>
                    <w:ind w:firstLine="0" w:firstLineChars="0"/>
                    <w:jc w:val="center"/>
                    <w:rPr>
                      <w:kern w:val="0"/>
                      <w:sz w:val="21"/>
                      <w:szCs w:val="21"/>
                    </w:rPr>
                  </w:pPr>
                  <w:r>
                    <w:rPr>
                      <w:rFonts w:hint="eastAsia"/>
                      <w:kern w:val="0"/>
                      <w:sz w:val="21"/>
                      <w:szCs w:val="21"/>
                    </w:rPr>
                    <w:t>一般排放口合计</w:t>
                  </w:r>
                </w:p>
              </w:tc>
              <w:tc>
                <w:tcPr>
                  <w:tcW w:w="2301" w:type="pct"/>
                  <w:gridSpan w:val="3"/>
                  <w:shd w:val="clear" w:color="auto" w:fill="FFFFFF"/>
                  <w:vAlign w:val="center"/>
                </w:tcPr>
                <w:p>
                  <w:pPr>
                    <w:widowControl/>
                    <w:spacing w:line="240" w:lineRule="auto"/>
                    <w:ind w:firstLine="0" w:firstLineChars="0"/>
                    <w:jc w:val="center"/>
                    <w:rPr>
                      <w:kern w:val="0"/>
                      <w:sz w:val="21"/>
                      <w:szCs w:val="21"/>
                    </w:rPr>
                  </w:pPr>
                  <w:r>
                    <w:rPr>
                      <w:rFonts w:hint="eastAsia"/>
                      <w:kern w:val="0"/>
                      <w:sz w:val="21"/>
                      <w:szCs w:val="21"/>
                    </w:rPr>
                    <w:t>颗粒物</w:t>
                  </w:r>
                </w:p>
              </w:tc>
              <w:tc>
                <w:tcPr>
                  <w:tcW w:w="740" w:type="pct"/>
                  <w:shd w:val="clear" w:color="auto" w:fill="FFFFFF"/>
                  <w:vAlign w:val="center"/>
                </w:tcPr>
                <w:p>
                  <w:pPr>
                    <w:widowControl/>
                    <w:spacing w:line="240" w:lineRule="auto"/>
                    <w:ind w:firstLine="0" w:firstLineChars="0"/>
                    <w:jc w:val="center"/>
                    <w:rPr>
                      <w:kern w:val="0"/>
                      <w:sz w:val="21"/>
                      <w:szCs w:val="21"/>
                    </w:rPr>
                  </w:pPr>
                  <w:r>
                    <w:rPr>
                      <w:kern w:val="0"/>
                      <w:sz w:val="21"/>
                      <w:szCs w:val="21"/>
                    </w:rPr>
                    <w:t>2.88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6"/>
                  <w:shd w:val="clear" w:color="auto" w:fill="FFFFFF"/>
                  <w:vAlign w:val="center"/>
                </w:tcPr>
                <w:p>
                  <w:pPr>
                    <w:widowControl/>
                    <w:spacing w:line="240" w:lineRule="auto"/>
                    <w:ind w:firstLine="0" w:firstLineChars="0"/>
                    <w:jc w:val="center"/>
                    <w:rPr>
                      <w:kern w:val="0"/>
                      <w:sz w:val="21"/>
                      <w:szCs w:val="21"/>
                    </w:rPr>
                  </w:pPr>
                  <w:r>
                    <w:rPr>
                      <w:rFonts w:hint="eastAsia"/>
                      <w:kern w:val="0"/>
                      <w:sz w:val="21"/>
                      <w:szCs w:val="21"/>
                    </w:rPr>
                    <w:t>有组织排放总计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59" w:type="pct"/>
                  <w:gridSpan w:val="2"/>
                  <w:shd w:val="clear" w:color="auto" w:fill="FFFFFF"/>
                  <w:vAlign w:val="center"/>
                </w:tcPr>
                <w:p>
                  <w:pPr>
                    <w:widowControl/>
                    <w:spacing w:line="240" w:lineRule="auto"/>
                    <w:ind w:firstLine="0" w:firstLineChars="0"/>
                    <w:jc w:val="center"/>
                    <w:rPr>
                      <w:kern w:val="0"/>
                      <w:sz w:val="21"/>
                      <w:szCs w:val="21"/>
                    </w:rPr>
                  </w:pPr>
                  <w:r>
                    <w:rPr>
                      <w:rFonts w:hint="eastAsia"/>
                      <w:kern w:val="0"/>
                      <w:sz w:val="21"/>
                      <w:szCs w:val="21"/>
                    </w:rPr>
                    <w:t>有组织排放总计</w:t>
                  </w:r>
                </w:p>
              </w:tc>
              <w:tc>
                <w:tcPr>
                  <w:tcW w:w="2301" w:type="pct"/>
                  <w:gridSpan w:val="3"/>
                  <w:shd w:val="clear" w:color="auto" w:fill="FFFFFF"/>
                  <w:vAlign w:val="center"/>
                </w:tcPr>
                <w:p>
                  <w:pPr>
                    <w:widowControl/>
                    <w:spacing w:line="240" w:lineRule="auto"/>
                    <w:ind w:firstLine="0" w:firstLineChars="0"/>
                    <w:jc w:val="center"/>
                    <w:rPr>
                      <w:kern w:val="0"/>
                      <w:sz w:val="21"/>
                      <w:szCs w:val="21"/>
                    </w:rPr>
                  </w:pPr>
                  <w:r>
                    <w:rPr>
                      <w:rFonts w:hint="eastAsia"/>
                      <w:kern w:val="0"/>
                      <w:sz w:val="21"/>
                      <w:szCs w:val="21"/>
                    </w:rPr>
                    <w:t>颗粒物</w:t>
                  </w:r>
                </w:p>
              </w:tc>
              <w:tc>
                <w:tcPr>
                  <w:tcW w:w="740" w:type="pct"/>
                  <w:shd w:val="clear" w:color="auto" w:fill="FFFFFF"/>
                  <w:vAlign w:val="center"/>
                </w:tcPr>
                <w:p>
                  <w:pPr>
                    <w:widowControl/>
                    <w:spacing w:line="240" w:lineRule="auto"/>
                    <w:ind w:firstLine="0" w:firstLineChars="0"/>
                    <w:jc w:val="center"/>
                    <w:rPr>
                      <w:kern w:val="0"/>
                      <w:sz w:val="21"/>
                      <w:szCs w:val="21"/>
                    </w:rPr>
                  </w:pPr>
                  <w:r>
                    <w:rPr>
                      <w:kern w:val="0"/>
                      <w:sz w:val="21"/>
                      <w:szCs w:val="21"/>
                    </w:rPr>
                    <w:t>2.88</w:t>
                  </w:r>
                </w:p>
              </w:tc>
            </w:tr>
            <w:bookmarkEnd w:id="16"/>
          </w:tbl>
          <w:p>
            <w:pPr>
              <w:ind w:firstLine="480"/>
              <w:jc w:val="center"/>
              <w:rPr>
                <w:rFonts w:ascii="黑体" w:hAnsi="黑体" w:eastAsia="黑体"/>
                <w:kern w:val="0"/>
                <w:szCs w:val="24"/>
              </w:rPr>
            </w:pPr>
            <w:r>
              <w:rPr>
                <w:rFonts w:hint="eastAsia" w:ascii="黑体" w:hAnsi="黑体" w:eastAsia="黑体"/>
                <w:kern w:val="0"/>
                <w:szCs w:val="24"/>
              </w:rPr>
              <w:t>表</w:t>
            </w:r>
            <w:r>
              <w:rPr>
                <w:rFonts w:ascii="黑体" w:hAnsi="黑体" w:eastAsia="黑体"/>
                <w:szCs w:val="24"/>
              </w:rPr>
              <w:t>40</w:t>
            </w:r>
            <w:r>
              <w:rPr>
                <w:rFonts w:hint="eastAsia" w:ascii="黑体" w:hAnsi="黑体" w:eastAsia="黑体"/>
                <w:kern w:val="0"/>
                <w:szCs w:val="24"/>
              </w:rPr>
              <w:t xml:space="preserve">  大气污染物无组织排放量核算表</w:t>
            </w:r>
          </w:p>
          <w:tbl>
            <w:tblPr>
              <w:tblStyle w:val="70"/>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488"/>
              <w:gridCol w:w="1362"/>
              <w:gridCol w:w="1077"/>
              <w:gridCol w:w="1168"/>
              <w:gridCol w:w="2675"/>
              <w:gridCol w:w="1242"/>
              <w:gridCol w:w="105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69" w:type="pct"/>
                  <w:vMerge w:val="restart"/>
                  <w:tcBorders>
                    <w:top w:val="single" w:color="auto" w:sz="2" w:space="0"/>
                    <w:left w:val="single" w:color="auto" w:sz="2" w:space="0"/>
                    <w:bottom w:val="single" w:color="auto" w:sz="2" w:space="0"/>
                    <w:right w:val="single" w:color="auto" w:sz="2" w:space="0"/>
                  </w:tcBorders>
                  <w:vAlign w:val="center"/>
                </w:tcPr>
                <w:p>
                  <w:pPr>
                    <w:widowControl/>
                    <w:spacing w:line="240" w:lineRule="auto"/>
                    <w:ind w:firstLine="0" w:firstLineChars="0"/>
                    <w:jc w:val="center"/>
                    <w:rPr>
                      <w:b/>
                      <w:kern w:val="0"/>
                      <w:sz w:val="21"/>
                      <w:szCs w:val="21"/>
                    </w:rPr>
                  </w:pPr>
                  <w:bookmarkStart w:id="17" w:name="_Hlk9001527"/>
                  <w:r>
                    <w:rPr>
                      <w:rFonts w:hint="eastAsia"/>
                      <w:b/>
                      <w:kern w:val="0"/>
                      <w:sz w:val="21"/>
                      <w:szCs w:val="21"/>
                    </w:rPr>
                    <w:t>序号</w:t>
                  </w:r>
                </w:p>
              </w:tc>
              <w:tc>
                <w:tcPr>
                  <w:tcW w:w="751" w:type="pct"/>
                  <w:vMerge w:val="restart"/>
                  <w:tcBorders>
                    <w:top w:val="single" w:color="auto" w:sz="2" w:space="0"/>
                    <w:left w:val="single" w:color="auto" w:sz="2" w:space="0"/>
                    <w:right w:val="single" w:color="auto" w:sz="2" w:space="0"/>
                  </w:tcBorders>
                  <w:vAlign w:val="center"/>
                </w:tcPr>
                <w:p>
                  <w:pPr>
                    <w:widowControl/>
                    <w:spacing w:line="240" w:lineRule="auto"/>
                    <w:ind w:firstLine="0" w:firstLineChars="0"/>
                    <w:jc w:val="center"/>
                    <w:rPr>
                      <w:b/>
                      <w:kern w:val="0"/>
                      <w:sz w:val="21"/>
                      <w:szCs w:val="21"/>
                    </w:rPr>
                  </w:pPr>
                  <w:r>
                    <w:rPr>
                      <w:rFonts w:hint="eastAsia"/>
                      <w:b/>
                      <w:kern w:val="0"/>
                      <w:sz w:val="21"/>
                      <w:szCs w:val="21"/>
                    </w:rPr>
                    <w:t>产污环节</w:t>
                  </w:r>
                </w:p>
              </w:tc>
              <w:tc>
                <w:tcPr>
                  <w:tcW w:w="594" w:type="pct"/>
                  <w:vMerge w:val="restart"/>
                  <w:tcBorders>
                    <w:top w:val="single" w:color="auto" w:sz="2" w:space="0"/>
                    <w:left w:val="single" w:color="auto" w:sz="2" w:space="0"/>
                    <w:bottom w:val="single" w:color="auto" w:sz="2" w:space="0"/>
                    <w:right w:val="single" w:color="auto" w:sz="2" w:space="0"/>
                  </w:tcBorders>
                  <w:vAlign w:val="center"/>
                </w:tcPr>
                <w:p>
                  <w:pPr>
                    <w:widowControl/>
                    <w:spacing w:line="240" w:lineRule="auto"/>
                    <w:ind w:firstLine="0" w:firstLineChars="0"/>
                    <w:jc w:val="center"/>
                    <w:rPr>
                      <w:b/>
                      <w:kern w:val="0"/>
                      <w:sz w:val="21"/>
                      <w:szCs w:val="21"/>
                    </w:rPr>
                  </w:pPr>
                  <w:r>
                    <w:rPr>
                      <w:rFonts w:hint="eastAsia"/>
                      <w:b/>
                      <w:kern w:val="0"/>
                      <w:sz w:val="21"/>
                      <w:szCs w:val="21"/>
                    </w:rPr>
                    <w:t>污染物</w:t>
                  </w:r>
                </w:p>
              </w:tc>
              <w:tc>
                <w:tcPr>
                  <w:tcW w:w="644" w:type="pct"/>
                  <w:vMerge w:val="restart"/>
                  <w:tcBorders>
                    <w:top w:val="single" w:color="auto" w:sz="2" w:space="0"/>
                    <w:left w:val="single" w:color="auto" w:sz="2" w:space="0"/>
                    <w:bottom w:val="single" w:color="auto" w:sz="2" w:space="0"/>
                    <w:right w:val="single" w:color="auto" w:sz="2" w:space="0"/>
                  </w:tcBorders>
                  <w:vAlign w:val="center"/>
                </w:tcPr>
                <w:p>
                  <w:pPr>
                    <w:widowControl/>
                    <w:spacing w:line="240" w:lineRule="auto"/>
                    <w:ind w:firstLine="0" w:firstLineChars="0"/>
                    <w:jc w:val="center"/>
                    <w:rPr>
                      <w:b/>
                      <w:kern w:val="0"/>
                      <w:sz w:val="21"/>
                      <w:szCs w:val="21"/>
                    </w:rPr>
                  </w:pPr>
                  <w:r>
                    <w:rPr>
                      <w:rFonts w:hint="eastAsia"/>
                      <w:b/>
                      <w:kern w:val="0"/>
                      <w:sz w:val="21"/>
                      <w:szCs w:val="21"/>
                    </w:rPr>
                    <w:t>主要污染防治措施</w:t>
                  </w:r>
                </w:p>
              </w:tc>
              <w:tc>
                <w:tcPr>
                  <w:tcW w:w="2160" w:type="pct"/>
                  <w:gridSpan w:val="2"/>
                  <w:tcBorders>
                    <w:top w:val="single" w:color="auto" w:sz="2" w:space="0"/>
                    <w:left w:val="single" w:color="auto" w:sz="2" w:space="0"/>
                    <w:bottom w:val="single" w:color="auto" w:sz="2" w:space="0"/>
                    <w:right w:val="single" w:color="auto" w:sz="2" w:space="0"/>
                  </w:tcBorders>
                  <w:vAlign w:val="center"/>
                </w:tcPr>
                <w:p>
                  <w:pPr>
                    <w:widowControl/>
                    <w:spacing w:line="240" w:lineRule="auto"/>
                    <w:ind w:firstLine="0" w:firstLineChars="0"/>
                    <w:jc w:val="center"/>
                    <w:rPr>
                      <w:b/>
                      <w:kern w:val="0"/>
                      <w:sz w:val="21"/>
                      <w:szCs w:val="21"/>
                    </w:rPr>
                  </w:pPr>
                  <w:r>
                    <w:rPr>
                      <w:rFonts w:hint="eastAsia"/>
                      <w:b/>
                      <w:kern w:val="0"/>
                      <w:sz w:val="21"/>
                      <w:szCs w:val="21"/>
                    </w:rPr>
                    <w:t>国家或地方污染物排放标准</w:t>
                  </w:r>
                </w:p>
              </w:tc>
              <w:tc>
                <w:tcPr>
                  <w:tcW w:w="582" w:type="pct"/>
                  <w:vMerge w:val="restart"/>
                  <w:tcBorders>
                    <w:top w:val="single" w:color="auto" w:sz="2" w:space="0"/>
                    <w:left w:val="single" w:color="auto" w:sz="2" w:space="0"/>
                    <w:bottom w:val="single" w:color="auto" w:sz="2" w:space="0"/>
                    <w:right w:val="single" w:color="auto" w:sz="2" w:space="0"/>
                  </w:tcBorders>
                  <w:vAlign w:val="center"/>
                </w:tcPr>
                <w:p>
                  <w:pPr>
                    <w:widowControl/>
                    <w:spacing w:line="240" w:lineRule="auto"/>
                    <w:ind w:firstLine="0" w:firstLineChars="0"/>
                    <w:jc w:val="center"/>
                    <w:rPr>
                      <w:b/>
                      <w:kern w:val="0"/>
                      <w:sz w:val="21"/>
                      <w:szCs w:val="21"/>
                    </w:rPr>
                  </w:pPr>
                  <w:r>
                    <w:rPr>
                      <w:rFonts w:hint="eastAsia"/>
                      <w:b/>
                      <w:kern w:val="0"/>
                      <w:sz w:val="21"/>
                      <w:szCs w:val="21"/>
                    </w:rPr>
                    <w:t>年排放量</w:t>
                  </w:r>
                  <w:r>
                    <w:rPr>
                      <w:b/>
                      <w:kern w:val="0"/>
                      <w:sz w:val="21"/>
                      <w:szCs w:val="21"/>
                    </w:rPr>
                    <w:t>/</w:t>
                  </w:r>
                  <w:r>
                    <w:rPr>
                      <w:rFonts w:hint="eastAsia"/>
                      <w:b/>
                      <w:kern w:val="0"/>
                      <w:sz w:val="21"/>
                      <w:szCs w:val="21"/>
                    </w:rPr>
                    <w:t>（</w:t>
                  </w:r>
                  <w:r>
                    <w:rPr>
                      <w:b/>
                      <w:kern w:val="0"/>
                      <w:sz w:val="21"/>
                      <w:szCs w:val="21"/>
                    </w:rPr>
                    <w:t>t/a</w:t>
                  </w:r>
                  <w:r>
                    <w:rPr>
                      <w:rFonts w:hint="eastAsia"/>
                      <w:b/>
                      <w:kern w:val="0"/>
                      <w:sz w:val="21"/>
                      <w:szCs w:val="21"/>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85" w:hRule="atLeast"/>
              </w:trPr>
              <w:tc>
                <w:tcPr>
                  <w:tcW w:w="269" w:type="pct"/>
                  <w:vMerge w:val="continue"/>
                  <w:tcBorders>
                    <w:top w:val="single" w:color="auto" w:sz="2" w:space="0"/>
                    <w:left w:val="single" w:color="auto" w:sz="2" w:space="0"/>
                    <w:bottom w:val="single" w:color="auto" w:sz="2" w:space="0"/>
                    <w:right w:val="single" w:color="auto" w:sz="2" w:space="0"/>
                  </w:tcBorders>
                  <w:vAlign w:val="center"/>
                </w:tcPr>
                <w:p>
                  <w:pPr>
                    <w:widowControl/>
                    <w:spacing w:line="240" w:lineRule="auto"/>
                    <w:ind w:firstLine="0" w:firstLineChars="0"/>
                    <w:jc w:val="center"/>
                    <w:rPr>
                      <w:b/>
                      <w:kern w:val="0"/>
                      <w:sz w:val="21"/>
                      <w:szCs w:val="21"/>
                    </w:rPr>
                  </w:pPr>
                </w:p>
              </w:tc>
              <w:tc>
                <w:tcPr>
                  <w:tcW w:w="751" w:type="pct"/>
                  <w:vMerge w:val="continue"/>
                  <w:tcBorders>
                    <w:left w:val="single" w:color="auto" w:sz="2" w:space="0"/>
                    <w:bottom w:val="single" w:color="auto" w:sz="2" w:space="0"/>
                    <w:right w:val="single" w:color="auto" w:sz="2" w:space="0"/>
                  </w:tcBorders>
                  <w:vAlign w:val="center"/>
                </w:tcPr>
                <w:p>
                  <w:pPr>
                    <w:widowControl/>
                    <w:spacing w:line="240" w:lineRule="auto"/>
                    <w:ind w:firstLine="0" w:firstLineChars="0"/>
                    <w:jc w:val="center"/>
                    <w:rPr>
                      <w:b/>
                      <w:kern w:val="0"/>
                      <w:sz w:val="21"/>
                      <w:szCs w:val="21"/>
                    </w:rPr>
                  </w:pPr>
                </w:p>
              </w:tc>
              <w:tc>
                <w:tcPr>
                  <w:tcW w:w="594" w:type="pct"/>
                  <w:vMerge w:val="continue"/>
                  <w:tcBorders>
                    <w:top w:val="single" w:color="auto" w:sz="2" w:space="0"/>
                    <w:left w:val="single" w:color="auto" w:sz="2" w:space="0"/>
                    <w:bottom w:val="single" w:color="auto" w:sz="2" w:space="0"/>
                    <w:right w:val="single" w:color="auto" w:sz="2" w:space="0"/>
                  </w:tcBorders>
                  <w:vAlign w:val="center"/>
                </w:tcPr>
                <w:p>
                  <w:pPr>
                    <w:widowControl/>
                    <w:spacing w:line="240" w:lineRule="auto"/>
                    <w:ind w:firstLine="0" w:firstLineChars="0"/>
                    <w:jc w:val="center"/>
                    <w:rPr>
                      <w:b/>
                      <w:kern w:val="0"/>
                      <w:sz w:val="21"/>
                      <w:szCs w:val="21"/>
                    </w:rPr>
                  </w:pPr>
                </w:p>
              </w:tc>
              <w:tc>
                <w:tcPr>
                  <w:tcW w:w="644" w:type="pct"/>
                  <w:vMerge w:val="continue"/>
                  <w:tcBorders>
                    <w:top w:val="single" w:color="auto" w:sz="2" w:space="0"/>
                    <w:left w:val="single" w:color="auto" w:sz="2" w:space="0"/>
                    <w:bottom w:val="single" w:color="auto" w:sz="2" w:space="0"/>
                    <w:right w:val="single" w:color="auto" w:sz="2" w:space="0"/>
                  </w:tcBorders>
                  <w:vAlign w:val="center"/>
                </w:tcPr>
                <w:p>
                  <w:pPr>
                    <w:widowControl/>
                    <w:spacing w:line="240" w:lineRule="auto"/>
                    <w:ind w:firstLine="0" w:firstLineChars="0"/>
                    <w:jc w:val="center"/>
                    <w:rPr>
                      <w:b/>
                      <w:kern w:val="0"/>
                      <w:sz w:val="21"/>
                      <w:szCs w:val="21"/>
                    </w:rPr>
                  </w:pPr>
                </w:p>
              </w:tc>
              <w:tc>
                <w:tcPr>
                  <w:tcW w:w="1475" w:type="pct"/>
                  <w:tcBorders>
                    <w:top w:val="single" w:color="auto" w:sz="2" w:space="0"/>
                    <w:left w:val="single" w:color="auto" w:sz="2" w:space="0"/>
                    <w:bottom w:val="single" w:color="auto" w:sz="2" w:space="0"/>
                    <w:right w:val="single" w:color="auto" w:sz="2" w:space="0"/>
                  </w:tcBorders>
                  <w:vAlign w:val="center"/>
                </w:tcPr>
                <w:p>
                  <w:pPr>
                    <w:widowControl/>
                    <w:spacing w:line="240" w:lineRule="auto"/>
                    <w:ind w:firstLine="0" w:firstLineChars="0"/>
                    <w:jc w:val="center"/>
                    <w:rPr>
                      <w:b/>
                      <w:kern w:val="0"/>
                      <w:sz w:val="21"/>
                      <w:szCs w:val="21"/>
                    </w:rPr>
                  </w:pPr>
                  <w:r>
                    <w:rPr>
                      <w:rFonts w:hint="eastAsia"/>
                      <w:b/>
                      <w:kern w:val="0"/>
                      <w:sz w:val="21"/>
                      <w:szCs w:val="21"/>
                    </w:rPr>
                    <w:t>标准名称</w:t>
                  </w:r>
                </w:p>
              </w:tc>
              <w:tc>
                <w:tcPr>
                  <w:tcW w:w="685" w:type="pct"/>
                  <w:tcBorders>
                    <w:top w:val="single" w:color="auto" w:sz="2" w:space="0"/>
                    <w:left w:val="single" w:color="auto" w:sz="2" w:space="0"/>
                    <w:bottom w:val="single" w:color="auto" w:sz="2" w:space="0"/>
                    <w:right w:val="single" w:color="auto" w:sz="2" w:space="0"/>
                  </w:tcBorders>
                  <w:vAlign w:val="center"/>
                </w:tcPr>
                <w:p>
                  <w:pPr>
                    <w:widowControl/>
                    <w:spacing w:line="240" w:lineRule="auto"/>
                    <w:ind w:firstLine="0" w:firstLineChars="0"/>
                    <w:jc w:val="center"/>
                    <w:rPr>
                      <w:b/>
                      <w:kern w:val="0"/>
                      <w:sz w:val="21"/>
                      <w:szCs w:val="21"/>
                    </w:rPr>
                  </w:pPr>
                  <w:r>
                    <w:rPr>
                      <w:rFonts w:hint="eastAsia"/>
                      <w:b/>
                      <w:kern w:val="0"/>
                      <w:sz w:val="21"/>
                      <w:szCs w:val="21"/>
                    </w:rPr>
                    <w:t>浓度限值</w:t>
                  </w:r>
                  <w:r>
                    <w:rPr>
                      <w:b/>
                      <w:kern w:val="0"/>
                      <w:sz w:val="21"/>
                      <w:szCs w:val="21"/>
                    </w:rPr>
                    <w:t>/</w:t>
                  </w:r>
                  <w:r>
                    <w:rPr>
                      <w:rFonts w:hint="eastAsia"/>
                      <w:b/>
                      <w:kern w:val="0"/>
                      <w:sz w:val="21"/>
                      <w:szCs w:val="21"/>
                    </w:rPr>
                    <w:t>（</w:t>
                  </w:r>
                  <w:r>
                    <w:rPr>
                      <w:b/>
                      <w:kern w:val="0"/>
                      <w:sz w:val="21"/>
                      <w:szCs w:val="21"/>
                    </w:rPr>
                    <w:t>μg/m</w:t>
                  </w:r>
                  <w:r>
                    <w:rPr>
                      <w:b/>
                      <w:kern w:val="0"/>
                      <w:sz w:val="21"/>
                      <w:szCs w:val="21"/>
                      <w:vertAlign w:val="superscript"/>
                    </w:rPr>
                    <w:t>3</w:t>
                  </w:r>
                  <w:r>
                    <w:rPr>
                      <w:rFonts w:hint="eastAsia"/>
                      <w:b/>
                      <w:kern w:val="0"/>
                      <w:sz w:val="21"/>
                      <w:szCs w:val="21"/>
                    </w:rPr>
                    <w:t>）</w:t>
                  </w:r>
                </w:p>
              </w:tc>
              <w:tc>
                <w:tcPr>
                  <w:tcW w:w="582" w:type="pct"/>
                  <w:vMerge w:val="continue"/>
                  <w:tcBorders>
                    <w:top w:val="single" w:color="auto" w:sz="2" w:space="0"/>
                    <w:left w:val="single" w:color="auto" w:sz="2" w:space="0"/>
                    <w:bottom w:val="single" w:color="auto" w:sz="2" w:space="0"/>
                    <w:right w:val="single" w:color="auto" w:sz="2" w:space="0"/>
                  </w:tcBorders>
                  <w:vAlign w:val="center"/>
                </w:tcPr>
                <w:p>
                  <w:pPr>
                    <w:widowControl/>
                    <w:spacing w:line="240" w:lineRule="auto"/>
                    <w:ind w:firstLine="0" w:firstLineChars="0"/>
                    <w:jc w:val="center"/>
                    <w:rPr>
                      <w:b/>
                      <w:kern w:val="0"/>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85" w:hRule="atLeast"/>
              </w:trPr>
              <w:tc>
                <w:tcPr>
                  <w:tcW w:w="269" w:type="pct"/>
                  <w:tcBorders>
                    <w:top w:val="single" w:color="auto" w:sz="2" w:space="0"/>
                    <w:left w:val="single" w:color="auto" w:sz="2" w:space="0"/>
                    <w:right w:val="single" w:color="auto" w:sz="2" w:space="0"/>
                  </w:tcBorders>
                  <w:vAlign w:val="center"/>
                </w:tcPr>
                <w:p>
                  <w:pPr>
                    <w:widowControl/>
                    <w:spacing w:line="240" w:lineRule="auto"/>
                    <w:ind w:firstLine="0" w:firstLineChars="0"/>
                    <w:jc w:val="center"/>
                    <w:rPr>
                      <w:kern w:val="0"/>
                      <w:sz w:val="21"/>
                      <w:szCs w:val="21"/>
                    </w:rPr>
                  </w:pPr>
                  <w:r>
                    <w:rPr>
                      <w:kern w:val="0"/>
                      <w:sz w:val="21"/>
                      <w:szCs w:val="21"/>
                    </w:rPr>
                    <w:t>1</w:t>
                  </w:r>
                </w:p>
              </w:tc>
              <w:tc>
                <w:tcPr>
                  <w:tcW w:w="751" w:type="pct"/>
                  <w:tcBorders>
                    <w:top w:val="single" w:color="auto" w:sz="2" w:space="0"/>
                    <w:left w:val="single" w:color="auto" w:sz="2" w:space="0"/>
                    <w:right w:val="single" w:color="auto" w:sz="2" w:space="0"/>
                  </w:tcBorders>
                  <w:vAlign w:val="center"/>
                </w:tcPr>
                <w:p>
                  <w:pPr>
                    <w:widowControl/>
                    <w:spacing w:line="240" w:lineRule="auto"/>
                    <w:ind w:firstLine="0" w:firstLineChars="0"/>
                    <w:jc w:val="center"/>
                    <w:rPr>
                      <w:kern w:val="0"/>
                      <w:sz w:val="21"/>
                      <w:szCs w:val="21"/>
                    </w:rPr>
                  </w:pPr>
                  <w:r>
                    <w:rPr>
                      <w:rFonts w:hint="eastAsia"/>
                      <w:sz w:val="21"/>
                      <w:szCs w:val="21"/>
                    </w:rPr>
                    <w:t>原料库</w:t>
                  </w:r>
                </w:p>
              </w:tc>
              <w:tc>
                <w:tcPr>
                  <w:tcW w:w="594" w:type="pct"/>
                  <w:tcBorders>
                    <w:top w:val="single" w:color="auto" w:sz="2" w:space="0"/>
                    <w:left w:val="single" w:color="auto" w:sz="2" w:space="0"/>
                    <w:right w:val="single" w:color="auto" w:sz="2" w:space="0"/>
                  </w:tcBorders>
                  <w:vAlign w:val="center"/>
                </w:tcPr>
                <w:p>
                  <w:pPr>
                    <w:widowControl/>
                    <w:spacing w:line="240" w:lineRule="auto"/>
                    <w:ind w:firstLine="0" w:firstLineChars="0"/>
                    <w:jc w:val="center"/>
                    <w:rPr>
                      <w:kern w:val="0"/>
                      <w:sz w:val="21"/>
                      <w:szCs w:val="21"/>
                    </w:rPr>
                  </w:pPr>
                  <w:r>
                    <w:rPr>
                      <w:rFonts w:hint="eastAsia"/>
                      <w:kern w:val="0"/>
                      <w:sz w:val="21"/>
                      <w:szCs w:val="21"/>
                    </w:rPr>
                    <w:t>颗粒物</w:t>
                  </w:r>
                </w:p>
              </w:tc>
              <w:tc>
                <w:tcPr>
                  <w:tcW w:w="644" w:type="pct"/>
                  <w:vMerge w:val="restart"/>
                  <w:tcBorders>
                    <w:top w:val="single" w:color="auto" w:sz="2" w:space="0"/>
                    <w:left w:val="single" w:color="auto" w:sz="2" w:space="0"/>
                    <w:right w:val="single" w:color="auto" w:sz="2" w:space="0"/>
                  </w:tcBorders>
                  <w:vAlign w:val="center"/>
                </w:tcPr>
                <w:p>
                  <w:pPr>
                    <w:widowControl/>
                    <w:spacing w:line="240" w:lineRule="auto"/>
                    <w:ind w:firstLine="0" w:firstLineChars="0"/>
                    <w:jc w:val="center"/>
                    <w:rPr>
                      <w:kern w:val="0"/>
                      <w:sz w:val="21"/>
                      <w:szCs w:val="21"/>
                    </w:rPr>
                  </w:pPr>
                  <w:r>
                    <w:rPr>
                      <w:rFonts w:hint="eastAsia"/>
                      <w:kern w:val="0"/>
                      <w:sz w:val="21"/>
                      <w:szCs w:val="21"/>
                    </w:rPr>
                    <w:t>全封闭原料库、成品库，库顶设喷雾抑尘措施</w:t>
                  </w:r>
                </w:p>
              </w:tc>
              <w:tc>
                <w:tcPr>
                  <w:tcW w:w="1475" w:type="pct"/>
                  <w:vMerge w:val="restart"/>
                  <w:tcBorders>
                    <w:top w:val="single" w:color="auto" w:sz="2" w:space="0"/>
                    <w:left w:val="single" w:color="auto" w:sz="2" w:space="0"/>
                    <w:right w:val="single" w:color="auto" w:sz="2" w:space="0"/>
                  </w:tcBorders>
                  <w:vAlign w:val="center"/>
                </w:tcPr>
                <w:p>
                  <w:pPr>
                    <w:widowControl/>
                    <w:spacing w:line="240" w:lineRule="auto"/>
                    <w:ind w:firstLine="0" w:firstLineChars="0"/>
                    <w:jc w:val="center"/>
                    <w:rPr>
                      <w:kern w:val="0"/>
                      <w:sz w:val="21"/>
                      <w:szCs w:val="21"/>
                    </w:rPr>
                  </w:pPr>
                  <w:r>
                    <w:rPr>
                      <w:rFonts w:hint="eastAsia"/>
                      <w:sz w:val="21"/>
                      <w:szCs w:val="21"/>
                    </w:rPr>
                    <w:t>颗粒物排放执行</w:t>
                  </w:r>
                  <w:r>
                    <w:rPr>
                      <w:rFonts w:hint="eastAsia"/>
                      <w:bCs/>
                      <w:sz w:val="21"/>
                      <w:szCs w:val="21"/>
                    </w:rPr>
                    <w:t>《大气污染物综合排放标准》（</w:t>
                  </w:r>
                  <w:r>
                    <w:rPr>
                      <w:bCs/>
                      <w:sz w:val="21"/>
                      <w:szCs w:val="21"/>
                    </w:rPr>
                    <w:t>GB16297-1996</w:t>
                  </w:r>
                  <w:r>
                    <w:rPr>
                      <w:rFonts w:hint="eastAsia"/>
                      <w:bCs/>
                      <w:sz w:val="21"/>
                      <w:szCs w:val="21"/>
                    </w:rPr>
                    <w:t>）表</w:t>
                  </w:r>
                  <w:r>
                    <w:rPr>
                      <w:bCs/>
                      <w:sz w:val="21"/>
                      <w:szCs w:val="21"/>
                    </w:rPr>
                    <w:t>2</w:t>
                  </w:r>
                  <w:r>
                    <w:rPr>
                      <w:rFonts w:hint="eastAsia"/>
                      <w:sz w:val="21"/>
                      <w:szCs w:val="21"/>
                    </w:rPr>
                    <w:t>中厂界排放标准限值</w:t>
                  </w:r>
                </w:p>
              </w:tc>
              <w:tc>
                <w:tcPr>
                  <w:tcW w:w="685" w:type="pct"/>
                  <w:tcBorders>
                    <w:top w:val="single" w:color="auto" w:sz="2" w:space="0"/>
                    <w:left w:val="single" w:color="auto" w:sz="2" w:space="0"/>
                    <w:right w:val="single" w:color="auto" w:sz="2" w:space="0"/>
                  </w:tcBorders>
                  <w:vAlign w:val="center"/>
                </w:tcPr>
                <w:p>
                  <w:pPr>
                    <w:spacing w:line="240" w:lineRule="auto"/>
                    <w:ind w:firstLine="0" w:firstLineChars="0"/>
                    <w:jc w:val="center"/>
                    <w:rPr>
                      <w:kern w:val="0"/>
                      <w:sz w:val="21"/>
                      <w:szCs w:val="21"/>
                    </w:rPr>
                  </w:pPr>
                  <w:r>
                    <w:rPr>
                      <w:rFonts w:hint="eastAsia"/>
                      <w:kern w:val="0"/>
                      <w:sz w:val="21"/>
                      <w:szCs w:val="21"/>
                    </w:rPr>
                    <w:t>1</w:t>
                  </w:r>
                  <w:r>
                    <w:rPr>
                      <w:kern w:val="0"/>
                      <w:sz w:val="21"/>
                      <w:szCs w:val="21"/>
                    </w:rPr>
                    <w:t>000</w:t>
                  </w:r>
                </w:p>
              </w:tc>
              <w:tc>
                <w:tcPr>
                  <w:tcW w:w="582" w:type="pct"/>
                  <w:tcBorders>
                    <w:top w:val="single" w:color="auto" w:sz="2" w:space="0"/>
                    <w:left w:val="single" w:color="auto" w:sz="2" w:space="0"/>
                    <w:right w:val="single" w:color="auto" w:sz="2" w:space="0"/>
                  </w:tcBorders>
                  <w:vAlign w:val="center"/>
                </w:tcPr>
                <w:p>
                  <w:pPr>
                    <w:spacing w:line="240" w:lineRule="auto"/>
                    <w:ind w:firstLine="0" w:firstLineChars="0"/>
                    <w:jc w:val="center"/>
                    <w:textAlignment w:val="center"/>
                    <w:rPr>
                      <w:sz w:val="21"/>
                      <w:szCs w:val="21"/>
                    </w:rPr>
                  </w:pPr>
                  <w:r>
                    <w:rPr>
                      <w:sz w:val="21"/>
                      <w:szCs w:val="21"/>
                    </w:rPr>
                    <w:t>0.28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69" w:type="pct"/>
                  <w:tcBorders>
                    <w:top w:val="single" w:color="auto" w:sz="2" w:space="0"/>
                    <w:left w:val="single" w:color="auto" w:sz="2" w:space="0"/>
                    <w:right w:val="single" w:color="auto" w:sz="2" w:space="0"/>
                  </w:tcBorders>
                  <w:vAlign w:val="center"/>
                </w:tcPr>
                <w:p>
                  <w:pPr>
                    <w:widowControl/>
                    <w:spacing w:line="240" w:lineRule="auto"/>
                    <w:ind w:firstLine="0" w:firstLineChars="0"/>
                    <w:jc w:val="center"/>
                    <w:rPr>
                      <w:kern w:val="0"/>
                      <w:sz w:val="21"/>
                      <w:szCs w:val="21"/>
                    </w:rPr>
                  </w:pPr>
                  <w:r>
                    <w:rPr>
                      <w:kern w:val="0"/>
                      <w:sz w:val="21"/>
                      <w:szCs w:val="21"/>
                    </w:rPr>
                    <w:t>2</w:t>
                  </w:r>
                </w:p>
              </w:tc>
              <w:tc>
                <w:tcPr>
                  <w:tcW w:w="751" w:type="pct"/>
                  <w:tcBorders>
                    <w:top w:val="single" w:color="auto" w:sz="2" w:space="0"/>
                    <w:left w:val="single" w:color="auto" w:sz="2" w:space="0"/>
                    <w:right w:val="single" w:color="auto" w:sz="2" w:space="0"/>
                  </w:tcBorders>
                  <w:vAlign w:val="center"/>
                </w:tcPr>
                <w:p>
                  <w:pPr>
                    <w:widowControl/>
                    <w:spacing w:line="240" w:lineRule="auto"/>
                    <w:ind w:firstLine="0" w:firstLineChars="0"/>
                    <w:jc w:val="center"/>
                    <w:rPr>
                      <w:sz w:val="21"/>
                      <w:szCs w:val="21"/>
                    </w:rPr>
                  </w:pPr>
                  <w:r>
                    <w:rPr>
                      <w:rFonts w:hint="eastAsia"/>
                      <w:sz w:val="21"/>
                      <w:szCs w:val="21"/>
                    </w:rPr>
                    <w:t>运输</w:t>
                  </w:r>
                </w:p>
              </w:tc>
              <w:tc>
                <w:tcPr>
                  <w:tcW w:w="594" w:type="pct"/>
                  <w:tcBorders>
                    <w:top w:val="single" w:color="auto" w:sz="2" w:space="0"/>
                    <w:left w:val="single" w:color="auto" w:sz="2" w:space="0"/>
                    <w:right w:val="single" w:color="auto" w:sz="2" w:space="0"/>
                  </w:tcBorders>
                  <w:vAlign w:val="center"/>
                </w:tcPr>
                <w:p>
                  <w:pPr>
                    <w:widowControl/>
                    <w:spacing w:line="240" w:lineRule="auto"/>
                    <w:ind w:firstLine="0" w:firstLineChars="0"/>
                    <w:jc w:val="center"/>
                    <w:rPr>
                      <w:kern w:val="0"/>
                      <w:sz w:val="21"/>
                      <w:szCs w:val="21"/>
                    </w:rPr>
                  </w:pPr>
                  <w:r>
                    <w:rPr>
                      <w:rFonts w:hint="eastAsia"/>
                      <w:kern w:val="0"/>
                      <w:sz w:val="21"/>
                      <w:szCs w:val="21"/>
                    </w:rPr>
                    <w:t>颗粒物</w:t>
                  </w:r>
                </w:p>
              </w:tc>
              <w:tc>
                <w:tcPr>
                  <w:tcW w:w="644" w:type="pct"/>
                  <w:vMerge w:val="continue"/>
                  <w:tcBorders>
                    <w:left w:val="single" w:color="auto" w:sz="2" w:space="0"/>
                    <w:bottom w:val="single" w:color="auto" w:sz="2" w:space="0"/>
                    <w:right w:val="single" w:color="auto" w:sz="2" w:space="0"/>
                  </w:tcBorders>
                  <w:vAlign w:val="center"/>
                </w:tcPr>
                <w:p>
                  <w:pPr>
                    <w:widowControl/>
                    <w:spacing w:line="240" w:lineRule="auto"/>
                    <w:ind w:firstLine="0" w:firstLineChars="0"/>
                    <w:jc w:val="center"/>
                    <w:rPr>
                      <w:kern w:val="0"/>
                      <w:sz w:val="21"/>
                      <w:szCs w:val="21"/>
                    </w:rPr>
                  </w:pPr>
                </w:p>
              </w:tc>
              <w:tc>
                <w:tcPr>
                  <w:tcW w:w="1475" w:type="pct"/>
                  <w:vMerge w:val="continue"/>
                  <w:tcBorders>
                    <w:left w:val="single" w:color="auto" w:sz="2" w:space="0"/>
                    <w:bottom w:val="single" w:color="auto" w:sz="2" w:space="0"/>
                    <w:right w:val="single" w:color="auto" w:sz="2" w:space="0"/>
                  </w:tcBorders>
                  <w:vAlign w:val="center"/>
                </w:tcPr>
                <w:p>
                  <w:pPr>
                    <w:widowControl/>
                    <w:spacing w:line="240" w:lineRule="auto"/>
                    <w:ind w:firstLine="0" w:firstLineChars="0"/>
                    <w:jc w:val="center"/>
                    <w:rPr>
                      <w:sz w:val="21"/>
                      <w:szCs w:val="21"/>
                    </w:rPr>
                  </w:pPr>
                </w:p>
              </w:tc>
              <w:tc>
                <w:tcPr>
                  <w:tcW w:w="685" w:type="pct"/>
                  <w:tcBorders>
                    <w:top w:val="single" w:color="auto" w:sz="2" w:space="0"/>
                    <w:left w:val="single" w:color="auto" w:sz="2" w:space="0"/>
                    <w:right w:val="single" w:color="auto" w:sz="2" w:space="0"/>
                  </w:tcBorders>
                  <w:vAlign w:val="center"/>
                </w:tcPr>
                <w:p>
                  <w:pPr>
                    <w:spacing w:line="240" w:lineRule="auto"/>
                    <w:ind w:firstLine="0" w:firstLineChars="0"/>
                    <w:jc w:val="center"/>
                    <w:rPr>
                      <w:kern w:val="0"/>
                      <w:sz w:val="21"/>
                      <w:szCs w:val="21"/>
                    </w:rPr>
                  </w:pPr>
                  <w:r>
                    <w:rPr>
                      <w:rFonts w:hint="eastAsia"/>
                      <w:kern w:val="0"/>
                      <w:sz w:val="21"/>
                      <w:szCs w:val="21"/>
                    </w:rPr>
                    <w:t>1</w:t>
                  </w:r>
                  <w:r>
                    <w:rPr>
                      <w:kern w:val="0"/>
                      <w:sz w:val="21"/>
                      <w:szCs w:val="21"/>
                    </w:rPr>
                    <w:t>000</w:t>
                  </w:r>
                </w:p>
              </w:tc>
              <w:tc>
                <w:tcPr>
                  <w:tcW w:w="582" w:type="pct"/>
                  <w:tcBorders>
                    <w:top w:val="single" w:color="auto" w:sz="2" w:space="0"/>
                    <w:left w:val="single" w:color="auto" w:sz="2" w:space="0"/>
                    <w:right w:val="single" w:color="auto" w:sz="2" w:space="0"/>
                  </w:tcBorders>
                  <w:vAlign w:val="center"/>
                </w:tcPr>
                <w:p>
                  <w:pPr>
                    <w:spacing w:line="240" w:lineRule="auto"/>
                    <w:ind w:firstLine="0" w:firstLineChars="0"/>
                    <w:jc w:val="center"/>
                    <w:textAlignment w:val="center"/>
                    <w:rPr>
                      <w:sz w:val="21"/>
                      <w:szCs w:val="21"/>
                    </w:rPr>
                  </w:pPr>
                  <w:r>
                    <w:rPr>
                      <w:sz w:val="21"/>
                      <w:szCs w:val="21"/>
                    </w:rPr>
                    <w:t>0.42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5000" w:type="pct"/>
                  <w:gridSpan w:val="7"/>
                  <w:tcBorders>
                    <w:top w:val="single" w:color="auto" w:sz="2" w:space="0"/>
                    <w:left w:val="single" w:color="auto" w:sz="2" w:space="0"/>
                    <w:bottom w:val="single" w:color="auto" w:sz="2" w:space="0"/>
                    <w:right w:val="single" w:color="auto" w:sz="2" w:space="0"/>
                  </w:tcBorders>
                  <w:vAlign w:val="center"/>
                </w:tcPr>
                <w:p>
                  <w:pPr>
                    <w:widowControl/>
                    <w:spacing w:line="240" w:lineRule="auto"/>
                    <w:ind w:firstLine="0" w:firstLineChars="0"/>
                    <w:jc w:val="center"/>
                    <w:rPr>
                      <w:kern w:val="0"/>
                      <w:sz w:val="21"/>
                      <w:szCs w:val="21"/>
                    </w:rPr>
                  </w:pPr>
                  <w:r>
                    <w:rPr>
                      <w:rFonts w:hint="eastAsia"/>
                      <w:kern w:val="0"/>
                      <w:sz w:val="21"/>
                      <w:szCs w:val="21"/>
                    </w:rPr>
                    <w:t>无组织排放总计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14" w:type="pct"/>
                  <w:gridSpan w:val="3"/>
                  <w:tcBorders>
                    <w:top w:val="single" w:color="auto" w:sz="2" w:space="0"/>
                    <w:left w:val="single" w:color="auto" w:sz="2" w:space="0"/>
                    <w:bottom w:val="single" w:color="auto" w:sz="2" w:space="0"/>
                    <w:right w:val="single" w:color="auto" w:sz="2" w:space="0"/>
                  </w:tcBorders>
                  <w:vAlign w:val="center"/>
                </w:tcPr>
                <w:p>
                  <w:pPr>
                    <w:widowControl/>
                    <w:spacing w:line="240" w:lineRule="auto"/>
                    <w:ind w:firstLine="0" w:firstLineChars="0"/>
                    <w:jc w:val="center"/>
                    <w:rPr>
                      <w:kern w:val="0"/>
                      <w:sz w:val="21"/>
                      <w:szCs w:val="21"/>
                    </w:rPr>
                  </w:pPr>
                  <w:r>
                    <w:rPr>
                      <w:rFonts w:hint="eastAsia"/>
                      <w:kern w:val="0"/>
                      <w:sz w:val="21"/>
                      <w:szCs w:val="21"/>
                    </w:rPr>
                    <w:t>无组织排放总计</w:t>
                  </w:r>
                </w:p>
              </w:tc>
              <w:tc>
                <w:tcPr>
                  <w:tcW w:w="2119" w:type="pct"/>
                  <w:gridSpan w:val="2"/>
                  <w:tcBorders>
                    <w:top w:val="single" w:color="auto" w:sz="2" w:space="0"/>
                    <w:left w:val="single" w:color="auto" w:sz="2" w:space="0"/>
                    <w:bottom w:val="single" w:color="auto" w:sz="2" w:space="0"/>
                    <w:right w:val="single" w:color="auto" w:sz="2" w:space="0"/>
                  </w:tcBorders>
                  <w:vAlign w:val="center"/>
                </w:tcPr>
                <w:p>
                  <w:pPr>
                    <w:widowControl/>
                    <w:spacing w:line="240" w:lineRule="auto"/>
                    <w:ind w:firstLine="0" w:firstLineChars="0"/>
                    <w:jc w:val="center"/>
                    <w:rPr>
                      <w:kern w:val="0"/>
                      <w:sz w:val="21"/>
                      <w:szCs w:val="21"/>
                    </w:rPr>
                  </w:pPr>
                  <w:r>
                    <w:rPr>
                      <w:rFonts w:hint="eastAsia"/>
                      <w:kern w:val="0"/>
                      <w:sz w:val="21"/>
                      <w:szCs w:val="21"/>
                    </w:rPr>
                    <w:t>颗粒物</w:t>
                  </w:r>
                </w:p>
              </w:tc>
              <w:tc>
                <w:tcPr>
                  <w:tcW w:w="1267" w:type="pct"/>
                  <w:gridSpan w:val="2"/>
                  <w:tcBorders>
                    <w:top w:val="single" w:color="auto" w:sz="2" w:space="0"/>
                    <w:left w:val="single" w:color="auto" w:sz="2" w:space="0"/>
                    <w:bottom w:val="single" w:color="auto" w:sz="2" w:space="0"/>
                    <w:right w:val="single" w:color="auto" w:sz="2" w:space="0"/>
                  </w:tcBorders>
                  <w:vAlign w:val="center"/>
                </w:tcPr>
                <w:p>
                  <w:pPr>
                    <w:widowControl/>
                    <w:spacing w:line="240" w:lineRule="auto"/>
                    <w:ind w:firstLine="0" w:firstLineChars="0"/>
                    <w:jc w:val="center"/>
                    <w:textAlignment w:val="center"/>
                    <w:rPr>
                      <w:sz w:val="21"/>
                      <w:szCs w:val="21"/>
                    </w:rPr>
                  </w:pPr>
                  <w:r>
                    <w:rPr>
                      <w:sz w:val="21"/>
                      <w:szCs w:val="21"/>
                    </w:rPr>
                    <w:t>0.7</w:t>
                  </w:r>
                </w:p>
              </w:tc>
            </w:tr>
            <w:bookmarkEnd w:id="17"/>
          </w:tbl>
          <w:p>
            <w:pPr>
              <w:pStyle w:val="144"/>
              <w:spacing w:before="0" w:after="0"/>
              <w:ind w:firstLine="470" w:firstLineChars="196"/>
            </w:pPr>
            <w:r>
              <w:rPr>
                <w:rFonts w:hint="eastAsia"/>
              </w:rPr>
              <w:t>⑥环境监测计划</w:t>
            </w:r>
          </w:p>
          <w:p>
            <w:pPr>
              <w:pStyle w:val="172"/>
              <w:ind w:firstLine="480" w:firstLineChars="200"/>
              <w:rPr>
                <w:rFonts w:ascii="Times New Roman" w:hAnsi="宋体" w:eastAsia="宋体"/>
              </w:rPr>
            </w:pPr>
            <w:r>
              <w:rPr>
                <w:rFonts w:hint="eastAsia" w:ascii="Times New Roman" w:hAnsi="宋体" w:eastAsia="宋体"/>
              </w:rPr>
              <w:t>根据《环境影响评价技术导则</w:t>
            </w:r>
            <w:r>
              <w:rPr>
                <w:rFonts w:ascii="Times New Roman" w:hAnsi="宋体" w:eastAsia="宋体"/>
              </w:rPr>
              <w:t>-</w:t>
            </w:r>
            <w:r>
              <w:rPr>
                <w:rFonts w:hint="eastAsia" w:ascii="Times New Roman" w:hAnsi="宋体" w:eastAsia="宋体"/>
              </w:rPr>
              <w:t>大气环境》（</w:t>
            </w:r>
            <w:r>
              <w:rPr>
                <w:rFonts w:ascii="Times New Roman" w:hAnsi="宋体" w:eastAsia="宋体"/>
              </w:rPr>
              <w:t>HJ2.2-2018</w:t>
            </w:r>
            <w:r>
              <w:rPr>
                <w:rFonts w:hint="eastAsia" w:ascii="Times New Roman" w:hAnsi="宋体" w:eastAsia="宋体"/>
              </w:rPr>
              <w:t>），二级评价项目只需进行污染源监测。</w:t>
            </w:r>
          </w:p>
          <w:p>
            <w:pPr>
              <w:ind w:firstLine="480"/>
            </w:pPr>
            <w:r>
              <w:rPr>
                <w:rFonts w:hint="eastAsia"/>
                <w:bCs/>
              </w:rPr>
              <w:t>根据本项目污染源情况，确定本项目污染源监测计划见下表。</w:t>
            </w:r>
          </w:p>
          <w:p>
            <w:pPr>
              <w:ind w:firstLine="0" w:firstLineChars="0"/>
              <w:jc w:val="center"/>
              <w:rPr>
                <w:rFonts w:ascii="黑体" w:hAnsi="黑体" w:eastAsia="黑体"/>
                <w:kern w:val="0"/>
              </w:rPr>
            </w:pPr>
          </w:p>
          <w:p>
            <w:pPr>
              <w:ind w:firstLine="0" w:firstLineChars="0"/>
              <w:jc w:val="center"/>
              <w:rPr>
                <w:rFonts w:ascii="黑体" w:hAnsi="黑体" w:eastAsia="黑体"/>
                <w:kern w:val="0"/>
              </w:rPr>
            </w:pPr>
            <w:r>
              <w:rPr>
                <w:rFonts w:hint="eastAsia" w:ascii="黑体" w:hAnsi="黑体" w:eastAsia="黑体"/>
                <w:kern w:val="0"/>
              </w:rPr>
              <w:t>表</w:t>
            </w:r>
            <w:r>
              <w:rPr>
                <w:rFonts w:ascii="黑体" w:hAnsi="黑体" w:eastAsia="黑体"/>
                <w:bCs/>
              </w:rPr>
              <w:t>41</w:t>
            </w:r>
            <w:r>
              <w:rPr>
                <w:rFonts w:hint="eastAsia" w:ascii="黑体" w:hAnsi="黑体" w:eastAsia="黑体"/>
                <w:kern w:val="0"/>
              </w:rPr>
              <w:t xml:space="preserve"> </w:t>
            </w:r>
            <w:r>
              <w:rPr>
                <w:rFonts w:ascii="黑体" w:hAnsi="黑体" w:eastAsia="黑体"/>
                <w:kern w:val="0"/>
              </w:rPr>
              <w:t xml:space="preserve"> </w:t>
            </w:r>
            <w:r>
              <w:rPr>
                <w:rFonts w:hint="eastAsia" w:ascii="黑体" w:hAnsi="黑体" w:eastAsia="黑体"/>
                <w:kern w:val="0"/>
              </w:rPr>
              <w:t>有组织废气监测方案</w:t>
            </w:r>
          </w:p>
          <w:tbl>
            <w:tblPr>
              <w:tblStyle w:val="7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45"/>
              <w:gridCol w:w="1473"/>
              <w:gridCol w:w="1620"/>
              <w:gridCol w:w="18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87"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监测点位</w:t>
                  </w:r>
                </w:p>
              </w:tc>
              <w:tc>
                <w:tcPr>
                  <w:tcW w:w="813"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监测指标</w:t>
                  </w:r>
                </w:p>
              </w:tc>
              <w:tc>
                <w:tcPr>
                  <w:tcW w:w="894"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监测频次</w:t>
                  </w:r>
                </w:p>
              </w:tc>
              <w:tc>
                <w:tcPr>
                  <w:tcW w:w="1006"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87"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kern w:val="0"/>
                      <w:sz w:val="21"/>
                      <w:szCs w:val="21"/>
                    </w:rPr>
                  </w:pPr>
                  <w:r>
                    <w:rPr>
                      <w:rFonts w:hint="eastAsia"/>
                      <w:sz w:val="21"/>
                      <w:szCs w:val="21"/>
                    </w:rPr>
                    <w:t>建筑骨料生产线粗破、反击破系统粉尘排气筒D</w:t>
                  </w:r>
                  <w:r>
                    <w:rPr>
                      <w:sz w:val="21"/>
                      <w:szCs w:val="21"/>
                    </w:rPr>
                    <w:t>A001</w:t>
                  </w:r>
                </w:p>
              </w:tc>
              <w:tc>
                <w:tcPr>
                  <w:tcW w:w="813"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颗粒物</w:t>
                  </w:r>
                </w:p>
              </w:tc>
              <w:tc>
                <w:tcPr>
                  <w:tcW w:w="894"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ascii="Times New Roman" w:hAnsi="Times New Roman" w:eastAsia="宋体"/>
                      <w:sz w:val="21"/>
                      <w:szCs w:val="21"/>
                    </w:rPr>
                    <w:t>1</w:t>
                  </w:r>
                  <w:r>
                    <w:rPr>
                      <w:rFonts w:hint="eastAsia" w:ascii="Times New Roman" w:hAnsi="Times New Roman" w:eastAsia="宋体"/>
                      <w:sz w:val="21"/>
                      <w:szCs w:val="21"/>
                    </w:rPr>
                    <w:t>次</w:t>
                  </w:r>
                  <w:r>
                    <w:rPr>
                      <w:rFonts w:ascii="Times New Roman" w:hAnsi="Times New Roman" w:eastAsia="宋体"/>
                      <w:sz w:val="21"/>
                      <w:szCs w:val="21"/>
                    </w:rPr>
                    <w:t>/</w:t>
                  </w:r>
                  <w:r>
                    <w:rPr>
                      <w:rFonts w:hint="eastAsia" w:ascii="Times New Roman" w:hAnsi="Times New Roman" w:eastAsia="宋体"/>
                      <w:sz w:val="21"/>
                      <w:szCs w:val="21"/>
                    </w:rPr>
                    <w:t>年</w:t>
                  </w:r>
                </w:p>
              </w:tc>
              <w:tc>
                <w:tcPr>
                  <w:tcW w:w="1006" w:type="pct"/>
                  <w:vMerge w:val="restart"/>
                  <w:tcBorders>
                    <w:top w:val="single" w:color="auto" w:sz="4" w:space="0"/>
                    <w:left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《大气污染物综合排放标准》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87"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kern w:val="0"/>
                      <w:sz w:val="21"/>
                      <w:szCs w:val="21"/>
                    </w:rPr>
                  </w:pPr>
                  <w:r>
                    <w:rPr>
                      <w:rFonts w:hint="eastAsia"/>
                      <w:sz w:val="21"/>
                      <w:szCs w:val="21"/>
                    </w:rPr>
                    <w:t>建筑骨料生产线冲击破系统产生的粉尘排气筒D</w:t>
                  </w:r>
                  <w:r>
                    <w:rPr>
                      <w:sz w:val="21"/>
                      <w:szCs w:val="21"/>
                    </w:rPr>
                    <w:t>A002</w:t>
                  </w:r>
                </w:p>
              </w:tc>
              <w:tc>
                <w:tcPr>
                  <w:tcW w:w="813"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颗粒物</w:t>
                  </w:r>
                </w:p>
              </w:tc>
              <w:tc>
                <w:tcPr>
                  <w:tcW w:w="894"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ascii="Times New Roman" w:hAnsi="Times New Roman" w:eastAsia="宋体"/>
                      <w:sz w:val="21"/>
                      <w:szCs w:val="21"/>
                    </w:rPr>
                    <w:t>1</w:t>
                  </w:r>
                  <w:r>
                    <w:rPr>
                      <w:rFonts w:hint="eastAsia" w:ascii="Times New Roman" w:hAnsi="Times New Roman" w:eastAsia="宋体"/>
                      <w:sz w:val="21"/>
                      <w:szCs w:val="21"/>
                    </w:rPr>
                    <w:t>次</w:t>
                  </w:r>
                  <w:r>
                    <w:rPr>
                      <w:rFonts w:ascii="Times New Roman" w:hAnsi="Times New Roman" w:eastAsia="宋体"/>
                      <w:sz w:val="21"/>
                      <w:szCs w:val="21"/>
                    </w:rPr>
                    <w:t>/</w:t>
                  </w:r>
                  <w:r>
                    <w:rPr>
                      <w:rFonts w:hint="eastAsia" w:ascii="Times New Roman" w:hAnsi="Times New Roman" w:eastAsia="宋体"/>
                      <w:sz w:val="21"/>
                      <w:szCs w:val="21"/>
                    </w:rPr>
                    <w:t>年</w:t>
                  </w:r>
                </w:p>
              </w:tc>
              <w:tc>
                <w:tcPr>
                  <w:tcW w:w="1006" w:type="pct"/>
                  <w:vMerge w:val="continue"/>
                  <w:tcBorders>
                    <w:left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87"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kern w:val="0"/>
                      <w:sz w:val="21"/>
                      <w:szCs w:val="21"/>
                    </w:rPr>
                  </w:pPr>
                  <w:r>
                    <w:rPr>
                      <w:rFonts w:hint="eastAsia"/>
                      <w:sz w:val="21"/>
                      <w:szCs w:val="21"/>
                    </w:rPr>
                    <w:t>微粉生产线鄂破系统产生的粉尘排气筒D</w:t>
                  </w:r>
                  <w:r>
                    <w:rPr>
                      <w:sz w:val="21"/>
                      <w:szCs w:val="21"/>
                    </w:rPr>
                    <w:t>A003</w:t>
                  </w:r>
                </w:p>
              </w:tc>
              <w:tc>
                <w:tcPr>
                  <w:tcW w:w="813"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kern w:val="0"/>
                      <w:sz w:val="21"/>
                      <w:szCs w:val="21"/>
                    </w:rPr>
                  </w:pPr>
                  <w:r>
                    <w:rPr>
                      <w:rFonts w:hint="eastAsia"/>
                      <w:sz w:val="21"/>
                      <w:szCs w:val="21"/>
                    </w:rPr>
                    <w:t>颗粒物</w:t>
                  </w:r>
                </w:p>
              </w:tc>
              <w:tc>
                <w:tcPr>
                  <w:tcW w:w="894"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ascii="Times New Roman" w:hAnsi="Times New Roman" w:eastAsia="宋体"/>
                      <w:sz w:val="21"/>
                      <w:szCs w:val="21"/>
                    </w:rPr>
                    <w:t>1</w:t>
                  </w:r>
                  <w:r>
                    <w:rPr>
                      <w:rFonts w:hint="eastAsia" w:ascii="Times New Roman" w:hAnsi="Times New Roman" w:eastAsia="宋体"/>
                      <w:sz w:val="21"/>
                      <w:szCs w:val="21"/>
                    </w:rPr>
                    <w:t>次</w:t>
                  </w:r>
                  <w:r>
                    <w:rPr>
                      <w:rFonts w:ascii="Times New Roman" w:hAnsi="Times New Roman" w:eastAsia="宋体"/>
                      <w:sz w:val="21"/>
                      <w:szCs w:val="21"/>
                    </w:rPr>
                    <w:t>/</w:t>
                  </w:r>
                  <w:r>
                    <w:rPr>
                      <w:rFonts w:hint="eastAsia" w:ascii="Times New Roman" w:hAnsi="Times New Roman" w:eastAsia="宋体"/>
                      <w:sz w:val="21"/>
                      <w:szCs w:val="21"/>
                    </w:rPr>
                    <w:t>年</w:t>
                  </w:r>
                </w:p>
              </w:tc>
              <w:tc>
                <w:tcPr>
                  <w:tcW w:w="1006" w:type="pct"/>
                  <w:vMerge w:val="continue"/>
                  <w:tcBorders>
                    <w:left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87"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kern w:val="0"/>
                      <w:sz w:val="21"/>
                      <w:szCs w:val="21"/>
                    </w:rPr>
                  </w:pPr>
                  <w:r>
                    <w:rPr>
                      <w:rFonts w:hint="eastAsia"/>
                      <w:sz w:val="21"/>
                      <w:szCs w:val="21"/>
                    </w:rPr>
                    <w:t>微粉生产线超细破碎机系统产生的粉尘排气筒D</w:t>
                  </w:r>
                  <w:r>
                    <w:rPr>
                      <w:sz w:val="21"/>
                      <w:szCs w:val="21"/>
                    </w:rPr>
                    <w:t>A004</w:t>
                  </w:r>
                </w:p>
              </w:tc>
              <w:tc>
                <w:tcPr>
                  <w:tcW w:w="813"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sz w:val="21"/>
                      <w:szCs w:val="21"/>
                    </w:rPr>
                  </w:pPr>
                  <w:r>
                    <w:rPr>
                      <w:rFonts w:hint="eastAsia"/>
                      <w:sz w:val="21"/>
                      <w:szCs w:val="21"/>
                    </w:rPr>
                    <w:t>颗粒物</w:t>
                  </w:r>
                </w:p>
              </w:tc>
              <w:tc>
                <w:tcPr>
                  <w:tcW w:w="894"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ascii="Times New Roman" w:hAnsi="Times New Roman" w:eastAsia="宋体"/>
                      <w:sz w:val="21"/>
                      <w:szCs w:val="21"/>
                    </w:rPr>
                    <w:t>1</w:t>
                  </w:r>
                  <w:r>
                    <w:rPr>
                      <w:rFonts w:hint="eastAsia" w:ascii="Times New Roman" w:hAnsi="Times New Roman" w:eastAsia="宋体"/>
                      <w:sz w:val="21"/>
                      <w:szCs w:val="21"/>
                    </w:rPr>
                    <w:t>次</w:t>
                  </w:r>
                  <w:r>
                    <w:rPr>
                      <w:rFonts w:ascii="Times New Roman" w:hAnsi="Times New Roman" w:eastAsia="宋体"/>
                      <w:sz w:val="21"/>
                      <w:szCs w:val="21"/>
                    </w:rPr>
                    <w:t>/</w:t>
                  </w:r>
                  <w:r>
                    <w:rPr>
                      <w:rFonts w:hint="eastAsia" w:ascii="Times New Roman" w:hAnsi="Times New Roman" w:eastAsia="宋体"/>
                      <w:sz w:val="21"/>
                      <w:szCs w:val="21"/>
                    </w:rPr>
                    <w:t>年</w:t>
                  </w:r>
                </w:p>
              </w:tc>
              <w:tc>
                <w:tcPr>
                  <w:tcW w:w="1006" w:type="pct"/>
                  <w:vMerge w:val="continue"/>
                  <w:tcBorders>
                    <w:left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p>
              </w:tc>
            </w:tr>
          </w:tbl>
          <w:p>
            <w:pPr>
              <w:ind w:firstLine="0" w:firstLineChars="0"/>
              <w:jc w:val="center"/>
              <w:rPr>
                <w:rFonts w:ascii="黑体" w:hAnsi="黑体" w:eastAsia="黑体"/>
                <w:kern w:val="0"/>
              </w:rPr>
            </w:pPr>
            <w:r>
              <w:rPr>
                <w:rFonts w:hint="eastAsia" w:ascii="黑体" w:hAnsi="黑体" w:eastAsia="黑体"/>
                <w:kern w:val="0"/>
              </w:rPr>
              <w:t>表</w:t>
            </w:r>
            <w:r>
              <w:rPr>
                <w:bCs/>
              </w:rPr>
              <w:t xml:space="preserve">42 </w:t>
            </w:r>
            <w:r>
              <w:rPr>
                <w:rFonts w:hint="eastAsia" w:ascii="黑体" w:hAnsi="黑体" w:eastAsia="黑体"/>
                <w:kern w:val="0"/>
              </w:rPr>
              <w:t xml:space="preserve"> 无组织废气监测方案</w:t>
            </w:r>
          </w:p>
          <w:tbl>
            <w:tblPr>
              <w:tblStyle w:val="7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3"/>
              <w:gridCol w:w="1889"/>
              <w:gridCol w:w="1745"/>
              <w:gridCol w:w="36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监测点位</w:t>
                  </w:r>
                </w:p>
              </w:tc>
              <w:tc>
                <w:tcPr>
                  <w:tcW w:w="1042"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监测指标</w:t>
                  </w:r>
                </w:p>
              </w:tc>
              <w:tc>
                <w:tcPr>
                  <w:tcW w:w="963"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监测频次</w:t>
                  </w:r>
                </w:p>
              </w:tc>
              <w:tc>
                <w:tcPr>
                  <w:tcW w:w="2022"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kern w:val="0"/>
                      <w:sz w:val="21"/>
                      <w:szCs w:val="21"/>
                    </w:rPr>
                  </w:pPr>
                  <w:r>
                    <w:rPr>
                      <w:rFonts w:hint="eastAsia"/>
                      <w:bCs/>
                      <w:kern w:val="0"/>
                      <w:sz w:val="21"/>
                      <w:szCs w:val="21"/>
                    </w:rPr>
                    <w:t>厂界</w:t>
                  </w:r>
                </w:p>
              </w:tc>
              <w:tc>
                <w:tcPr>
                  <w:tcW w:w="1042"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颗粒物</w:t>
                  </w:r>
                </w:p>
              </w:tc>
              <w:tc>
                <w:tcPr>
                  <w:tcW w:w="963"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ascii="Times New Roman" w:hAnsi="Times New Roman" w:eastAsia="宋体"/>
                      <w:sz w:val="21"/>
                      <w:szCs w:val="21"/>
                    </w:rPr>
                    <w:t>1</w:t>
                  </w:r>
                  <w:r>
                    <w:rPr>
                      <w:rFonts w:hint="eastAsia" w:ascii="Times New Roman" w:hAnsi="Times New Roman" w:eastAsia="宋体"/>
                      <w:sz w:val="21"/>
                      <w:szCs w:val="21"/>
                    </w:rPr>
                    <w:t>次</w:t>
                  </w:r>
                  <w:r>
                    <w:rPr>
                      <w:rFonts w:ascii="Times New Roman" w:hAnsi="Times New Roman" w:eastAsia="宋体"/>
                      <w:sz w:val="21"/>
                      <w:szCs w:val="21"/>
                    </w:rPr>
                    <w:t>/</w:t>
                  </w:r>
                  <w:r>
                    <w:rPr>
                      <w:rFonts w:hint="eastAsia" w:ascii="Times New Roman" w:hAnsi="Times New Roman" w:eastAsia="宋体"/>
                      <w:sz w:val="21"/>
                      <w:szCs w:val="21"/>
                    </w:rPr>
                    <w:t>年</w:t>
                  </w:r>
                </w:p>
              </w:tc>
              <w:tc>
                <w:tcPr>
                  <w:tcW w:w="2022"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《大气污染物综合排放标准》</w:t>
                  </w:r>
                </w:p>
              </w:tc>
            </w:tr>
          </w:tbl>
          <w:p>
            <w:pPr>
              <w:pStyle w:val="172"/>
              <w:ind w:firstLine="480" w:firstLineChars="200"/>
              <w:rPr>
                <w:rFonts w:ascii="Times New Roman" w:hAnsi="宋体" w:eastAsia="宋体"/>
              </w:rPr>
            </w:pPr>
            <w:r>
              <w:rPr>
                <w:rFonts w:hint="eastAsia" w:ascii="Times New Roman" w:hAnsi="宋体" w:eastAsia="宋体"/>
              </w:rPr>
              <w:t>⑦信息报告和信息公开</w:t>
            </w:r>
          </w:p>
          <w:p>
            <w:pPr>
              <w:ind w:firstLine="480"/>
              <w:rPr>
                <w:bCs/>
              </w:rPr>
            </w:pPr>
            <w:r>
              <w:rPr>
                <w:rFonts w:hint="eastAsia"/>
                <w:bCs/>
              </w:rPr>
              <w:t>建设单位应编写自行监测年度报告，年度报告至少应包含以下内容：监测方案的调整变化情况及变更原因；企业及各主要生产设施全年运行天数，各监测点、各监测指标全年监测次数、超标情况、浓度分布情况；自行监测开展的其他情况说明；建设单位实现达标排放所采取的主要措施。</w:t>
            </w:r>
          </w:p>
          <w:p>
            <w:pPr>
              <w:ind w:firstLine="480"/>
              <w:rPr>
                <w:bCs/>
              </w:rPr>
            </w:pPr>
            <w:r>
              <w:rPr>
                <w:rFonts w:hint="eastAsia"/>
                <w:bCs/>
              </w:rPr>
              <w:t>建设单位自行监测信息公开内容及方式按照《企业事业单位合计信息公开办法》（环境保护部令</w:t>
            </w:r>
            <w:r>
              <w:rPr>
                <w:bCs/>
              </w:rPr>
              <w:t xml:space="preserve">  </w:t>
            </w:r>
            <w:r>
              <w:rPr>
                <w:rFonts w:hint="eastAsia"/>
                <w:bCs/>
              </w:rPr>
              <w:t>第</w:t>
            </w:r>
            <w:r>
              <w:rPr>
                <w:bCs/>
              </w:rPr>
              <w:t>31</w:t>
            </w:r>
            <w:r>
              <w:rPr>
                <w:rFonts w:hint="eastAsia"/>
                <w:bCs/>
              </w:rPr>
              <w:t>号），并结合当地生态环境保护主管部门的要求执行。</w:t>
            </w:r>
          </w:p>
          <w:p>
            <w:pPr>
              <w:pStyle w:val="172"/>
              <w:ind w:firstLine="480" w:firstLineChars="200"/>
              <w:rPr>
                <w:rFonts w:ascii="Times New Roman" w:hAnsi="宋体" w:eastAsia="宋体"/>
                <w:bCs/>
              </w:rPr>
            </w:pPr>
            <w:r>
              <w:rPr>
                <w:rFonts w:hint="eastAsia" w:ascii="Times New Roman" w:hAnsi="宋体" w:eastAsia="宋体"/>
                <w:bCs/>
              </w:rPr>
              <w:t>⑧环境空气影响评价结论</w:t>
            </w:r>
          </w:p>
          <w:p>
            <w:pPr>
              <w:pStyle w:val="172"/>
              <w:ind w:firstLine="480" w:firstLineChars="200"/>
              <w:rPr>
                <w:rFonts w:ascii="Times New Roman" w:hAnsi="宋体" w:eastAsia="宋体"/>
                <w:bCs/>
              </w:rPr>
            </w:pPr>
            <w:r>
              <w:rPr>
                <w:rFonts w:hint="eastAsia" w:ascii="Times New Roman" w:hAnsi="宋体" w:eastAsia="宋体"/>
                <w:bCs/>
              </w:rPr>
              <w:t>经大气环境影响预测可知，本项目运行后，按照评价要求的环保措施实施后，各大气污染源的排放均满足相应排放标准，对区域环境空气质量影响较小。因此，只要加强管理、严格落实环保措施，从环境空气影响评价角度出发，本项目的建设是可行的。</w:t>
            </w:r>
          </w:p>
          <w:p>
            <w:pPr>
              <w:pStyle w:val="172"/>
              <w:ind w:firstLine="480" w:firstLineChars="200"/>
              <w:rPr>
                <w:rFonts w:ascii="Times New Roman" w:hAnsi="宋体" w:eastAsia="宋体"/>
                <w:bCs/>
              </w:rPr>
            </w:pPr>
            <w:r>
              <w:rPr>
                <w:rFonts w:hint="eastAsia" w:ascii="Times New Roman" w:hAnsi="宋体" w:eastAsia="宋体"/>
                <w:bCs/>
              </w:rPr>
              <w:t>⑨污染物排放量核算</w:t>
            </w:r>
          </w:p>
          <w:p>
            <w:pPr>
              <w:pStyle w:val="172"/>
              <w:ind w:firstLine="480" w:firstLineChars="200"/>
              <w:rPr>
                <w:rFonts w:ascii="Times New Roman" w:hAnsi="宋体" w:eastAsia="宋体"/>
                <w:bCs/>
              </w:rPr>
            </w:pPr>
            <w:r>
              <w:rPr>
                <w:rFonts w:hint="eastAsia" w:ascii="Times New Roman" w:hAnsi="宋体" w:eastAsia="宋体"/>
                <w:bCs/>
              </w:rPr>
              <w:t>本项目污染物排放量核算结果见表</w:t>
            </w:r>
            <w:r>
              <w:rPr>
                <w:rFonts w:ascii="Times New Roman" w:hAnsi="宋体" w:eastAsia="宋体"/>
                <w:bCs/>
              </w:rPr>
              <w:t>43</w:t>
            </w:r>
            <w:r>
              <w:rPr>
                <w:rFonts w:hint="eastAsia" w:ascii="Times New Roman" w:hAnsi="宋体" w:eastAsia="宋体"/>
                <w:bCs/>
              </w:rPr>
              <w:t>。</w:t>
            </w:r>
          </w:p>
          <w:p>
            <w:pPr>
              <w:ind w:firstLine="480"/>
              <w:jc w:val="center"/>
              <w:rPr>
                <w:rFonts w:ascii="黑体" w:hAnsi="黑体" w:eastAsia="黑体"/>
                <w:kern w:val="0"/>
              </w:rPr>
            </w:pPr>
            <w:r>
              <w:rPr>
                <w:rFonts w:hint="eastAsia" w:ascii="黑体" w:hAnsi="黑体" w:eastAsia="黑体"/>
                <w:kern w:val="0"/>
              </w:rPr>
              <w:t>表</w:t>
            </w:r>
            <w:r>
              <w:rPr>
                <w:rFonts w:ascii="黑体" w:hAnsi="黑体" w:eastAsia="黑体"/>
                <w:kern w:val="0"/>
              </w:rPr>
              <w:t>43</w:t>
            </w:r>
            <w:r>
              <w:rPr>
                <w:rFonts w:hint="eastAsia" w:ascii="黑体" w:hAnsi="黑体" w:eastAsia="黑体"/>
                <w:kern w:val="0"/>
              </w:rPr>
              <w:t xml:space="preserve">  大气污染物年排放量核算表</w:t>
            </w:r>
          </w:p>
          <w:tbl>
            <w:tblPr>
              <w:tblStyle w:val="7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3"/>
              <w:gridCol w:w="1725"/>
              <w:gridCol w:w="2153"/>
              <w:gridCol w:w="2153"/>
              <w:gridCol w:w="20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7" w:type="pct"/>
                  <w:vMerge w:val="restart"/>
                  <w:tcBorders>
                    <w:top w:val="single" w:color="auto" w:sz="4" w:space="0"/>
                    <w:left w:val="single" w:color="auto" w:sz="4" w:space="0"/>
                    <w:bottom w:val="single" w:color="auto" w:sz="4" w:space="0"/>
                    <w:right w:val="single" w:color="auto" w:sz="4" w:space="0"/>
                  </w:tcBorders>
                  <w:noWrap/>
                  <w:vAlign w:val="center"/>
                </w:tcPr>
                <w:p>
                  <w:pPr>
                    <w:widowControl/>
                    <w:spacing w:line="240" w:lineRule="auto"/>
                    <w:ind w:firstLine="0" w:firstLineChars="0"/>
                    <w:jc w:val="center"/>
                    <w:rPr>
                      <w:b/>
                      <w:kern w:val="0"/>
                      <w:sz w:val="21"/>
                      <w:szCs w:val="21"/>
                    </w:rPr>
                  </w:pPr>
                  <w:r>
                    <w:rPr>
                      <w:rFonts w:hint="eastAsia" w:ascii="宋体" w:hAnsi="宋体"/>
                      <w:b/>
                      <w:kern w:val="0"/>
                      <w:sz w:val="21"/>
                      <w:szCs w:val="21"/>
                    </w:rPr>
                    <w:t>序号</w:t>
                  </w:r>
                </w:p>
              </w:tc>
              <w:tc>
                <w:tcPr>
                  <w:tcW w:w="952" w:type="pct"/>
                  <w:vMerge w:val="restart"/>
                  <w:tcBorders>
                    <w:top w:val="single" w:color="auto" w:sz="4" w:space="0"/>
                    <w:left w:val="single" w:color="auto" w:sz="4" w:space="0"/>
                    <w:bottom w:val="single" w:color="auto" w:sz="4" w:space="0"/>
                    <w:right w:val="single" w:color="auto" w:sz="4" w:space="0"/>
                  </w:tcBorders>
                  <w:noWrap/>
                  <w:vAlign w:val="center"/>
                </w:tcPr>
                <w:p>
                  <w:pPr>
                    <w:widowControl/>
                    <w:spacing w:line="240" w:lineRule="auto"/>
                    <w:ind w:firstLine="0" w:firstLineChars="0"/>
                    <w:jc w:val="center"/>
                    <w:rPr>
                      <w:b/>
                      <w:kern w:val="0"/>
                      <w:sz w:val="21"/>
                      <w:szCs w:val="21"/>
                    </w:rPr>
                  </w:pPr>
                  <w:r>
                    <w:rPr>
                      <w:rFonts w:hint="eastAsia" w:ascii="宋体" w:hAnsi="宋体"/>
                      <w:b/>
                      <w:kern w:val="0"/>
                      <w:sz w:val="21"/>
                      <w:szCs w:val="21"/>
                    </w:rPr>
                    <w:t>污染物</w:t>
                  </w:r>
                </w:p>
              </w:tc>
              <w:tc>
                <w:tcPr>
                  <w:tcW w:w="3511" w:type="pct"/>
                  <w:gridSpan w:val="3"/>
                  <w:tcBorders>
                    <w:top w:val="single" w:color="auto" w:sz="4" w:space="0"/>
                    <w:left w:val="single" w:color="auto" w:sz="4" w:space="0"/>
                    <w:bottom w:val="single" w:color="auto" w:sz="4" w:space="0"/>
                    <w:right w:val="single" w:color="auto" w:sz="4" w:space="0"/>
                  </w:tcBorders>
                  <w:noWrap/>
                  <w:vAlign w:val="center"/>
                </w:tcPr>
                <w:p>
                  <w:pPr>
                    <w:widowControl/>
                    <w:spacing w:line="240" w:lineRule="auto"/>
                    <w:ind w:firstLine="0" w:firstLineChars="0"/>
                    <w:jc w:val="center"/>
                    <w:rPr>
                      <w:b/>
                      <w:kern w:val="0"/>
                      <w:sz w:val="21"/>
                      <w:szCs w:val="21"/>
                    </w:rPr>
                  </w:pPr>
                  <w:r>
                    <w:rPr>
                      <w:rFonts w:hint="eastAsia" w:ascii="宋体" w:hAnsi="宋体"/>
                      <w:b/>
                      <w:kern w:val="0"/>
                      <w:sz w:val="21"/>
                      <w:szCs w:val="21"/>
                    </w:rPr>
                    <w:t>年排放量</w:t>
                  </w:r>
                  <w:r>
                    <w:rPr>
                      <w:b/>
                      <w:kern w:val="0"/>
                      <w:sz w:val="21"/>
                      <w:szCs w:val="21"/>
                    </w:rPr>
                    <w:t>/(t/a</w:t>
                  </w:r>
                  <w:r>
                    <w:rPr>
                      <w:rFonts w:hint="eastAsia" w:ascii="宋体" w:hAnsi="宋体"/>
                      <w:b/>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b/>
                      <w:kern w:val="0"/>
                      <w:sz w:val="21"/>
                      <w:szCs w:val="21"/>
                    </w:rPr>
                  </w:pPr>
                </w:p>
              </w:tc>
              <w:tc>
                <w:tcPr>
                  <w:tcW w:w="95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b/>
                      <w:kern w:val="0"/>
                      <w:sz w:val="21"/>
                      <w:szCs w:val="21"/>
                    </w:rPr>
                  </w:pPr>
                </w:p>
              </w:tc>
              <w:tc>
                <w:tcPr>
                  <w:tcW w:w="1188"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ind w:firstLine="0" w:firstLineChars="0"/>
                    <w:jc w:val="center"/>
                    <w:rPr>
                      <w:rFonts w:ascii="宋体" w:hAnsi="宋体"/>
                      <w:b/>
                      <w:kern w:val="0"/>
                      <w:sz w:val="21"/>
                      <w:szCs w:val="21"/>
                    </w:rPr>
                  </w:pPr>
                  <w:r>
                    <w:rPr>
                      <w:rFonts w:hint="eastAsia" w:ascii="宋体" w:hAnsi="宋体"/>
                      <w:b/>
                      <w:kern w:val="0"/>
                      <w:sz w:val="21"/>
                      <w:szCs w:val="21"/>
                    </w:rPr>
                    <w:t>有组织合计</w:t>
                  </w:r>
                </w:p>
              </w:tc>
              <w:tc>
                <w:tcPr>
                  <w:tcW w:w="1188"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b/>
                      <w:kern w:val="0"/>
                      <w:sz w:val="21"/>
                      <w:szCs w:val="21"/>
                    </w:rPr>
                  </w:pPr>
                  <w:r>
                    <w:rPr>
                      <w:rFonts w:hint="eastAsia" w:ascii="宋体" w:hAnsi="宋体"/>
                      <w:b/>
                      <w:kern w:val="0"/>
                      <w:sz w:val="21"/>
                      <w:szCs w:val="21"/>
                    </w:rPr>
                    <w:t>无组织合计</w:t>
                  </w:r>
                </w:p>
              </w:tc>
              <w:tc>
                <w:tcPr>
                  <w:tcW w:w="1135"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b/>
                      <w:kern w:val="0"/>
                      <w:sz w:val="21"/>
                      <w:szCs w:val="21"/>
                    </w:rPr>
                  </w:pPr>
                  <w:r>
                    <w:rPr>
                      <w:rFonts w:hint="eastAsia" w:ascii="宋体" w:hAnsi="宋体"/>
                      <w:b/>
                      <w:kern w:val="0"/>
                      <w:sz w:val="21"/>
                      <w:szCs w:val="21"/>
                    </w:rPr>
                    <w:t>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7"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ind w:firstLine="0" w:firstLineChars="0"/>
                    <w:jc w:val="center"/>
                    <w:rPr>
                      <w:kern w:val="0"/>
                      <w:sz w:val="21"/>
                      <w:szCs w:val="21"/>
                    </w:rPr>
                  </w:pPr>
                  <w:r>
                    <w:rPr>
                      <w:kern w:val="0"/>
                      <w:sz w:val="21"/>
                      <w:szCs w:val="21"/>
                    </w:rPr>
                    <w:t>1</w:t>
                  </w:r>
                </w:p>
              </w:tc>
              <w:tc>
                <w:tcPr>
                  <w:tcW w:w="952"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ind w:firstLine="0" w:firstLineChars="0"/>
                    <w:jc w:val="center"/>
                    <w:rPr>
                      <w:kern w:val="0"/>
                      <w:sz w:val="21"/>
                      <w:szCs w:val="21"/>
                    </w:rPr>
                  </w:pPr>
                  <w:r>
                    <w:rPr>
                      <w:rFonts w:hint="eastAsia"/>
                      <w:kern w:val="0"/>
                      <w:sz w:val="21"/>
                      <w:szCs w:val="21"/>
                    </w:rPr>
                    <w:t>颗粒物</w:t>
                  </w:r>
                </w:p>
              </w:tc>
              <w:tc>
                <w:tcPr>
                  <w:tcW w:w="1188"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ind w:firstLine="0" w:firstLineChars="0"/>
                    <w:jc w:val="center"/>
                    <w:rPr>
                      <w:kern w:val="0"/>
                      <w:sz w:val="21"/>
                      <w:szCs w:val="21"/>
                    </w:rPr>
                  </w:pPr>
                  <w:r>
                    <w:rPr>
                      <w:kern w:val="0"/>
                      <w:sz w:val="21"/>
                      <w:szCs w:val="21"/>
                    </w:rPr>
                    <w:t>2.88</w:t>
                  </w:r>
                </w:p>
              </w:tc>
              <w:tc>
                <w:tcPr>
                  <w:tcW w:w="1188"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textAlignment w:val="center"/>
                    <w:rPr>
                      <w:sz w:val="21"/>
                      <w:szCs w:val="21"/>
                    </w:rPr>
                  </w:pPr>
                  <w:r>
                    <w:rPr>
                      <w:sz w:val="21"/>
                      <w:szCs w:val="21"/>
                    </w:rPr>
                    <w:t>0.7</w:t>
                  </w:r>
                </w:p>
              </w:tc>
              <w:tc>
                <w:tcPr>
                  <w:tcW w:w="113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6.56</w:t>
                  </w:r>
                </w:p>
              </w:tc>
            </w:tr>
          </w:tbl>
          <w:p>
            <w:pPr>
              <w:pStyle w:val="172"/>
              <w:ind w:firstLine="480" w:firstLineChars="200"/>
              <w:rPr>
                <w:rFonts w:ascii="Times New Roman" w:hAnsi="宋体" w:eastAsia="宋体"/>
                <w:b/>
              </w:rPr>
            </w:pPr>
            <w:r>
              <w:rPr>
                <w:rFonts w:hint="eastAsia" w:ascii="Times New Roman" w:hAnsi="宋体" w:eastAsia="宋体"/>
              </w:rPr>
              <w:t>⑩本项目大气环境影响评价自查表见下表。</w:t>
            </w:r>
          </w:p>
          <w:p>
            <w:pPr>
              <w:spacing w:line="480" w:lineRule="atLeast"/>
              <w:ind w:firstLine="480"/>
              <w:jc w:val="center"/>
              <w:rPr>
                <w:rFonts w:ascii="黑体" w:hAnsi="黑体" w:eastAsia="黑体"/>
                <w:kern w:val="0"/>
              </w:rPr>
            </w:pPr>
            <w:r>
              <w:rPr>
                <w:rFonts w:ascii="黑体" w:hAnsi="黑体" w:eastAsia="黑体"/>
                <w:kern w:val="0"/>
              </w:rPr>
              <w:t>表44  项目大气环境影响评价自查表</w:t>
            </w:r>
          </w:p>
          <w:tbl>
            <w:tblPr>
              <w:tblStyle w:val="70"/>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269"/>
              <w:gridCol w:w="1420"/>
              <w:gridCol w:w="930"/>
              <w:gridCol w:w="267"/>
              <w:gridCol w:w="208"/>
              <w:gridCol w:w="279"/>
              <w:gridCol w:w="378"/>
              <w:gridCol w:w="253"/>
              <w:gridCol w:w="278"/>
              <w:gridCol w:w="253"/>
              <w:gridCol w:w="265"/>
              <w:gridCol w:w="261"/>
              <w:gridCol w:w="261"/>
              <w:gridCol w:w="344"/>
              <w:gridCol w:w="572"/>
              <w:gridCol w:w="382"/>
              <w:gridCol w:w="70"/>
              <w:gridCol w:w="72"/>
              <w:gridCol w:w="614"/>
              <w:gridCol w:w="68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339" w:type="pct"/>
                  <w:gridSpan w:val="2"/>
                  <w:noWrap/>
                  <w:vAlign w:val="center"/>
                </w:tcPr>
                <w:p>
                  <w:pPr>
                    <w:widowControl/>
                    <w:spacing w:line="240" w:lineRule="auto"/>
                    <w:ind w:firstLine="0" w:firstLineChars="0"/>
                    <w:jc w:val="center"/>
                    <w:rPr>
                      <w:b/>
                      <w:kern w:val="0"/>
                      <w:sz w:val="18"/>
                      <w:szCs w:val="18"/>
                    </w:rPr>
                  </w:pPr>
                  <w:r>
                    <w:rPr>
                      <w:b/>
                      <w:kern w:val="0"/>
                      <w:sz w:val="18"/>
                      <w:szCs w:val="18"/>
                    </w:rPr>
                    <w:t>工作内容</w:t>
                  </w:r>
                </w:p>
              </w:tc>
              <w:tc>
                <w:tcPr>
                  <w:tcW w:w="3661" w:type="pct"/>
                  <w:gridSpan w:val="18"/>
                  <w:noWrap/>
                  <w:vAlign w:val="center"/>
                </w:tcPr>
                <w:p>
                  <w:pPr>
                    <w:widowControl/>
                    <w:spacing w:line="240" w:lineRule="auto"/>
                    <w:ind w:firstLine="0" w:firstLineChars="0"/>
                    <w:jc w:val="center"/>
                    <w:rPr>
                      <w:b/>
                      <w:kern w:val="0"/>
                      <w:sz w:val="18"/>
                      <w:szCs w:val="18"/>
                    </w:rPr>
                  </w:pPr>
                  <w:r>
                    <w:rPr>
                      <w:b/>
                      <w:kern w:val="0"/>
                      <w:sz w:val="18"/>
                      <w:szCs w:val="18"/>
                    </w:rPr>
                    <w:t>自查项目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restart"/>
                  <w:noWrap/>
                  <w:vAlign w:val="center"/>
                </w:tcPr>
                <w:p>
                  <w:pPr>
                    <w:widowControl/>
                    <w:spacing w:line="240" w:lineRule="auto"/>
                    <w:ind w:firstLine="0" w:firstLineChars="0"/>
                    <w:jc w:val="center"/>
                    <w:rPr>
                      <w:kern w:val="0"/>
                      <w:sz w:val="18"/>
                      <w:szCs w:val="18"/>
                    </w:rPr>
                  </w:pPr>
                  <w:r>
                    <w:rPr>
                      <w:kern w:val="0"/>
                      <w:sz w:val="18"/>
                      <w:szCs w:val="18"/>
                    </w:rPr>
                    <w:t>评价等级与范围</w:t>
                  </w:r>
                </w:p>
              </w:tc>
              <w:tc>
                <w:tcPr>
                  <w:tcW w:w="858" w:type="pct"/>
                  <w:noWrap/>
                  <w:vAlign w:val="center"/>
                </w:tcPr>
                <w:p>
                  <w:pPr>
                    <w:widowControl/>
                    <w:spacing w:line="240" w:lineRule="auto"/>
                    <w:ind w:firstLine="0" w:firstLineChars="0"/>
                    <w:jc w:val="center"/>
                    <w:rPr>
                      <w:kern w:val="0"/>
                      <w:sz w:val="18"/>
                      <w:szCs w:val="18"/>
                    </w:rPr>
                  </w:pPr>
                  <w:r>
                    <w:rPr>
                      <w:kern w:val="0"/>
                      <w:sz w:val="18"/>
                      <w:szCs w:val="18"/>
                    </w:rPr>
                    <w:t>评价等级</w:t>
                  </w:r>
                </w:p>
              </w:tc>
              <w:tc>
                <w:tcPr>
                  <w:tcW w:w="1415" w:type="pct"/>
                  <w:gridSpan w:val="6"/>
                  <w:noWrap/>
                  <w:vAlign w:val="center"/>
                </w:tcPr>
                <w:p>
                  <w:pPr>
                    <w:widowControl/>
                    <w:spacing w:line="240" w:lineRule="auto"/>
                    <w:ind w:firstLine="0" w:firstLineChars="0"/>
                    <w:jc w:val="center"/>
                    <w:rPr>
                      <w:kern w:val="0"/>
                      <w:sz w:val="18"/>
                      <w:szCs w:val="18"/>
                    </w:rPr>
                  </w:pPr>
                  <w:r>
                    <w:rPr>
                      <w:kern w:val="0"/>
                      <w:sz w:val="18"/>
                      <w:szCs w:val="18"/>
                    </w:rPr>
                    <w:t>一级</w:t>
                  </w:r>
                  <w:r>
                    <w:rPr>
                      <w:rFonts w:hint="eastAsia" w:eastAsia="MS Mincho"/>
                      <w:kern w:val="0"/>
                      <w:sz w:val="18"/>
                      <w:szCs w:val="18"/>
                    </w:rPr>
                    <w:t>□</w:t>
                  </w:r>
                </w:p>
              </w:tc>
              <w:tc>
                <w:tcPr>
                  <w:tcW w:w="1264" w:type="pct"/>
                  <w:gridSpan w:val="7"/>
                  <w:noWrap/>
                  <w:vAlign w:val="center"/>
                </w:tcPr>
                <w:p>
                  <w:pPr>
                    <w:widowControl/>
                    <w:spacing w:line="240" w:lineRule="auto"/>
                    <w:ind w:firstLine="0" w:firstLineChars="0"/>
                    <w:jc w:val="center"/>
                    <w:rPr>
                      <w:kern w:val="0"/>
                      <w:sz w:val="18"/>
                      <w:szCs w:val="18"/>
                    </w:rPr>
                  </w:pPr>
                  <w:r>
                    <w:rPr>
                      <w:kern w:val="0"/>
                      <w:sz w:val="18"/>
                      <w:szCs w:val="18"/>
                    </w:rPr>
                    <w:t>二级</w:t>
                  </w:r>
                  <w:r>
                    <w:rPr>
                      <w:sz w:val="18"/>
                      <w:szCs w:val="18"/>
                    </w:rPr>
                    <w:sym w:font="Wingdings 2" w:char="0052"/>
                  </w:r>
                </w:p>
              </w:tc>
              <w:tc>
                <w:tcPr>
                  <w:tcW w:w="982" w:type="pct"/>
                  <w:gridSpan w:val="5"/>
                  <w:noWrap/>
                  <w:vAlign w:val="center"/>
                </w:tcPr>
                <w:p>
                  <w:pPr>
                    <w:widowControl/>
                    <w:spacing w:line="240" w:lineRule="auto"/>
                    <w:ind w:firstLine="0" w:firstLineChars="0"/>
                    <w:jc w:val="center"/>
                    <w:rPr>
                      <w:kern w:val="0"/>
                      <w:sz w:val="18"/>
                      <w:szCs w:val="18"/>
                    </w:rPr>
                  </w:pPr>
                  <w:r>
                    <w:rPr>
                      <w:kern w:val="0"/>
                      <w:sz w:val="18"/>
                      <w:szCs w:val="18"/>
                    </w:rPr>
                    <w:t>三级</w:t>
                  </w:r>
                  <w:r>
                    <w:rPr>
                      <w:rFonts w:hint="eastAsia" w:ascii="MS Mincho" w:hAnsi="MS Mincho" w:cs="MS Mincho"/>
                      <w:kern w:val="0"/>
                      <w:sz w:val="18"/>
                      <w:szCs w:val="18"/>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continue"/>
                  <w:vAlign w:val="center"/>
                </w:tcPr>
                <w:p>
                  <w:pPr>
                    <w:widowControl/>
                    <w:spacing w:line="240" w:lineRule="auto"/>
                    <w:ind w:firstLine="0" w:firstLineChars="0"/>
                    <w:jc w:val="center"/>
                    <w:rPr>
                      <w:kern w:val="0"/>
                      <w:sz w:val="18"/>
                      <w:szCs w:val="18"/>
                    </w:rPr>
                  </w:pPr>
                </w:p>
              </w:tc>
              <w:tc>
                <w:tcPr>
                  <w:tcW w:w="858" w:type="pct"/>
                  <w:noWrap/>
                  <w:vAlign w:val="center"/>
                </w:tcPr>
                <w:p>
                  <w:pPr>
                    <w:widowControl/>
                    <w:spacing w:line="240" w:lineRule="auto"/>
                    <w:ind w:firstLine="0" w:firstLineChars="0"/>
                    <w:jc w:val="center"/>
                    <w:rPr>
                      <w:kern w:val="0"/>
                      <w:sz w:val="18"/>
                      <w:szCs w:val="18"/>
                    </w:rPr>
                  </w:pPr>
                  <w:r>
                    <w:rPr>
                      <w:kern w:val="0"/>
                      <w:sz w:val="18"/>
                      <w:szCs w:val="18"/>
                    </w:rPr>
                    <w:t>评价范围</w:t>
                  </w:r>
                </w:p>
              </w:tc>
              <w:tc>
                <w:tcPr>
                  <w:tcW w:w="1415" w:type="pct"/>
                  <w:gridSpan w:val="6"/>
                  <w:noWrap/>
                  <w:vAlign w:val="center"/>
                </w:tcPr>
                <w:p>
                  <w:pPr>
                    <w:widowControl/>
                    <w:spacing w:line="240" w:lineRule="auto"/>
                    <w:ind w:firstLine="0" w:firstLineChars="0"/>
                    <w:jc w:val="center"/>
                    <w:rPr>
                      <w:kern w:val="0"/>
                      <w:sz w:val="18"/>
                      <w:szCs w:val="18"/>
                    </w:rPr>
                  </w:pPr>
                  <w:r>
                    <w:rPr>
                      <w:kern w:val="0"/>
                      <w:sz w:val="18"/>
                      <w:szCs w:val="18"/>
                    </w:rPr>
                    <w:t>边长=50km</w:t>
                  </w:r>
                  <w:r>
                    <w:rPr>
                      <w:rFonts w:hint="eastAsia" w:eastAsia="MS Mincho"/>
                      <w:kern w:val="0"/>
                      <w:sz w:val="18"/>
                      <w:szCs w:val="18"/>
                    </w:rPr>
                    <w:t>□</w:t>
                  </w:r>
                </w:p>
              </w:tc>
              <w:tc>
                <w:tcPr>
                  <w:tcW w:w="1264" w:type="pct"/>
                  <w:gridSpan w:val="7"/>
                  <w:noWrap/>
                  <w:vAlign w:val="center"/>
                </w:tcPr>
                <w:p>
                  <w:pPr>
                    <w:widowControl/>
                    <w:spacing w:line="240" w:lineRule="auto"/>
                    <w:ind w:firstLine="0" w:firstLineChars="0"/>
                    <w:jc w:val="center"/>
                    <w:rPr>
                      <w:kern w:val="0"/>
                      <w:sz w:val="18"/>
                      <w:szCs w:val="18"/>
                    </w:rPr>
                  </w:pPr>
                  <w:r>
                    <w:rPr>
                      <w:kern w:val="0"/>
                      <w:sz w:val="18"/>
                      <w:szCs w:val="18"/>
                    </w:rPr>
                    <w:t>边长5～50km</w:t>
                  </w:r>
                  <w:r>
                    <w:rPr>
                      <w:rFonts w:hint="eastAsia" w:eastAsia="MS Mincho"/>
                      <w:kern w:val="0"/>
                      <w:sz w:val="18"/>
                      <w:szCs w:val="18"/>
                    </w:rPr>
                    <w:t>□</w:t>
                  </w:r>
                </w:p>
              </w:tc>
              <w:tc>
                <w:tcPr>
                  <w:tcW w:w="982" w:type="pct"/>
                  <w:gridSpan w:val="5"/>
                  <w:noWrap/>
                  <w:vAlign w:val="center"/>
                </w:tcPr>
                <w:p>
                  <w:pPr>
                    <w:widowControl/>
                    <w:spacing w:line="240" w:lineRule="auto"/>
                    <w:ind w:firstLine="0" w:firstLineChars="0"/>
                    <w:jc w:val="center"/>
                    <w:rPr>
                      <w:kern w:val="0"/>
                      <w:sz w:val="18"/>
                      <w:szCs w:val="18"/>
                    </w:rPr>
                  </w:pPr>
                  <w:r>
                    <w:rPr>
                      <w:kern w:val="0"/>
                      <w:sz w:val="18"/>
                      <w:szCs w:val="18"/>
                    </w:rPr>
                    <w:t>边长=5km</w:t>
                  </w:r>
                  <w:r>
                    <w:rPr>
                      <w:sz w:val="18"/>
                      <w:szCs w:val="18"/>
                    </w:rPr>
                    <w:sym w:font="Wingdings 2" w:char="0052"/>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restart"/>
                  <w:noWrap/>
                  <w:vAlign w:val="center"/>
                </w:tcPr>
                <w:p>
                  <w:pPr>
                    <w:widowControl/>
                    <w:spacing w:line="240" w:lineRule="auto"/>
                    <w:ind w:firstLine="0" w:firstLineChars="0"/>
                    <w:jc w:val="center"/>
                    <w:rPr>
                      <w:kern w:val="0"/>
                      <w:sz w:val="18"/>
                      <w:szCs w:val="18"/>
                    </w:rPr>
                  </w:pPr>
                  <w:r>
                    <w:rPr>
                      <w:kern w:val="0"/>
                      <w:sz w:val="18"/>
                      <w:szCs w:val="18"/>
                    </w:rPr>
                    <w:t>评价因子</w:t>
                  </w:r>
                </w:p>
              </w:tc>
              <w:tc>
                <w:tcPr>
                  <w:tcW w:w="858" w:type="pct"/>
                  <w:noWrap/>
                  <w:vAlign w:val="center"/>
                </w:tcPr>
                <w:p>
                  <w:pPr>
                    <w:widowControl/>
                    <w:spacing w:line="240" w:lineRule="auto"/>
                    <w:ind w:firstLine="0" w:firstLineChars="0"/>
                    <w:jc w:val="center"/>
                    <w:rPr>
                      <w:kern w:val="0"/>
                      <w:sz w:val="18"/>
                      <w:szCs w:val="18"/>
                    </w:rPr>
                  </w:pPr>
                  <w:r>
                    <w:rPr>
                      <w:kern w:val="0"/>
                      <w:sz w:val="18"/>
                      <w:szCs w:val="18"/>
                    </w:rPr>
                    <w:t>SO</w:t>
                  </w:r>
                  <w:r>
                    <w:rPr>
                      <w:kern w:val="0"/>
                      <w:sz w:val="18"/>
                      <w:szCs w:val="18"/>
                      <w:vertAlign w:val="subscript"/>
                    </w:rPr>
                    <w:t>2</w:t>
                  </w:r>
                  <w:r>
                    <w:rPr>
                      <w:kern w:val="0"/>
                      <w:sz w:val="18"/>
                      <w:szCs w:val="18"/>
                    </w:rPr>
                    <w:t>+NOx排放量</w:t>
                  </w:r>
                </w:p>
              </w:tc>
              <w:tc>
                <w:tcPr>
                  <w:tcW w:w="1415" w:type="pct"/>
                  <w:gridSpan w:val="6"/>
                  <w:noWrap/>
                  <w:vAlign w:val="center"/>
                </w:tcPr>
                <w:p>
                  <w:pPr>
                    <w:widowControl/>
                    <w:spacing w:line="240" w:lineRule="auto"/>
                    <w:ind w:firstLine="0" w:firstLineChars="0"/>
                    <w:jc w:val="center"/>
                    <w:rPr>
                      <w:kern w:val="0"/>
                      <w:sz w:val="18"/>
                      <w:szCs w:val="18"/>
                    </w:rPr>
                  </w:pPr>
                  <w:r>
                    <w:rPr>
                      <w:kern w:val="0"/>
                      <w:sz w:val="18"/>
                      <w:szCs w:val="18"/>
                    </w:rPr>
                    <w:t>≥2000t/a</w:t>
                  </w:r>
                  <w:r>
                    <w:rPr>
                      <w:rFonts w:hint="eastAsia" w:eastAsia="MS Mincho"/>
                      <w:kern w:val="0"/>
                      <w:sz w:val="18"/>
                      <w:szCs w:val="18"/>
                    </w:rPr>
                    <w:t>□</w:t>
                  </w:r>
                </w:p>
              </w:tc>
              <w:tc>
                <w:tcPr>
                  <w:tcW w:w="1264" w:type="pct"/>
                  <w:gridSpan w:val="7"/>
                  <w:noWrap/>
                  <w:vAlign w:val="center"/>
                </w:tcPr>
                <w:p>
                  <w:pPr>
                    <w:widowControl/>
                    <w:spacing w:line="240" w:lineRule="auto"/>
                    <w:ind w:firstLine="0" w:firstLineChars="0"/>
                    <w:jc w:val="center"/>
                    <w:rPr>
                      <w:kern w:val="0"/>
                      <w:sz w:val="18"/>
                      <w:szCs w:val="18"/>
                    </w:rPr>
                  </w:pPr>
                  <w:r>
                    <w:rPr>
                      <w:kern w:val="0"/>
                      <w:sz w:val="18"/>
                      <w:szCs w:val="18"/>
                    </w:rPr>
                    <w:t>500～2000t/a</w:t>
                  </w:r>
                  <w:r>
                    <w:rPr>
                      <w:rFonts w:hint="eastAsia" w:eastAsia="MS Mincho"/>
                      <w:kern w:val="0"/>
                      <w:sz w:val="18"/>
                      <w:szCs w:val="18"/>
                    </w:rPr>
                    <w:t>□</w:t>
                  </w:r>
                </w:p>
              </w:tc>
              <w:tc>
                <w:tcPr>
                  <w:tcW w:w="982" w:type="pct"/>
                  <w:gridSpan w:val="5"/>
                  <w:noWrap/>
                  <w:vAlign w:val="center"/>
                </w:tcPr>
                <w:p>
                  <w:pPr>
                    <w:widowControl/>
                    <w:spacing w:line="240" w:lineRule="auto"/>
                    <w:ind w:firstLine="0" w:firstLineChars="0"/>
                    <w:jc w:val="center"/>
                    <w:rPr>
                      <w:kern w:val="0"/>
                      <w:sz w:val="18"/>
                      <w:szCs w:val="18"/>
                    </w:rPr>
                  </w:pPr>
                  <w:r>
                    <w:rPr>
                      <w:kern w:val="0"/>
                      <w:sz w:val="18"/>
                      <w:szCs w:val="18"/>
                    </w:rPr>
                    <w:t>小于500t/a</w:t>
                  </w:r>
                  <w:r>
                    <w:rPr>
                      <w:sz w:val="18"/>
                      <w:szCs w:val="18"/>
                    </w:rPr>
                    <w:sym w:font="Wingdings 2" w:char="0052"/>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81" w:type="pct"/>
                  <w:vMerge w:val="continue"/>
                  <w:vAlign w:val="center"/>
                </w:tcPr>
                <w:p>
                  <w:pPr>
                    <w:widowControl/>
                    <w:spacing w:line="240" w:lineRule="auto"/>
                    <w:ind w:firstLine="0" w:firstLineChars="0"/>
                    <w:jc w:val="center"/>
                    <w:rPr>
                      <w:kern w:val="0"/>
                      <w:sz w:val="18"/>
                      <w:szCs w:val="18"/>
                    </w:rPr>
                  </w:pPr>
                </w:p>
              </w:tc>
              <w:tc>
                <w:tcPr>
                  <w:tcW w:w="858" w:type="pct"/>
                  <w:vMerge w:val="restart"/>
                  <w:noWrap/>
                  <w:vAlign w:val="center"/>
                </w:tcPr>
                <w:p>
                  <w:pPr>
                    <w:widowControl/>
                    <w:spacing w:line="240" w:lineRule="auto"/>
                    <w:ind w:firstLine="0" w:firstLineChars="0"/>
                    <w:jc w:val="center"/>
                    <w:rPr>
                      <w:kern w:val="0"/>
                      <w:sz w:val="18"/>
                      <w:szCs w:val="18"/>
                    </w:rPr>
                  </w:pPr>
                  <w:r>
                    <w:rPr>
                      <w:kern w:val="0"/>
                      <w:sz w:val="18"/>
                      <w:szCs w:val="18"/>
                    </w:rPr>
                    <w:t>评价因子</w:t>
                  </w:r>
                </w:p>
              </w:tc>
              <w:tc>
                <w:tcPr>
                  <w:tcW w:w="2679" w:type="pct"/>
                  <w:gridSpan w:val="13"/>
                  <w:vMerge w:val="restart"/>
                  <w:vAlign w:val="center"/>
                </w:tcPr>
                <w:p>
                  <w:pPr>
                    <w:widowControl/>
                    <w:spacing w:line="240" w:lineRule="auto"/>
                    <w:ind w:firstLine="0" w:firstLineChars="0"/>
                    <w:jc w:val="center"/>
                    <w:rPr>
                      <w:kern w:val="0"/>
                      <w:sz w:val="18"/>
                      <w:szCs w:val="18"/>
                    </w:rPr>
                  </w:pPr>
                  <w:r>
                    <w:rPr>
                      <w:kern w:val="0"/>
                      <w:sz w:val="18"/>
                      <w:szCs w:val="18"/>
                    </w:rPr>
                    <w:t xml:space="preserve">基本污染物(  </w:t>
                  </w:r>
                  <w:r>
                    <w:rPr>
                      <w:rFonts w:hint="eastAsia"/>
                      <w:kern w:val="0"/>
                      <w:sz w:val="18"/>
                      <w:szCs w:val="18"/>
                    </w:rPr>
                    <w:t>PM</w:t>
                  </w:r>
                  <w:r>
                    <w:rPr>
                      <w:rFonts w:hint="eastAsia"/>
                      <w:kern w:val="0"/>
                      <w:sz w:val="18"/>
                      <w:szCs w:val="18"/>
                      <w:vertAlign w:val="subscript"/>
                    </w:rPr>
                    <w:t>10</w:t>
                  </w:r>
                  <w:r>
                    <w:rPr>
                      <w:kern w:val="0"/>
                      <w:sz w:val="18"/>
                      <w:szCs w:val="18"/>
                    </w:rPr>
                    <w:t xml:space="preserve"> )</w:t>
                  </w:r>
                </w:p>
                <w:p>
                  <w:pPr>
                    <w:widowControl/>
                    <w:spacing w:line="240" w:lineRule="auto"/>
                    <w:ind w:firstLine="0" w:firstLineChars="0"/>
                    <w:jc w:val="center"/>
                    <w:rPr>
                      <w:kern w:val="0"/>
                      <w:sz w:val="18"/>
                      <w:szCs w:val="18"/>
                    </w:rPr>
                  </w:pPr>
                  <w:r>
                    <w:rPr>
                      <w:kern w:val="0"/>
                      <w:sz w:val="18"/>
                      <w:szCs w:val="18"/>
                    </w:rPr>
                    <w:t>其他污染物( TSP )</w:t>
                  </w:r>
                </w:p>
              </w:tc>
              <w:tc>
                <w:tcPr>
                  <w:tcW w:w="982" w:type="pct"/>
                  <w:gridSpan w:val="5"/>
                  <w:vMerge w:val="restart"/>
                  <w:vAlign w:val="center"/>
                </w:tcPr>
                <w:p>
                  <w:pPr>
                    <w:widowControl/>
                    <w:spacing w:line="240" w:lineRule="auto"/>
                    <w:ind w:firstLine="0" w:firstLineChars="0"/>
                    <w:jc w:val="center"/>
                    <w:rPr>
                      <w:kern w:val="0"/>
                      <w:sz w:val="18"/>
                      <w:szCs w:val="18"/>
                    </w:rPr>
                  </w:pPr>
                  <w:r>
                    <w:rPr>
                      <w:kern w:val="0"/>
                      <w:sz w:val="18"/>
                      <w:szCs w:val="18"/>
                    </w:rPr>
                    <w:t>包括二次PM</w:t>
                  </w:r>
                  <w:r>
                    <w:rPr>
                      <w:kern w:val="0"/>
                      <w:sz w:val="18"/>
                      <w:szCs w:val="18"/>
                      <w:vertAlign w:val="subscript"/>
                    </w:rPr>
                    <w:t>2.5</w:t>
                  </w:r>
                  <w:r>
                    <w:rPr>
                      <w:rFonts w:hint="eastAsia" w:eastAsia="MS Mincho"/>
                      <w:kern w:val="0"/>
                      <w:sz w:val="18"/>
                      <w:szCs w:val="18"/>
                    </w:rPr>
                    <w:t>□</w:t>
                  </w:r>
                </w:p>
                <w:p>
                  <w:pPr>
                    <w:widowControl/>
                    <w:spacing w:line="240" w:lineRule="auto"/>
                    <w:ind w:firstLine="0" w:firstLineChars="0"/>
                    <w:jc w:val="center"/>
                    <w:rPr>
                      <w:kern w:val="0"/>
                      <w:sz w:val="18"/>
                      <w:szCs w:val="18"/>
                    </w:rPr>
                  </w:pPr>
                  <w:r>
                    <w:rPr>
                      <w:kern w:val="0"/>
                      <w:sz w:val="18"/>
                      <w:szCs w:val="18"/>
                    </w:rPr>
                    <w:t>不包括二次PM</w:t>
                  </w:r>
                  <w:r>
                    <w:rPr>
                      <w:kern w:val="0"/>
                      <w:sz w:val="18"/>
                      <w:szCs w:val="18"/>
                      <w:vertAlign w:val="subscript"/>
                    </w:rPr>
                    <w:t>2.5</w:t>
                  </w:r>
                  <w:r>
                    <w:rPr>
                      <w:sz w:val="18"/>
                      <w:szCs w:val="18"/>
                    </w:rPr>
                    <w:sym w:font="Wingdings 2" w:char="0052"/>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81" w:type="pct"/>
                  <w:vMerge w:val="continue"/>
                  <w:vAlign w:val="center"/>
                </w:tcPr>
                <w:p>
                  <w:pPr>
                    <w:widowControl/>
                    <w:spacing w:line="240" w:lineRule="auto"/>
                    <w:ind w:firstLine="0" w:firstLineChars="0"/>
                    <w:jc w:val="center"/>
                    <w:rPr>
                      <w:kern w:val="0"/>
                      <w:sz w:val="18"/>
                      <w:szCs w:val="18"/>
                    </w:rPr>
                  </w:pPr>
                </w:p>
              </w:tc>
              <w:tc>
                <w:tcPr>
                  <w:tcW w:w="858" w:type="pct"/>
                  <w:vMerge w:val="continue"/>
                  <w:vAlign w:val="center"/>
                </w:tcPr>
                <w:p>
                  <w:pPr>
                    <w:widowControl/>
                    <w:spacing w:line="240" w:lineRule="auto"/>
                    <w:ind w:firstLine="0" w:firstLineChars="0"/>
                    <w:jc w:val="center"/>
                    <w:rPr>
                      <w:kern w:val="0"/>
                      <w:sz w:val="18"/>
                      <w:szCs w:val="18"/>
                    </w:rPr>
                  </w:pPr>
                </w:p>
              </w:tc>
              <w:tc>
                <w:tcPr>
                  <w:tcW w:w="2679" w:type="pct"/>
                  <w:gridSpan w:val="13"/>
                  <w:vMerge w:val="continue"/>
                  <w:vAlign w:val="center"/>
                </w:tcPr>
                <w:p>
                  <w:pPr>
                    <w:widowControl/>
                    <w:spacing w:line="240" w:lineRule="auto"/>
                    <w:ind w:firstLine="0" w:firstLineChars="0"/>
                    <w:jc w:val="center"/>
                    <w:rPr>
                      <w:kern w:val="0"/>
                      <w:sz w:val="18"/>
                      <w:szCs w:val="18"/>
                    </w:rPr>
                  </w:pPr>
                </w:p>
              </w:tc>
              <w:tc>
                <w:tcPr>
                  <w:tcW w:w="982" w:type="pct"/>
                  <w:gridSpan w:val="5"/>
                  <w:vMerge w:val="continue"/>
                  <w:vAlign w:val="center"/>
                </w:tcPr>
                <w:p>
                  <w:pPr>
                    <w:widowControl/>
                    <w:spacing w:line="240" w:lineRule="auto"/>
                    <w:ind w:firstLine="0" w:firstLineChars="0"/>
                    <w:jc w:val="center"/>
                    <w:rPr>
                      <w:kern w:val="0"/>
                      <w:sz w:val="18"/>
                      <w:szCs w:val="1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noWrap/>
                  <w:vAlign w:val="center"/>
                </w:tcPr>
                <w:p>
                  <w:pPr>
                    <w:widowControl/>
                    <w:spacing w:line="240" w:lineRule="auto"/>
                    <w:ind w:firstLine="0" w:firstLineChars="0"/>
                    <w:jc w:val="center"/>
                    <w:rPr>
                      <w:kern w:val="0"/>
                      <w:sz w:val="18"/>
                      <w:szCs w:val="18"/>
                    </w:rPr>
                  </w:pPr>
                  <w:r>
                    <w:rPr>
                      <w:kern w:val="0"/>
                      <w:sz w:val="18"/>
                      <w:szCs w:val="18"/>
                    </w:rPr>
                    <w:t>评价标准</w:t>
                  </w:r>
                </w:p>
              </w:tc>
              <w:tc>
                <w:tcPr>
                  <w:tcW w:w="858" w:type="pct"/>
                  <w:noWrap/>
                  <w:vAlign w:val="center"/>
                </w:tcPr>
                <w:p>
                  <w:pPr>
                    <w:widowControl/>
                    <w:spacing w:line="240" w:lineRule="auto"/>
                    <w:ind w:firstLine="0" w:firstLineChars="0"/>
                    <w:jc w:val="center"/>
                    <w:rPr>
                      <w:kern w:val="0"/>
                      <w:sz w:val="18"/>
                      <w:szCs w:val="18"/>
                    </w:rPr>
                  </w:pPr>
                  <w:r>
                    <w:rPr>
                      <w:kern w:val="0"/>
                      <w:sz w:val="18"/>
                      <w:szCs w:val="18"/>
                    </w:rPr>
                    <w:t>评价标准</w:t>
                  </w:r>
                </w:p>
              </w:tc>
              <w:tc>
                <w:tcPr>
                  <w:tcW w:w="889" w:type="pct"/>
                  <w:gridSpan w:val="3"/>
                  <w:noWrap/>
                  <w:vAlign w:val="center"/>
                </w:tcPr>
                <w:p>
                  <w:pPr>
                    <w:widowControl/>
                    <w:spacing w:line="240" w:lineRule="auto"/>
                    <w:ind w:firstLine="0" w:firstLineChars="0"/>
                    <w:jc w:val="center"/>
                    <w:rPr>
                      <w:kern w:val="0"/>
                      <w:sz w:val="18"/>
                      <w:szCs w:val="18"/>
                    </w:rPr>
                  </w:pPr>
                  <w:r>
                    <w:rPr>
                      <w:kern w:val="0"/>
                      <w:sz w:val="18"/>
                      <w:szCs w:val="18"/>
                    </w:rPr>
                    <w:t>国家标准</w:t>
                  </w:r>
                  <w:r>
                    <w:rPr>
                      <w:sz w:val="18"/>
                      <w:szCs w:val="18"/>
                    </w:rPr>
                    <w:sym w:font="Wingdings 2" w:char="0052"/>
                  </w:r>
                </w:p>
              </w:tc>
              <w:tc>
                <w:tcPr>
                  <w:tcW w:w="1130" w:type="pct"/>
                  <w:gridSpan w:val="7"/>
                  <w:noWrap/>
                  <w:vAlign w:val="center"/>
                </w:tcPr>
                <w:p>
                  <w:pPr>
                    <w:widowControl/>
                    <w:spacing w:line="240" w:lineRule="auto"/>
                    <w:ind w:firstLine="0" w:firstLineChars="0"/>
                    <w:jc w:val="center"/>
                    <w:rPr>
                      <w:kern w:val="0"/>
                      <w:sz w:val="18"/>
                      <w:szCs w:val="18"/>
                    </w:rPr>
                  </w:pPr>
                  <w:r>
                    <w:rPr>
                      <w:kern w:val="0"/>
                      <w:sz w:val="18"/>
                      <w:szCs w:val="18"/>
                    </w:rPr>
                    <w:t>地方标准</w:t>
                  </w:r>
                  <w:r>
                    <w:rPr>
                      <w:rFonts w:hint="eastAsia" w:eastAsia="MS Mincho"/>
                      <w:kern w:val="0"/>
                      <w:sz w:val="18"/>
                      <w:szCs w:val="18"/>
                    </w:rPr>
                    <w:t>□</w:t>
                  </w:r>
                </w:p>
              </w:tc>
              <w:tc>
                <w:tcPr>
                  <w:tcW w:w="660" w:type="pct"/>
                  <w:gridSpan w:val="3"/>
                  <w:noWrap/>
                  <w:vAlign w:val="center"/>
                </w:tcPr>
                <w:p>
                  <w:pPr>
                    <w:widowControl/>
                    <w:spacing w:line="240" w:lineRule="auto"/>
                    <w:ind w:firstLine="0" w:firstLineChars="0"/>
                    <w:jc w:val="center"/>
                    <w:rPr>
                      <w:kern w:val="0"/>
                      <w:sz w:val="18"/>
                      <w:szCs w:val="18"/>
                    </w:rPr>
                  </w:pPr>
                  <w:r>
                    <w:rPr>
                      <w:kern w:val="0"/>
                      <w:sz w:val="18"/>
                      <w:szCs w:val="18"/>
                    </w:rPr>
                    <w:t>附录D</w:t>
                  </w:r>
                  <w:r>
                    <w:rPr>
                      <w:rFonts w:hint="eastAsia" w:eastAsia="MS Mincho"/>
                      <w:kern w:val="0"/>
                      <w:sz w:val="18"/>
                      <w:szCs w:val="18"/>
                    </w:rPr>
                    <w:t>□</w:t>
                  </w:r>
                </w:p>
              </w:tc>
              <w:tc>
                <w:tcPr>
                  <w:tcW w:w="982" w:type="pct"/>
                  <w:gridSpan w:val="5"/>
                  <w:noWrap/>
                  <w:vAlign w:val="center"/>
                </w:tcPr>
                <w:p>
                  <w:pPr>
                    <w:widowControl/>
                    <w:spacing w:line="240" w:lineRule="auto"/>
                    <w:ind w:firstLine="0" w:firstLineChars="0"/>
                    <w:jc w:val="center"/>
                    <w:rPr>
                      <w:kern w:val="0"/>
                      <w:sz w:val="18"/>
                      <w:szCs w:val="18"/>
                    </w:rPr>
                  </w:pPr>
                  <w:r>
                    <w:rPr>
                      <w:kern w:val="0"/>
                      <w:sz w:val="18"/>
                      <w:szCs w:val="18"/>
                    </w:rPr>
                    <w:t>其他标准</w:t>
                  </w:r>
                  <w:r>
                    <w:rPr>
                      <w:rFonts w:hint="eastAsia" w:eastAsia="MS Mincho"/>
                      <w:kern w:val="0"/>
                      <w:sz w:val="18"/>
                      <w:szCs w:val="18"/>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restart"/>
                  <w:noWrap/>
                  <w:vAlign w:val="center"/>
                </w:tcPr>
                <w:p>
                  <w:pPr>
                    <w:widowControl/>
                    <w:spacing w:line="240" w:lineRule="auto"/>
                    <w:ind w:firstLine="0" w:firstLineChars="0"/>
                    <w:jc w:val="center"/>
                    <w:rPr>
                      <w:kern w:val="0"/>
                      <w:sz w:val="18"/>
                      <w:szCs w:val="18"/>
                    </w:rPr>
                  </w:pPr>
                  <w:r>
                    <w:rPr>
                      <w:kern w:val="0"/>
                      <w:sz w:val="18"/>
                      <w:szCs w:val="18"/>
                    </w:rPr>
                    <w:t>现状评价</w:t>
                  </w:r>
                </w:p>
              </w:tc>
              <w:tc>
                <w:tcPr>
                  <w:tcW w:w="858" w:type="pct"/>
                  <w:noWrap/>
                  <w:vAlign w:val="center"/>
                </w:tcPr>
                <w:p>
                  <w:pPr>
                    <w:widowControl/>
                    <w:spacing w:line="240" w:lineRule="auto"/>
                    <w:ind w:firstLine="0" w:firstLineChars="0"/>
                    <w:jc w:val="center"/>
                    <w:rPr>
                      <w:kern w:val="0"/>
                      <w:sz w:val="18"/>
                      <w:szCs w:val="18"/>
                    </w:rPr>
                  </w:pPr>
                  <w:r>
                    <w:rPr>
                      <w:kern w:val="0"/>
                      <w:sz w:val="18"/>
                      <w:szCs w:val="18"/>
                    </w:rPr>
                    <w:t>环境功能区</w:t>
                  </w:r>
                </w:p>
              </w:tc>
              <w:tc>
                <w:tcPr>
                  <w:tcW w:w="889" w:type="pct"/>
                  <w:gridSpan w:val="3"/>
                  <w:noWrap/>
                  <w:vAlign w:val="center"/>
                </w:tcPr>
                <w:p>
                  <w:pPr>
                    <w:widowControl/>
                    <w:spacing w:line="240" w:lineRule="auto"/>
                    <w:ind w:firstLine="0" w:firstLineChars="0"/>
                    <w:jc w:val="center"/>
                    <w:rPr>
                      <w:kern w:val="0"/>
                      <w:sz w:val="18"/>
                      <w:szCs w:val="18"/>
                    </w:rPr>
                  </w:pPr>
                  <w:r>
                    <w:rPr>
                      <w:kern w:val="0"/>
                      <w:sz w:val="18"/>
                      <w:szCs w:val="18"/>
                    </w:rPr>
                    <w:t>一类区</w:t>
                  </w:r>
                  <w:r>
                    <w:rPr>
                      <w:rFonts w:hint="eastAsia" w:eastAsia="MS Mincho"/>
                      <w:kern w:val="0"/>
                      <w:sz w:val="18"/>
                      <w:szCs w:val="18"/>
                    </w:rPr>
                    <w:t>□</w:t>
                  </w:r>
                </w:p>
              </w:tc>
              <w:tc>
                <w:tcPr>
                  <w:tcW w:w="1130" w:type="pct"/>
                  <w:gridSpan w:val="7"/>
                  <w:noWrap/>
                  <w:vAlign w:val="center"/>
                </w:tcPr>
                <w:p>
                  <w:pPr>
                    <w:widowControl/>
                    <w:spacing w:line="240" w:lineRule="auto"/>
                    <w:ind w:firstLine="0" w:firstLineChars="0"/>
                    <w:jc w:val="center"/>
                    <w:rPr>
                      <w:kern w:val="0"/>
                      <w:sz w:val="18"/>
                      <w:szCs w:val="18"/>
                    </w:rPr>
                  </w:pPr>
                  <w:r>
                    <w:rPr>
                      <w:kern w:val="0"/>
                      <w:sz w:val="18"/>
                      <w:szCs w:val="18"/>
                    </w:rPr>
                    <w:t>二类区</w:t>
                  </w:r>
                  <w:r>
                    <w:rPr>
                      <w:sz w:val="18"/>
                      <w:szCs w:val="18"/>
                    </w:rPr>
                    <w:sym w:font="Wingdings 2" w:char="0052"/>
                  </w:r>
                </w:p>
              </w:tc>
              <w:tc>
                <w:tcPr>
                  <w:tcW w:w="1642" w:type="pct"/>
                  <w:gridSpan w:val="8"/>
                  <w:noWrap/>
                  <w:vAlign w:val="center"/>
                </w:tcPr>
                <w:p>
                  <w:pPr>
                    <w:widowControl/>
                    <w:spacing w:line="240" w:lineRule="auto"/>
                    <w:ind w:firstLine="0" w:firstLineChars="0"/>
                    <w:jc w:val="center"/>
                    <w:rPr>
                      <w:kern w:val="0"/>
                      <w:sz w:val="18"/>
                      <w:szCs w:val="18"/>
                    </w:rPr>
                  </w:pPr>
                  <w:r>
                    <w:rPr>
                      <w:kern w:val="0"/>
                      <w:sz w:val="18"/>
                      <w:szCs w:val="18"/>
                    </w:rPr>
                    <w:t>一类区和二类区</w:t>
                  </w:r>
                  <w:r>
                    <w:rPr>
                      <w:rFonts w:hint="eastAsia" w:eastAsia="MS Mincho"/>
                      <w:kern w:val="0"/>
                      <w:sz w:val="18"/>
                      <w:szCs w:val="18"/>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continue"/>
                  <w:vAlign w:val="center"/>
                </w:tcPr>
                <w:p>
                  <w:pPr>
                    <w:widowControl/>
                    <w:spacing w:line="240" w:lineRule="auto"/>
                    <w:ind w:firstLine="0" w:firstLineChars="0"/>
                    <w:jc w:val="center"/>
                    <w:rPr>
                      <w:kern w:val="0"/>
                      <w:sz w:val="18"/>
                      <w:szCs w:val="18"/>
                    </w:rPr>
                  </w:pPr>
                </w:p>
              </w:tc>
              <w:tc>
                <w:tcPr>
                  <w:tcW w:w="858" w:type="pct"/>
                  <w:noWrap/>
                  <w:vAlign w:val="center"/>
                </w:tcPr>
                <w:p>
                  <w:pPr>
                    <w:widowControl/>
                    <w:spacing w:line="240" w:lineRule="auto"/>
                    <w:ind w:firstLine="0" w:firstLineChars="0"/>
                    <w:jc w:val="center"/>
                    <w:rPr>
                      <w:kern w:val="0"/>
                      <w:sz w:val="18"/>
                      <w:szCs w:val="18"/>
                    </w:rPr>
                  </w:pPr>
                  <w:r>
                    <w:rPr>
                      <w:kern w:val="0"/>
                      <w:sz w:val="18"/>
                      <w:szCs w:val="18"/>
                    </w:rPr>
                    <w:t>评价基准年</w:t>
                  </w:r>
                </w:p>
              </w:tc>
              <w:tc>
                <w:tcPr>
                  <w:tcW w:w="3661" w:type="pct"/>
                  <w:gridSpan w:val="18"/>
                  <w:noWrap/>
                  <w:vAlign w:val="center"/>
                </w:tcPr>
                <w:p>
                  <w:pPr>
                    <w:widowControl/>
                    <w:spacing w:line="240" w:lineRule="auto"/>
                    <w:ind w:firstLine="0" w:firstLineChars="0"/>
                    <w:jc w:val="center"/>
                    <w:rPr>
                      <w:kern w:val="0"/>
                      <w:sz w:val="18"/>
                      <w:szCs w:val="18"/>
                    </w:rPr>
                  </w:pPr>
                  <w:r>
                    <w:rPr>
                      <w:kern w:val="0"/>
                      <w:sz w:val="18"/>
                      <w:szCs w:val="18"/>
                    </w:rPr>
                    <w:t>( 2019 )年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continue"/>
                  <w:vAlign w:val="center"/>
                </w:tcPr>
                <w:p>
                  <w:pPr>
                    <w:widowControl/>
                    <w:spacing w:line="240" w:lineRule="auto"/>
                    <w:ind w:firstLine="0" w:firstLineChars="0"/>
                    <w:jc w:val="center"/>
                    <w:rPr>
                      <w:kern w:val="0"/>
                      <w:sz w:val="18"/>
                      <w:szCs w:val="18"/>
                    </w:rPr>
                  </w:pPr>
                </w:p>
              </w:tc>
              <w:tc>
                <w:tcPr>
                  <w:tcW w:w="858" w:type="pct"/>
                  <w:vAlign w:val="center"/>
                </w:tcPr>
                <w:p>
                  <w:pPr>
                    <w:widowControl/>
                    <w:spacing w:line="240" w:lineRule="auto"/>
                    <w:ind w:firstLine="0" w:firstLineChars="0"/>
                    <w:jc w:val="center"/>
                    <w:rPr>
                      <w:kern w:val="0"/>
                      <w:sz w:val="18"/>
                      <w:szCs w:val="18"/>
                    </w:rPr>
                  </w:pPr>
                  <w:r>
                    <w:rPr>
                      <w:kern w:val="0"/>
                      <w:sz w:val="18"/>
                      <w:szCs w:val="18"/>
                    </w:rPr>
                    <w:t>环境空气质量现状调查数据来源</w:t>
                  </w:r>
                </w:p>
              </w:tc>
              <w:tc>
                <w:tcPr>
                  <w:tcW w:w="1270" w:type="pct"/>
                  <w:gridSpan w:val="5"/>
                  <w:noWrap/>
                  <w:vAlign w:val="center"/>
                </w:tcPr>
                <w:p>
                  <w:pPr>
                    <w:widowControl/>
                    <w:spacing w:line="240" w:lineRule="auto"/>
                    <w:ind w:firstLine="0" w:firstLineChars="0"/>
                    <w:jc w:val="center"/>
                    <w:rPr>
                      <w:kern w:val="0"/>
                      <w:sz w:val="18"/>
                      <w:szCs w:val="18"/>
                    </w:rPr>
                  </w:pPr>
                  <w:r>
                    <w:rPr>
                      <w:kern w:val="0"/>
                      <w:sz w:val="18"/>
                      <w:szCs w:val="18"/>
                    </w:rPr>
                    <w:t>长期例行监测数据</w:t>
                  </w:r>
                  <w:r>
                    <w:rPr>
                      <w:rFonts w:hint="eastAsia" w:eastAsia="MS Mincho"/>
                      <w:kern w:val="0"/>
                      <w:sz w:val="18"/>
                      <w:szCs w:val="18"/>
                    </w:rPr>
                    <w:t>□</w:t>
                  </w:r>
                </w:p>
              </w:tc>
              <w:tc>
                <w:tcPr>
                  <w:tcW w:w="1745" w:type="pct"/>
                  <w:gridSpan w:val="11"/>
                  <w:noWrap/>
                  <w:vAlign w:val="center"/>
                </w:tcPr>
                <w:p>
                  <w:pPr>
                    <w:widowControl/>
                    <w:spacing w:line="240" w:lineRule="auto"/>
                    <w:ind w:firstLine="0" w:firstLineChars="0"/>
                    <w:jc w:val="center"/>
                    <w:rPr>
                      <w:kern w:val="0"/>
                      <w:sz w:val="18"/>
                      <w:szCs w:val="18"/>
                    </w:rPr>
                  </w:pPr>
                  <w:r>
                    <w:rPr>
                      <w:kern w:val="0"/>
                      <w:sz w:val="18"/>
                      <w:szCs w:val="18"/>
                    </w:rPr>
                    <w:t>主管部门发布的数据</w:t>
                  </w:r>
                  <w:r>
                    <w:rPr>
                      <w:sz w:val="18"/>
                      <w:szCs w:val="18"/>
                    </w:rPr>
                    <w:sym w:font="Wingdings 2" w:char="0052"/>
                  </w:r>
                </w:p>
              </w:tc>
              <w:tc>
                <w:tcPr>
                  <w:tcW w:w="647" w:type="pct"/>
                  <w:gridSpan w:val="2"/>
                  <w:noWrap/>
                  <w:vAlign w:val="center"/>
                </w:tcPr>
                <w:p>
                  <w:pPr>
                    <w:widowControl/>
                    <w:spacing w:line="240" w:lineRule="auto"/>
                    <w:ind w:firstLine="0" w:firstLineChars="0"/>
                    <w:jc w:val="center"/>
                    <w:rPr>
                      <w:kern w:val="0"/>
                      <w:sz w:val="18"/>
                      <w:szCs w:val="18"/>
                    </w:rPr>
                  </w:pPr>
                  <w:r>
                    <w:rPr>
                      <w:kern w:val="0"/>
                      <w:sz w:val="18"/>
                      <w:szCs w:val="18"/>
                    </w:rPr>
                    <w:t>现状补充监测</w:t>
                  </w:r>
                  <w:r>
                    <w:rPr>
                      <w:rFonts w:hint="eastAsia" w:eastAsia="MS Mincho"/>
                      <w:kern w:val="0"/>
                      <w:sz w:val="18"/>
                      <w:szCs w:val="18"/>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continue"/>
                  <w:vAlign w:val="center"/>
                </w:tcPr>
                <w:p>
                  <w:pPr>
                    <w:widowControl/>
                    <w:spacing w:line="240" w:lineRule="auto"/>
                    <w:ind w:firstLine="0" w:firstLineChars="0"/>
                    <w:jc w:val="center"/>
                    <w:rPr>
                      <w:kern w:val="0"/>
                      <w:sz w:val="18"/>
                      <w:szCs w:val="18"/>
                    </w:rPr>
                  </w:pPr>
                </w:p>
              </w:tc>
              <w:tc>
                <w:tcPr>
                  <w:tcW w:w="858" w:type="pct"/>
                  <w:noWrap/>
                  <w:vAlign w:val="center"/>
                </w:tcPr>
                <w:p>
                  <w:pPr>
                    <w:widowControl/>
                    <w:spacing w:line="240" w:lineRule="auto"/>
                    <w:ind w:firstLine="0" w:firstLineChars="0"/>
                    <w:jc w:val="center"/>
                    <w:rPr>
                      <w:kern w:val="0"/>
                      <w:sz w:val="18"/>
                      <w:szCs w:val="18"/>
                    </w:rPr>
                  </w:pPr>
                  <w:r>
                    <w:rPr>
                      <w:kern w:val="0"/>
                      <w:sz w:val="18"/>
                      <w:szCs w:val="18"/>
                    </w:rPr>
                    <w:t>现状评价</w:t>
                  </w:r>
                </w:p>
              </w:tc>
              <w:tc>
                <w:tcPr>
                  <w:tcW w:w="2168" w:type="pct"/>
                  <w:gridSpan w:val="11"/>
                  <w:noWrap/>
                  <w:vAlign w:val="center"/>
                </w:tcPr>
                <w:p>
                  <w:pPr>
                    <w:widowControl/>
                    <w:spacing w:line="240" w:lineRule="auto"/>
                    <w:ind w:firstLine="0" w:firstLineChars="0"/>
                    <w:jc w:val="center"/>
                    <w:rPr>
                      <w:kern w:val="0"/>
                      <w:sz w:val="18"/>
                      <w:szCs w:val="18"/>
                    </w:rPr>
                  </w:pPr>
                  <w:r>
                    <w:rPr>
                      <w:kern w:val="0"/>
                      <w:sz w:val="18"/>
                      <w:szCs w:val="18"/>
                    </w:rPr>
                    <w:t>达标区</w:t>
                  </w:r>
                  <w:r>
                    <w:rPr>
                      <w:rFonts w:hint="eastAsia" w:eastAsia="MS Mincho"/>
                      <w:kern w:val="0"/>
                      <w:sz w:val="18"/>
                      <w:szCs w:val="18"/>
                    </w:rPr>
                    <w:t>□</w:t>
                  </w:r>
                </w:p>
              </w:tc>
              <w:tc>
                <w:tcPr>
                  <w:tcW w:w="1493" w:type="pct"/>
                  <w:gridSpan w:val="7"/>
                  <w:noWrap/>
                  <w:vAlign w:val="center"/>
                </w:tcPr>
                <w:p>
                  <w:pPr>
                    <w:widowControl/>
                    <w:spacing w:line="240" w:lineRule="auto"/>
                    <w:ind w:firstLine="0" w:firstLineChars="0"/>
                    <w:jc w:val="center"/>
                    <w:rPr>
                      <w:kern w:val="0"/>
                      <w:sz w:val="18"/>
                      <w:szCs w:val="18"/>
                    </w:rPr>
                  </w:pPr>
                  <w:r>
                    <w:rPr>
                      <w:kern w:val="0"/>
                      <w:sz w:val="18"/>
                      <w:szCs w:val="18"/>
                    </w:rPr>
                    <w:t>不达标区</w:t>
                  </w:r>
                  <w:r>
                    <w:rPr>
                      <w:sz w:val="18"/>
                      <w:szCs w:val="18"/>
                    </w:rPr>
                    <w:sym w:font="Wingdings 2" w:char="0052"/>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81" w:type="pct"/>
                  <w:vMerge w:val="restart"/>
                  <w:noWrap/>
                  <w:vAlign w:val="center"/>
                </w:tcPr>
                <w:p>
                  <w:pPr>
                    <w:widowControl/>
                    <w:spacing w:line="240" w:lineRule="auto"/>
                    <w:ind w:firstLine="0" w:firstLineChars="0"/>
                    <w:jc w:val="center"/>
                    <w:rPr>
                      <w:kern w:val="0"/>
                      <w:sz w:val="18"/>
                      <w:szCs w:val="18"/>
                    </w:rPr>
                  </w:pPr>
                  <w:r>
                    <w:rPr>
                      <w:kern w:val="0"/>
                      <w:sz w:val="18"/>
                      <w:szCs w:val="18"/>
                    </w:rPr>
                    <w:t>污染源</w:t>
                  </w:r>
                </w:p>
                <w:p>
                  <w:pPr>
                    <w:widowControl/>
                    <w:spacing w:line="240" w:lineRule="auto"/>
                    <w:ind w:firstLine="0" w:firstLineChars="0"/>
                    <w:jc w:val="center"/>
                    <w:rPr>
                      <w:kern w:val="0"/>
                      <w:sz w:val="18"/>
                      <w:szCs w:val="18"/>
                    </w:rPr>
                  </w:pPr>
                  <w:r>
                    <w:rPr>
                      <w:kern w:val="0"/>
                      <w:sz w:val="18"/>
                      <w:szCs w:val="18"/>
                    </w:rPr>
                    <w:t>调查</w:t>
                  </w:r>
                </w:p>
              </w:tc>
              <w:tc>
                <w:tcPr>
                  <w:tcW w:w="858" w:type="pct"/>
                  <w:vMerge w:val="restart"/>
                  <w:noWrap/>
                  <w:vAlign w:val="center"/>
                </w:tcPr>
                <w:p>
                  <w:pPr>
                    <w:widowControl/>
                    <w:spacing w:line="240" w:lineRule="auto"/>
                    <w:ind w:firstLine="0" w:firstLineChars="0"/>
                    <w:jc w:val="center"/>
                    <w:rPr>
                      <w:kern w:val="0"/>
                      <w:sz w:val="18"/>
                      <w:szCs w:val="18"/>
                    </w:rPr>
                  </w:pPr>
                  <w:r>
                    <w:rPr>
                      <w:kern w:val="0"/>
                      <w:sz w:val="18"/>
                      <w:szCs w:val="18"/>
                    </w:rPr>
                    <w:t>调查内容</w:t>
                  </w:r>
                </w:p>
              </w:tc>
              <w:tc>
                <w:tcPr>
                  <w:tcW w:w="1053" w:type="pct"/>
                  <w:gridSpan w:val="4"/>
                  <w:vMerge w:val="restart"/>
                  <w:vAlign w:val="center"/>
                </w:tcPr>
                <w:p>
                  <w:pPr>
                    <w:widowControl/>
                    <w:spacing w:line="240" w:lineRule="auto"/>
                    <w:ind w:firstLine="0" w:firstLineChars="0"/>
                    <w:jc w:val="center"/>
                    <w:rPr>
                      <w:kern w:val="0"/>
                      <w:sz w:val="18"/>
                      <w:szCs w:val="18"/>
                    </w:rPr>
                  </w:pPr>
                  <w:r>
                    <w:rPr>
                      <w:kern w:val="0"/>
                      <w:sz w:val="18"/>
                      <w:szCs w:val="18"/>
                    </w:rPr>
                    <w:t>本项目正常排放源</w:t>
                  </w:r>
                  <w:r>
                    <w:rPr>
                      <w:sz w:val="18"/>
                      <w:szCs w:val="18"/>
                    </w:rPr>
                    <w:sym w:font="Wingdings 2" w:char="0052"/>
                  </w:r>
                </w:p>
                <w:p>
                  <w:pPr>
                    <w:widowControl/>
                    <w:spacing w:line="240" w:lineRule="auto"/>
                    <w:ind w:firstLine="0" w:firstLineChars="0"/>
                    <w:jc w:val="center"/>
                    <w:rPr>
                      <w:kern w:val="0"/>
                      <w:sz w:val="18"/>
                      <w:szCs w:val="18"/>
                    </w:rPr>
                  </w:pPr>
                  <w:r>
                    <w:rPr>
                      <w:kern w:val="0"/>
                      <w:sz w:val="18"/>
                      <w:szCs w:val="18"/>
                    </w:rPr>
                    <w:t>本项目非正常排放源</w:t>
                  </w:r>
                  <w:r>
                    <w:rPr>
                      <w:rFonts w:hint="eastAsia" w:eastAsia="MS Mincho"/>
                      <w:kern w:val="0"/>
                      <w:sz w:val="18"/>
                      <w:szCs w:val="18"/>
                    </w:rPr>
                    <w:t>□</w:t>
                  </w:r>
                </w:p>
                <w:p>
                  <w:pPr>
                    <w:widowControl/>
                    <w:spacing w:line="240" w:lineRule="auto"/>
                    <w:ind w:firstLine="0" w:firstLineChars="0"/>
                    <w:jc w:val="center"/>
                    <w:rPr>
                      <w:kern w:val="0"/>
                      <w:sz w:val="18"/>
                      <w:szCs w:val="18"/>
                    </w:rPr>
                  </w:pPr>
                  <w:r>
                    <w:rPr>
                      <w:kern w:val="0"/>
                      <w:sz w:val="18"/>
                      <w:szCs w:val="18"/>
                    </w:rPr>
                    <w:t>现有污染源</w:t>
                  </w:r>
                  <w:r>
                    <w:rPr>
                      <w:rFonts w:hint="eastAsia" w:eastAsia="MS Mincho"/>
                      <w:kern w:val="0"/>
                      <w:sz w:val="18"/>
                      <w:szCs w:val="18"/>
                    </w:rPr>
                    <w:t>□</w:t>
                  </w:r>
                </w:p>
              </w:tc>
              <w:tc>
                <w:tcPr>
                  <w:tcW w:w="1115" w:type="pct"/>
                  <w:gridSpan w:val="7"/>
                  <w:vMerge w:val="restart"/>
                  <w:noWrap/>
                  <w:vAlign w:val="center"/>
                </w:tcPr>
                <w:p>
                  <w:pPr>
                    <w:widowControl/>
                    <w:spacing w:line="240" w:lineRule="auto"/>
                    <w:ind w:firstLine="0" w:firstLineChars="0"/>
                    <w:jc w:val="center"/>
                    <w:rPr>
                      <w:kern w:val="0"/>
                      <w:sz w:val="18"/>
                      <w:szCs w:val="18"/>
                    </w:rPr>
                  </w:pPr>
                  <w:r>
                    <w:rPr>
                      <w:kern w:val="0"/>
                      <w:sz w:val="18"/>
                      <w:szCs w:val="18"/>
                    </w:rPr>
                    <w:t>拟替代的污染源</w:t>
                  </w:r>
                  <w:r>
                    <w:rPr>
                      <w:rFonts w:hint="eastAsia" w:eastAsia="MS Mincho"/>
                      <w:kern w:val="0"/>
                      <w:sz w:val="18"/>
                      <w:szCs w:val="18"/>
                    </w:rPr>
                    <w:t>□</w:t>
                  </w:r>
                </w:p>
              </w:tc>
              <w:tc>
                <w:tcPr>
                  <w:tcW w:w="721" w:type="pct"/>
                  <w:gridSpan w:val="3"/>
                  <w:vMerge w:val="restart"/>
                  <w:vAlign w:val="center"/>
                </w:tcPr>
                <w:p>
                  <w:pPr>
                    <w:widowControl/>
                    <w:spacing w:line="240" w:lineRule="auto"/>
                    <w:ind w:firstLine="0" w:firstLineChars="0"/>
                    <w:jc w:val="center"/>
                    <w:rPr>
                      <w:kern w:val="0"/>
                      <w:sz w:val="18"/>
                      <w:szCs w:val="18"/>
                    </w:rPr>
                  </w:pPr>
                  <w:r>
                    <w:rPr>
                      <w:kern w:val="0"/>
                      <w:sz w:val="18"/>
                      <w:szCs w:val="18"/>
                    </w:rPr>
                    <w:t>其他在建、拟建项目污染源</w:t>
                  </w:r>
                  <w:r>
                    <w:rPr>
                      <w:rFonts w:hint="eastAsia" w:eastAsia="MS Mincho"/>
                      <w:kern w:val="0"/>
                      <w:sz w:val="18"/>
                      <w:szCs w:val="18"/>
                    </w:rPr>
                    <w:t>□</w:t>
                  </w:r>
                </w:p>
              </w:tc>
              <w:tc>
                <w:tcPr>
                  <w:tcW w:w="772" w:type="pct"/>
                  <w:gridSpan w:val="4"/>
                  <w:vMerge w:val="restart"/>
                  <w:noWrap/>
                  <w:vAlign w:val="center"/>
                </w:tcPr>
                <w:p>
                  <w:pPr>
                    <w:widowControl/>
                    <w:spacing w:line="240" w:lineRule="auto"/>
                    <w:ind w:firstLine="0" w:firstLineChars="0"/>
                    <w:jc w:val="center"/>
                    <w:rPr>
                      <w:kern w:val="0"/>
                      <w:sz w:val="18"/>
                      <w:szCs w:val="18"/>
                    </w:rPr>
                  </w:pPr>
                  <w:r>
                    <w:rPr>
                      <w:kern w:val="0"/>
                      <w:sz w:val="18"/>
                      <w:szCs w:val="18"/>
                    </w:rPr>
                    <w:t>区域污染源</w:t>
                  </w:r>
                  <w:r>
                    <w:rPr>
                      <w:rFonts w:hint="eastAsia" w:eastAsia="MS Mincho"/>
                      <w:kern w:val="0"/>
                      <w:sz w:val="18"/>
                      <w:szCs w:val="18"/>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81" w:type="pct"/>
                  <w:vMerge w:val="continue"/>
                  <w:vAlign w:val="center"/>
                </w:tcPr>
                <w:p>
                  <w:pPr>
                    <w:widowControl/>
                    <w:spacing w:line="240" w:lineRule="auto"/>
                    <w:ind w:firstLine="0" w:firstLineChars="0"/>
                    <w:jc w:val="center"/>
                    <w:rPr>
                      <w:kern w:val="0"/>
                      <w:sz w:val="18"/>
                      <w:szCs w:val="18"/>
                    </w:rPr>
                  </w:pPr>
                </w:p>
              </w:tc>
              <w:tc>
                <w:tcPr>
                  <w:tcW w:w="858" w:type="pct"/>
                  <w:vMerge w:val="continue"/>
                  <w:vAlign w:val="center"/>
                </w:tcPr>
                <w:p>
                  <w:pPr>
                    <w:widowControl/>
                    <w:spacing w:line="240" w:lineRule="auto"/>
                    <w:ind w:firstLine="0" w:firstLineChars="0"/>
                    <w:jc w:val="center"/>
                    <w:rPr>
                      <w:kern w:val="0"/>
                      <w:sz w:val="18"/>
                      <w:szCs w:val="18"/>
                    </w:rPr>
                  </w:pPr>
                </w:p>
              </w:tc>
              <w:tc>
                <w:tcPr>
                  <w:tcW w:w="1053" w:type="pct"/>
                  <w:gridSpan w:val="4"/>
                  <w:vMerge w:val="continue"/>
                  <w:vAlign w:val="center"/>
                </w:tcPr>
                <w:p>
                  <w:pPr>
                    <w:widowControl/>
                    <w:spacing w:line="240" w:lineRule="auto"/>
                    <w:ind w:firstLine="0" w:firstLineChars="0"/>
                    <w:jc w:val="center"/>
                    <w:rPr>
                      <w:kern w:val="0"/>
                      <w:sz w:val="18"/>
                      <w:szCs w:val="18"/>
                    </w:rPr>
                  </w:pPr>
                </w:p>
              </w:tc>
              <w:tc>
                <w:tcPr>
                  <w:tcW w:w="1115" w:type="pct"/>
                  <w:gridSpan w:val="7"/>
                  <w:vMerge w:val="continue"/>
                  <w:vAlign w:val="center"/>
                </w:tcPr>
                <w:p>
                  <w:pPr>
                    <w:widowControl/>
                    <w:spacing w:line="240" w:lineRule="auto"/>
                    <w:ind w:firstLine="0" w:firstLineChars="0"/>
                    <w:jc w:val="center"/>
                    <w:rPr>
                      <w:kern w:val="0"/>
                      <w:sz w:val="18"/>
                      <w:szCs w:val="18"/>
                    </w:rPr>
                  </w:pPr>
                </w:p>
              </w:tc>
              <w:tc>
                <w:tcPr>
                  <w:tcW w:w="721" w:type="pct"/>
                  <w:gridSpan w:val="3"/>
                  <w:vMerge w:val="continue"/>
                  <w:vAlign w:val="center"/>
                </w:tcPr>
                <w:p>
                  <w:pPr>
                    <w:widowControl/>
                    <w:spacing w:line="240" w:lineRule="auto"/>
                    <w:ind w:firstLine="0" w:firstLineChars="0"/>
                    <w:jc w:val="center"/>
                    <w:rPr>
                      <w:kern w:val="0"/>
                      <w:sz w:val="18"/>
                      <w:szCs w:val="18"/>
                    </w:rPr>
                  </w:pPr>
                </w:p>
              </w:tc>
              <w:tc>
                <w:tcPr>
                  <w:tcW w:w="772" w:type="pct"/>
                  <w:gridSpan w:val="4"/>
                  <w:vMerge w:val="continue"/>
                  <w:vAlign w:val="center"/>
                </w:tcPr>
                <w:p>
                  <w:pPr>
                    <w:widowControl/>
                    <w:spacing w:line="240" w:lineRule="auto"/>
                    <w:ind w:firstLine="0" w:firstLineChars="0"/>
                    <w:jc w:val="center"/>
                    <w:rPr>
                      <w:kern w:val="0"/>
                      <w:sz w:val="18"/>
                      <w:szCs w:val="1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81" w:type="pct"/>
                  <w:vMerge w:val="continue"/>
                  <w:vAlign w:val="center"/>
                </w:tcPr>
                <w:p>
                  <w:pPr>
                    <w:widowControl/>
                    <w:spacing w:line="240" w:lineRule="auto"/>
                    <w:ind w:firstLine="0" w:firstLineChars="0"/>
                    <w:jc w:val="center"/>
                    <w:rPr>
                      <w:kern w:val="0"/>
                      <w:sz w:val="18"/>
                      <w:szCs w:val="18"/>
                    </w:rPr>
                  </w:pPr>
                </w:p>
              </w:tc>
              <w:tc>
                <w:tcPr>
                  <w:tcW w:w="858" w:type="pct"/>
                  <w:vMerge w:val="continue"/>
                  <w:vAlign w:val="center"/>
                </w:tcPr>
                <w:p>
                  <w:pPr>
                    <w:widowControl/>
                    <w:spacing w:line="240" w:lineRule="auto"/>
                    <w:ind w:firstLine="0" w:firstLineChars="0"/>
                    <w:jc w:val="center"/>
                    <w:rPr>
                      <w:kern w:val="0"/>
                      <w:sz w:val="18"/>
                      <w:szCs w:val="18"/>
                    </w:rPr>
                  </w:pPr>
                </w:p>
              </w:tc>
              <w:tc>
                <w:tcPr>
                  <w:tcW w:w="1053" w:type="pct"/>
                  <w:gridSpan w:val="4"/>
                  <w:vMerge w:val="continue"/>
                  <w:vAlign w:val="center"/>
                </w:tcPr>
                <w:p>
                  <w:pPr>
                    <w:widowControl/>
                    <w:spacing w:line="240" w:lineRule="auto"/>
                    <w:ind w:firstLine="0" w:firstLineChars="0"/>
                    <w:jc w:val="center"/>
                    <w:rPr>
                      <w:kern w:val="0"/>
                      <w:sz w:val="18"/>
                      <w:szCs w:val="18"/>
                    </w:rPr>
                  </w:pPr>
                </w:p>
              </w:tc>
              <w:tc>
                <w:tcPr>
                  <w:tcW w:w="1115" w:type="pct"/>
                  <w:gridSpan w:val="7"/>
                  <w:vMerge w:val="continue"/>
                  <w:vAlign w:val="center"/>
                </w:tcPr>
                <w:p>
                  <w:pPr>
                    <w:widowControl/>
                    <w:spacing w:line="240" w:lineRule="auto"/>
                    <w:ind w:firstLine="0" w:firstLineChars="0"/>
                    <w:jc w:val="center"/>
                    <w:rPr>
                      <w:kern w:val="0"/>
                      <w:sz w:val="18"/>
                      <w:szCs w:val="18"/>
                    </w:rPr>
                  </w:pPr>
                </w:p>
              </w:tc>
              <w:tc>
                <w:tcPr>
                  <w:tcW w:w="721" w:type="pct"/>
                  <w:gridSpan w:val="3"/>
                  <w:vMerge w:val="continue"/>
                  <w:vAlign w:val="center"/>
                </w:tcPr>
                <w:p>
                  <w:pPr>
                    <w:widowControl/>
                    <w:spacing w:line="240" w:lineRule="auto"/>
                    <w:ind w:firstLine="0" w:firstLineChars="0"/>
                    <w:jc w:val="center"/>
                    <w:rPr>
                      <w:kern w:val="0"/>
                      <w:sz w:val="18"/>
                      <w:szCs w:val="18"/>
                    </w:rPr>
                  </w:pPr>
                </w:p>
              </w:tc>
              <w:tc>
                <w:tcPr>
                  <w:tcW w:w="772" w:type="pct"/>
                  <w:gridSpan w:val="4"/>
                  <w:vMerge w:val="continue"/>
                  <w:vAlign w:val="center"/>
                </w:tcPr>
                <w:p>
                  <w:pPr>
                    <w:widowControl/>
                    <w:spacing w:line="240" w:lineRule="auto"/>
                    <w:ind w:firstLine="0" w:firstLineChars="0"/>
                    <w:jc w:val="center"/>
                    <w:rPr>
                      <w:kern w:val="0"/>
                      <w:sz w:val="18"/>
                      <w:szCs w:val="1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restart"/>
                  <w:vAlign w:val="center"/>
                </w:tcPr>
                <w:p>
                  <w:pPr>
                    <w:widowControl/>
                    <w:spacing w:line="240" w:lineRule="auto"/>
                    <w:ind w:firstLine="0" w:firstLineChars="0"/>
                    <w:jc w:val="center"/>
                    <w:rPr>
                      <w:kern w:val="0"/>
                      <w:sz w:val="18"/>
                      <w:szCs w:val="18"/>
                    </w:rPr>
                  </w:pPr>
                  <w:r>
                    <w:rPr>
                      <w:kern w:val="0"/>
                      <w:sz w:val="18"/>
                      <w:szCs w:val="18"/>
                    </w:rPr>
                    <w:t>大气环境影响预测与评价</w:t>
                  </w:r>
                </w:p>
              </w:tc>
              <w:tc>
                <w:tcPr>
                  <w:tcW w:w="858" w:type="pct"/>
                  <w:vAlign w:val="center"/>
                </w:tcPr>
                <w:p>
                  <w:pPr>
                    <w:widowControl/>
                    <w:spacing w:line="240" w:lineRule="auto"/>
                    <w:ind w:firstLine="0" w:firstLineChars="0"/>
                    <w:jc w:val="center"/>
                    <w:rPr>
                      <w:kern w:val="0"/>
                      <w:sz w:val="18"/>
                      <w:szCs w:val="18"/>
                    </w:rPr>
                  </w:pPr>
                  <w:r>
                    <w:rPr>
                      <w:kern w:val="0"/>
                      <w:sz w:val="18"/>
                      <w:szCs w:val="18"/>
                    </w:rPr>
                    <w:t>预测模型</w:t>
                  </w:r>
                </w:p>
              </w:tc>
              <w:tc>
                <w:tcPr>
                  <w:tcW w:w="610" w:type="pct"/>
                  <w:vAlign w:val="center"/>
                </w:tcPr>
                <w:p>
                  <w:pPr>
                    <w:widowControl/>
                    <w:spacing w:line="240" w:lineRule="auto"/>
                    <w:ind w:firstLine="0" w:firstLineChars="0"/>
                    <w:jc w:val="center"/>
                    <w:rPr>
                      <w:kern w:val="0"/>
                      <w:sz w:val="16"/>
                      <w:szCs w:val="16"/>
                    </w:rPr>
                  </w:pPr>
                  <w:r>
                    <w:rPr>
                      <w:kern w:val="0"/>
                      <w:sz w:val="16"/>
                      <w:szCs w:val="16"/>
                    </w:rPr>
                    <w:t>AERMOD</w:t>
                  </w:r>
                  <w:r>
                    <w:rPr>
                      <w:rFonts w:hint="eastAsia" w:eastAsia="MS Mincho"/>
                      <w:kern w:val="0"/>
                      <w:sz w:val="18"/>
                      <w:szCs w:val="18"/>
                    </w:rPr>
                    <w:sym w:font="Wingdings 2" w:char="00A3"/>
                  </w:r>
                </w:p>
              </w:tc>
              <w:tc>
                <w:tcPr>
                  <w:tcW w:w="443" w:type="pct"/>
                  <w:gridSpan w:val="3"/>
                  <w:vAlign w:val="center"/>
                </w:tcPr>
                <w:p>
                  <w:pPr>
                    <w:widowControl/>
                    <w:spacing w:line="240" w:lineRule="auto"/>
                    <w:ind w:firstLine="0" w:firstLineChars="0"/>
                    <w:jc w:val="center"/>
                    <w:rPr>
                      <w:kern w:val="0"/>
                      <w:sz w:val="16"/>
                      <w:szCs w:val="16"/>
                    </w:rPr>
                  </w:pPr>
                  <w:r>
                    <w:rPr>
                      <w:kern w:val="0"/>
                      <w:sz w:val="16"/>
                      <w:szCs w:val="16"/>
                    </w:rPr>
                    <w:t>ADMS</w:t>
                  </w:r>
                  <w:r>
                    <w:rPr>
                      <w:rFonts w:hint="eastAsia" w:eastAsia="MS Mincho"/>
                      <w:kern w:val="0"/>
                      <w:sz w:val="18"/>
                      <w:szCs w:val="18"/>
                    </w:rPr>
                    <w:t>□</w:t>
                  </w:r>
                </w:p>
              </w:tc>
              <w:tc>
                <w:tcPr>
                  <w:tcW w:w="666" w:type="pct"/>
                  <w:gridSpan w:val="4"/>
                  <w:vAlign w:val="center"/>
                </w:tcPr>
                <w:p>
                  <w:pPr>
                    <w:widowControl/>
                    <w:spacing w:line="240" w:lineRule="auto"/>
                    <w:ind w:firstLine="0" w:firstLineChars="0"/>
                    <w:jc w:val="center"/>
                    <w:rPr>
                      <w:kern w:val="0"/>
                      <w:sz w:val="16"/>
                      <w:szCs w:val="16"/>
                    </w:rPr>
                  </w:pPr>
                  <w:r>
                    <w:rPr>
                      <w:kern w:val="0"/>
                      <w:sz w:val="16"/>
                      <w:szCs w:val="16"/>
                    </w:rPr>
                    <w:t>AUSTAL2000</w:t>
                  </w:r>
                  <w:r>
                    <w:rPr>
                      <w:rFonts w:hint="eastAsia" w:eastAsia="MS Mincho"/>
                      <w:kern w:val="0"/>
                      <w:sz w:val="18"/>
                      <w:szCs w:val="18"/>
                    </w:rPr>
                    <w:t>□</w:t>
                  </w:r>
                </w:p>
              </w:tc>
              <w:tc>
                <w:tcPr>
                  <w:tcW w:w="646" w:type="pct"/>
                  <w:gridSpan w:val="4"/>
                  <w:vAlign w:val="center"/>
                </w:tcPr>
                <w:p>
                  <w:pPr>
                    <w:widowControl/>
                    <w:spacing w:line="240" w:lineRule="auto"/>
                    <w:ind w:firstLine="0" w:firstLineChars="0"/>
                    <w:jc w:val="center"/>
                    <w:rPr>
                      <w:kern w:val="0"/>
                      <w:sz w:val="16"/>
                      <w:szCs w:val="16"/>
                    </w:rPr>
                  </w:pPr>
                  <w:r>
                    <w:rPr>
                      <w:kern w:val="0"/>
                      <w:sz w:val="16"/>
                      <w:szCs w:val="16"/>
                    </w:rPr>
                    <w:t>EDMS/AEDT</w:t>
                  </w:r>
                  <w:r>
                    <w:rPr>
                      <w:rFonts w:hint="eastAsia" w:eastAsia="MS Mincho"/>
                      <w:kern w:val="0"/>
                      <w:sz w:val="18"/>
                      <w:szCs w:val="18"/>
                    </w:rPr>
                    <w:t>□</w:t>
                  </w:r>
                </w:p>
              </w:tc>
              <w:tc>
                <w:tcPr>
                  <w:tcW w:w="524" w:type="pct"/>
                  <w:gridSpan w:val="2"/>
                  <w:vAlign w:val="center"/>
                </w:tcPr>
                <w:p>
                  <w:pPr>
                    <w:widowControl/>
                    <w:spacing w:line="240" w:lineRule="auto"/>
                    <w:ind w:firstLine="0" w:firstLineChars="0"/>
                    <w:jc w:val="center"/>
                    <w:rPr>
                      <w:kern w:val="0"/>
                      <w:sz w:val="16"/>
                      <w:szCs w:val="16"/>
                    </w:rPr>
                  </w:pPr>
                  <w:r>
                    <w:rPr>
                      <w:kern w:val="0"/>
                      <w:sz w:val="16"/>
                      <w:szCs w:val="16"/>
                    </w:rPr>
                    <w:t>CALPUFF</w:t>
                  </w:r>
                  <w:r>
                    <w:rPr>
                      <w:rFonts w:hint="eastAsia" w:eastAsia="MS Mincho"/>
                      <w:kern w:val="0"/>
                      <w:sz w:val="18"/>
                      <w:szCs w:val="18"/>
                    </w:rPr>
                    <w:t>□</w:t>
                  </w:r>
                </w:p>
              </w:tc>
              <w:tc>
                <w:tcPr>
                  <w:tcW w:w="435" w:type="pct"/>
                  <w:gridSpan w:val="3"/>
                  <w:vAlign w:val="center"/>
                </w:tcPr>
                <w:p>
                  <w:pPr>
                    <w:widowControl/>
                    <w:spacing w:line="240" w:lineRule="auto"/>
                    <w:ind w:firstLine="0" w:firstLineChars="0"/>
                    <w:jc w:val="center"/>
                    <w:rPr>
                      <w:kern w:val="0"/>
                      <w:sz w:val="16"/>
                      <w:szCs w:val="16"/>
                    </w:rPr>
                  </w:pPr>
                  <w:r>
                    <w:rPr>
                      <w:kern w:val="0"/>
                      <w:sz w:val="16"/>
                      <w:szCs w:val="16"/>
                    </w:rPr>
                    <w:t>网格模型</w:t>
                  </w:r>
                  <w:r>
                    <w:rPr>
                      <w:rFonts w:hint="eastAsia" w:eastAsia="MS Mincho"/>
                      <w:kern w:val="0"/>
                      <w:sz w:val="18"/>
                      <w:szCs w:val="18"/>
                    </w:rPr>
                    <w:t>□</w:t>
                  </w:r>
                </w:p>
              </w:tc>
              <w:tc>
                <w:tcPr>
                  <w:tcW w:w="337" w:type="pct"/>
                  <w:vAlign w:val="center"/>
                </w:tcPr>
                <w:p>
                  <w:pPr>
                    <w:widowControl/>
                    <w:spacing w:line="240" w:lineRule="auto"/>
                    <w:ind w:firstLine="0" w:firstLineChars="0"/>
                    <w:jc w:val="center"/>
                    <w:rPr>
                      <w:kern w:val="0"/>
                      <w:sz w:val="16"/>
                      <w:szCs w:val="16"/>
                    </w:rPr>
                  </w:pPr>
                  <w:r>
                    <w:rPr>
                      <w:kern w:val="0"/>
                      <w:sz w:val="16"/>
                      <w:szCs w:val="16"/>
                    </w:rPr>
                    <w:t>其他</w:t>
                  </w:r>
                </w:p>
                <w:p>
                  <w:pPr>
                    <w:widowControl/>
                    <w:spacing w:line="240" w:lineRule="auto"/>
                    <w:ind w:firstLine="0" w:firstLineChars="0"/>
                    <w:jc w:val="center"/>
                    <w:rPr>
                      <w:kern w:val="0"/>
                      <w:sz w:val="16"/>
                      <w:szCs w:val="16"/>
                    </w:rPr>
                  </w:pPr>
                  <w:r>
                    <w:rPr>
                      <w:sz w:val="18"/>
                      <w:szCs w:val="18"/>
                    </w:rPr>
                    <w:sym w:font="Wingdings 2" w:char="0052"/>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continue"/>
                  <w:vAlign w:val="center"/>
                </w:tcPr>
                <w:p>
                  <w:pPr>
                    <w:widowControl/>
                    <w:spacing w:line="240" w:lineRule="auto"/>
                    <w:ind w:firstLine="0" w:firstLineChars="0"/>
                    <w:jc w:val="center"/>
                    <w:rPr>
                      <w:kern w:val="0"/>
                      <w:sz w:val="18"/>
                      <w:szCs w:val="18"/>
                    </w:rPr>
                  </w:pPr>
                </w:p>
              </w:tc>
              <w:tc>
                <w:tcPr>
                  <w:tcW w:w="858" w:type="pct"/>
                  <w:noWrap/>
                  <w:vAlign w:val="center"/>
                </w:tcPr>
                <w:p>
                  <w:pPr>
                    <w:widowControl/>
                    <w:spacing w:line="240" w:lineRule="auto"/>
                    <w:ind w:firstLine="0" w:firstLineChars="0"/>
                    <w:jc w:val="center"/>
                    <w:rPr>
                      <w:kern w:val="0"/>
                      <w:sz w:val="18"/>
                      <w:szCs w:val="18"/>
                    </w:rPr>
                  </w:pPr>
                  <w:r>
                    <w:rPr>
                      <w:kern w:val="0"/>
                      <w:sz w:val="18"/>
                      <w:szCs w:val="18"/>
                    </w:rPr>
                    <w:t>预测范围</w:t>
                  </w:r>
                </w:p>
              </w:tc>
              <w:tc>
                <w:tcPr>
                  <w:tcW w:w="1053" w:type="pct"/>
                  <w:gridSpan w:val="4"/>
                  <w:noWrap/>
                  <w:vAlign w:val="center"/>
                </w:tcPr>
                <w:p>
                  <w:pPr>
                    <w:widowControl/>
                    <w:spacing w:line="240" w:lineRule="auto"/>
                    <w:ind w:firstLine="0" w:firstLineChars="0"/>
                    <w:jc w:val="center"/>
                    <w:rPr>
                      <w:kern w:val="0"/>
                      <w:sz w:val="18"/>
                      <w:szCs w:val="18"/>
                    </w:rPr>
                  </w:pPr>
                  <w:r>
                    <w:rPr>
                      <w:kern w:val="0"/>
                      <w:sz w:val="18"/>
                      <w:szCs w:val="18"/>
                    </w:rPr>
                    <w:t>边长≥50km</w:t>
                  </w:r>
                  <w:r>
                    <w:rPr>
                      <w:rFonts w:hint="eastAsia" w:eastAsia="MS Mincho"/>
                      <w:kern w:val="0"/>
                      <w:sz w:val="18"/>
                      <w:szCs w:val="18"/>
                    </w:rPr>
                    <w:t>□</w:t>
                  </w:r>
                </w:p>
              </w:tc>
              <w:tc>
                <w:tcPr>
                  <w:tcW w:w="1312" w:type="pct"/>
                  <w:gridSpan w:val="8"/>
                  <w:noWrap/>
                  <w:vAlign w:val="center"/>
                </w:tcPr>
                <w:p>
                  <w:pPr>
                    <w:widowControl/>
                    <w:spacing w:line="240" w:lineRule="auto"/>
                    <w:ind w:firstLine="0" w:firstLineChars="0"/>
                    <w:jc w:val="center"/>
                    <w:rPr>
                      <w:kern w:val="0"/>
                      <w:sz w:val="18"/>
                      <w:szCs w:val="18"/>
                    </w:rPr>
                  </w:pPr>
                  <w:r>
                    <w:rPr>
                      <w:kern w:val="0"/>
                      <w:sz w:val="18"/>
                      <w:szCs w:val="18"/>
                    </w:rPr>
                    <w:t>边长5～50km</w:t>
                  </w:r>
                  <w:r>
                    <w:rPr>
                      <w:rFonts w:hint="eastAsia" w:eastAsia="MS Mincho"/>
                      <w:kern w:val="0"/>
                      <w:sz w:val="18"/>
                      <w:szCs w:val="18"/>
                    </w:rPr>
                    <w:t>□</w:t>
                  </w:r>
                </w:p>
              </w:tc>
              <w:tc>
                <w:tcPr>
                  <w:tcW w:w="1296" w:type="pct"/>
                  <w:gridSpan w:val="6"/>
                  <w:noWrap/>
                  <w:vAlign w:val="center"/>
                </w:tcPr>
                <w:p>
                  <w:pPr>
                    <w:widowControl/>
                    <w:spacing w:line="240" w:lineRule="auto"/>
                    <w:ind w:firstLine="0" w:firstLineChars="0"/>
                    <w:jc w:val="center"/>
                    <w:rPr>
                      <w:kern w:val="0"/>
                      <w:sz w:val="18"/>
                      <w:szCs w:val="18"/>
                    </w:rPr>
                  </w:pPr>
                  <w:r>
                    <w:rPr>
                      <w:kern w:val="0"/>
                      <w:sz w:val="18"/>
                      <w:szCs w:val="18"/>
                    </w:rPr>
                    <w:t>边长=5km</w:t>
                  </w:r>
                  <w:r>
                    <w:rPr>
                      <w:sz w:val="18"/>
                      <w:szCs w:val="18"/>
                    </w:rPr>
                    <w:sym w:font="Wingdings 2" w:char="0052"/>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continue"/>
                  <w:vAlign w:val="center"/>
                </w:tcPr>
                <w:p>
                  <w:pPr>
                    <w:widowControl/>
                    <w:spacing w:line="240" w:lineRule="auto"/>
                    <w:ind w:firstLine="0" w:firstLineChars="0"/>
                    <w:jc w:val="center"/>
                    <w:rPr>
                      <w:kern w:val="0"/>
                      <w:sz w:val="18"/>
                      <w:szCs w:val="18"/>
                    </w:rPr>
                  </w:pPr>
                </w:p>
              </w:tc>
              <w:tc>
                <w:tcPr>
                  <w:tcW w:w="858" w:type="pct"/>
                  <w:noWrap/>
                  <w:vAlign w:val="center"/>
                </w:tcPr>
                <w:p>
                  <w:pPr>
                    <w:widowControl/>
                    <w:spacing w:line="240" w:lineRule="auto"/>
                    <w:ind w:firstLine="0" w:firstLineChars="0"/>
                    <w:jc w:val="center"/>
                    <w:rPr>
                      <w:kern w:val="0"/>
                      <w:sz w:val="18"/>
                      <w:szCs w:val="18"/>
                    </w:rPr>
                  </w:pPr>
                  <w:r>
                    <w:rPr>
                      <w:kern w:val="0"/>
                      <w:sz w:val="18"/>
                      <w:szCs w:val="18"/>
                    </w:rPr>
                    <w:t>预测因子</w:t>
                  </w:r>
                </w:p>
              </w:tc>
              <w:tc>
                <w:tcPr>
                  <w:tcW w:w="2365" w:type="pct"/>
                  <w:gridSpan w:val="12"/>
                  <w:noWrap/>
                  <w:vAlign w:val="center"/>
                </w:tcPr>
                <w:p>
                  <w:pPr>
                    <w:widowControl/>
                    <w:spacing w:line="240" w:lineRule="auto"/>
                    <w:ind w:firstLine="0" w:firstLineChars="0"/>
                    <w:jc w:val="center"/>
                    <w:rPr>
                      <w:kern w:val="0"/>
                      <w:sz w:val="18"/>
                      <w:szCs w:val="18"/>
                    </w:rPr>
                  </w:pPr>
                  <w:r>
                    <w:rPr>
                      <w:kern w:val="0"/>
                      <w:sz w:val="18"/>
                      <w:szCs w:val="18"/>
                    </w:rPr>
                    <w:t>预测因子(</w:t>
                  </w:r>
                  <w:r>
                    <w:rPr>
                      <w:rFonts w:hint="eastAsia"/>
                      <w:kern w:val="0"/>
                      <w:sz w:val="18"/>
                      <w:szCs w:val="18"/>
                    </w:rPr>
                    <w:t>PM</w:t>
                  </w:r>
                  <w:r>
                    <w:rPr>
                      <w:rFonts w:hint="eastAsia"/>
                      <w:kern w:val="0"/>
                      <w:sz w:val="18"/>
                      <w:szCs w:val="18"/>
                      <w:vertAlign w:val="subscript"/>
                    </w:rPr>
                    <w:t>10</w:t>
                  </w:r>
                  <w:r>
                    <w:rPr>
                      <w:rFonts w:hint="eastAsia"/>
                      <w:kern w:val="0"/>
                      <w:sz w:val="18"/>
                      <w:szCs w:val="18"/>
                    </w:rPr>
                    <w:t>、T</w:t>
                  </w:r>
                  <w:r>
                    <w:rPr>
                      <w:kern w:val="0"/>
                      <w:sz w:val="18"/>
                      <w:szCs w:val="18"/>
                    </w:rPr>
                    <w:t>SP)</w:t>
                  </w:r>
                </w:p>
              </w:tc>
              <w:tc>
                <w:tcPr>
                  <w:tcW w:w="1296" w:type="pct"/>
                  <w:gridSpan w:val="6"/>
                  <w:vAlign w:val="center"/>
                </w:tcPr>
                <w:p>
                  <w:pPr>
                    <w:widowControl/>
                    <w:spacing w:line="240" w:lineRule="auto"/>
                    <w:ind w:firstLine="0" w:firstLineChars="0"/>
                    <w:jc w:val="center"/>
                    <w:rPr>
                      <w:kern w:val="0"/>
                      <w:sz w:val="18"/>
                      <w:szCs w:val="18"/>
                    </w:rPr>
                  </w:pPr>
                  <w:r>
                    <w:rPr>
                      <w:kern w:val="0"/>
                      <w:sz w:val="18"/>
                      <w:szCs w:val="18"/>
                    </w:rPr>
                    <w:t>包括二次PM2.5</w:t>
                  </w:r>
                  <w:r>
                    <w:rPr>
                      <w:rFonts w:hint="eastAsia" w:eastAsia="MS Mincho"/>
                      <w:kern w:val="0"/>
                      <w:sz w:val="18"/>
                      <w:szCs w:val="18"/>
                    </w:rPr>
                    <w:t>□</w:t>
                  </w:r>
                </w:p>
                <w:p>
                  <w:pPr>
                    <w:widowControl/>
                    <w:spacing w:line="240" w:lineRule="auto"/>
                    <w:ind w:firstLine="0" w:firstLineChars="0"/>
                    <w:jc w:val="center"/>
                    <w:rPr>
                      <w:kern w:val="0"/>
                      <w:sz w:val="18"/>
                      <w:szCs w:val="18"/>
                    </w:rPr>
                  </w:pPr>
                  <w:r>
                    <w:rPr>
                      <w:kern w:val="0"/>
                      <w:sz w:val="18"/>
                      <w:szCs w:val="18"/>
                    </w:rPr>
                    <w:t>不包括二次PM2.5</w:t>
                  </w:r>
                  <w:r>
                    <w:rPr>
                      <w:sz w:val="18"/>
                      <w:szCs w:val="18"/>
                    </w:rPr>
                    <w:sym w:font="Wingdings 2" w:char="0052"/>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continue"/>
                  <w:vAlign w:val="center"/>
                </w:tcPr>
                <w:p>
                  <w:pPr>
                    <w:widowControl/>
                    <w:spacing w:line="240" w:lineRule="auto"/>
                    <w:ind w:firstLine="0" w:firstLineChars="0"/>
                    <w:jc w:val="center"/>
                    <w:rPr>
                      <w:kern w:val="0"/>
                      <w:sz w:val="18"/>
                      <w:szCs w:val="18"/>
                    </w:rPr>
                  </w:pPr>
                </w:p>
              </w:tc>
              <w:tc>
                <w:tcPr>
                  <w:tcW w:w="858" w:type="pct"/>
                  <w:vAlign w:val="center"/>
                </w:tcPr>
                <w:p>
                  <w:pPr>
                    <w:widowControl/>
                    <w:spacing w:line="240" w:lineRule="auto"/>
                    <w:ind w:firstLine="0" w:firstLineChars="0"/>
                    <w:jc w:val="center"/>
                    <w:rPr>
                      <w:kern w:val="0"/>
                      <w:sz w:val="18"/>
                      <w:szCs w:val="18"/>
                    </w:rPr>
                  </w:pPr>
                  <w:r>
                    <w:rPr>
                      <w:kern w:val="0"/>
                      <w:sz w:val="18"/>
                      <w:szCs w:val="18"/>
                    </w:rPr>
                    <w:t>正常排放短期浓度贡献值</w:t>
                  </w:r>
                </w:p>
              </w:tc>
              <w:tc>
                <w:tcPr>
                  <w:tcW w:w="2365" w:type="pct"/>
                  <w:gridSpan w:val="12"/>
                  <w:noWrap/>
                  <w:vAlign w:val="center"/>
                </w:tcPr>
                <w:p>
                  <w:pPr>
                    <w:widowControl/>
                    <w:spacing w:line="240" w:lineRule="auto"/>
                    <w:ind w:firstLine="0" w:firstLineChars="0"/>
                    <w:jc w:val="center"/>
                    <w:rPr>
                      <w:kern w:val="0"/>
                      <w:sz w:val="18"/>
                      <w:szCs w:val="18"/>
                    </w:rPr>
                  </w:pPr>
                  <w:r>
                    <w:rPr>
                      <w:kern w:val="0"/>
                      <w:sz w:val="18"/>
                      <w:szCs w:val="18"/>
                    </w:rPr>
                    <w:t>C</w:t>
                  </w:r>
                  <w:r>
                    <w:rPr>
                      <w:kern w:val="0"/>
                      <w:sz w:val="18"/>
                      <w:szCs w:val="18"/>
                      <w:vertAlign w:val="subscript"/>
                    </w:rPr>
                    <w:t>本项目</w:t>
                  </w:r>
                  <w:r>
                    <w:rPr>
                      <w:kern w:val="0"/>
                      <w:sz w:val="18"/>
                      <w:szCs w:val="18"/>
                    </w:rPr>
                    <w:t>最大占标率≤100%</w:t>
                  </w:r>
                  <w:r>
                    <w:rPr>
                      <w:sz w:val="18"/>
                      <w:szCs w:val="18"/>
                    </w:rPr>
                    <w:sym w:font="Wingdings 2" w:char="0052"/>
                  </w:r>
                </w:p>
              </w:tc>
              <w:tc>
                <w:tcPr>
                  <w:tcW w:w="1296" w:type="pct"/>
                  <w:gridSpan w:val="6"/>
                  <w:noWrap/>
                  <w:vAlign w:val="center"/>
                </w:tcPr>
                <w:p>
                  <w:pPr>
                    <w:widowControl/>
                    <w:spacing w:line="240" w:lineRule="auto"/>
                    <w:ind w:firstLine="0" w:firstLineChars="0"/>
                    <w:jc w:val="center"/>
                    <w:rPr>
                      <w:kern w:val="0"/>
                      <w:sz w:val="18"/>
                      <w:szCs w:val="18"/>
                    </w:rPr>
                  </w:pPr>
                  <w:r>
                    <w:rPr>
                      <w:kern w:val="0"/>
                      <w:sz w:val="18"/>
                      <w:szCs w:val="18"/>
                    </w:rPr>
                    <w:t>C</w:t>
                  </w:r>
                  <w:r>
                    <w:rPr>
                      <w:kern w:val="0"/>
                      <w:sz w:val="18"/>
                      <w:szCs w:val="18"/>
                      <w:vertAlign w:val="subscript"/>
                    </w:rPr>
                    <w:t>本项目</w:t>
                  </w:r>
                  <w:r>
                    <w:rPr>
                      <w:kern w:val="0"/>
                      <w:sz w:val="18"/>
                      <w:szCs w:val="18"/>
                    </w:rPr>
                    <w:t>最大占标率＞100%</w:t>
                  </w:r>
                  <w:r>
                    <w:rPr>
                      <w:rFonts w:hint="eastAsia" w:eastAsia="MS Mincho"/>
                      <w:kern w:val="0"/>
                      <w:sz w:val="18"/>
                      <w:szCs w:val="18"/>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continue"/>
                  <w:vAlign w:val="center"/>
                </w:tcPr>
                <w:p>
                  <w:pPr>
                    <w:widowControl/>
                    <w:spacing w:line="240" w:lineRule="auto"/>
                    <w:ind w:firstLine="0" w:firstLineChars="0"/>
                    <w:jc w:val="center"/>
                    <w:rPr>
                      <w:kern w:val="0"/>
                      <w:sz w:val="18"/>
                      <w:szCs w:val="18"/>
                    </w:rPr>
                  </w:pPr>
                </w:p>
              </w:tc>
              <w:tc>
                <w:tcPr>
                  <w:tcW w:w="858" w:type="pct"/>
                  <w:vMerge w:val="restart"/>
                  <w:vAlign w:val="center"/>
                </w:tcPr>
                <w:p>
                  <w:pPr>
                    <w:widowControl/>
                    <w:spacing w:line="240" w:lineRule="auto"/>
                    <w:ind w:firstLine="0" w:firstLineChars="0"/>
                    <w:jc w:val="center"/>
                    <w:rPr>
                      <w:kern w:val="0"/>
                      <w:sz w:val="18"/>
                      <w:szCs w:val="18"/>
                    </w:rPr>
                  </w:pPr>
                  <w:r>
                    <w:rPr>
                      <w:kern w:val="0"/>
                      <w:sz w:val="18"/>
                      <w:szCs w:val="18"/>
                    </w:rPr>
                    <w:t>正常排放年均浓度贡献值</w:t>
                  </w:r>
                </w:p>
              </w:tc>
              <w:tc>
                <w:tcPr>
                  <w:tcW w:w="767" w:type="pct"/>
                  <w:gridSpan w:val="2"/>
                  <w:noWrap/>
                  <w:vAlign w:val="center"/>
                </w:tcPr>
                <w:p>
                  <w:pPr>
                    <w:widowControl/>
                    <w:spacing w:line="240" w:lineRule="auto"/>
                    <w:ind w:firstLine="0" w:firstLineChars="0"/>
                    <w:jc w:val="center"/>
                    <w:rPr>
                      <w:kern w:val="0"/>
                      <w:sz w:val="18"/>
                      <w:szCs w:val="18"/>
                    </w:rPr>
                  </w:pPr>
                  <w:r>
                    <w:rPr>
                      <w:kern w:val="0"/>
                      <w:sz w:val="18"/>
                      <w:szCs w:val="18"/>
                    </w:rPr>
                    <w:t>一类区</w:t>
                  </w:r>
                </w:p>
              </w:tc>
              <w:tc>
                <w:tcPr>
                  <w:tcW w:w="1598" w:type="pct"/>
                  <w:gridSpan w:val="10"/>
                  <w:noWrap/>
                  <w:vAlign w:val="center"/>
                </w:tcPr>
                <w:p>
                  <w:pPr>
                    <w:widowControl/>
                    <w:spacing w:line="240" w:lineRule="auto"/>
                    <w:ind w:firstLine="0" w:firstLineChars="0"/>
                    <w:jc w:val="center"/>
                    <w:rPr>
                      <w:kern w:val="0"/>
                      <w:sz w:val="18"/>
                      <w:szCs w:val="18"/>
                    </w:rPr>
                  </w:pPr>
                  <w:r>
                    <w:rPr>
                      <w:kern w:val="0"/>
                      <w:sz w:val="18"/>
                      <w:szCs w:val="18"/>
                    </w:rPr>
                    <w:t>C</w:t>
                  </w:r>
                  <w:r>
                    <w:rPr>
                      <w:kern w:val="0"/>
                      <w:sz w:val="18"/>
                      <w:szCs w:val="18"/>
                      <w:vertAlign w:val="subscript"/>
                    </w:rPr>
                    <w:t>本项目</w:t>
                  </w:r>
                  <w:r>
                    <w:rPr>
                      <w:kern w:val="0"/>
                      <w:sz w:val="18"/>
                      <w:szCs w:val="18"/>
                    </w:rPr>
                    <w:t>最大占标率≤10%</w:t>
                  </w:r>
                  <w:r>
                    <w:rPr>
                      <w:rFonts w:hint="eastAsia" w:eastAsia="MS Mincho"/>
                      <w:kern w:val="0"/>
                      <w:sz w:val="18"/>
                      <w:szCs w:val="18"/>
                    </w:rPr>
                    <w:t>□</w:t>
                  </w:r>
                </w:p>
              </w:tc>
              <w:tc>
                <w:tcPr>
                  <w:tcW w:w="1296" w:type="pct"/>
                  <w:gridSpan w:val="6"/>
                  <w:noWrap/>
                  <w:vAlign w:val="center"/>
                </w:tcPr>
                <w:p>
                  <w:pPr>
                    <w:widowControl/>
                    <w:spacing w:line="240" w:lineRule="auto"/>
                    <w:ind w:firstLine="0" w:firstLineChars="0"/>
                    <w:jc w:val="center"/>
                    <w:rPr>
                      <w:kern w:val="0"/>
                      <w:sz w:val="18"/>
                      <w:szCs w:val="18"/>
                    </w:rPr>
                  </w:pPr>
                  <w:r>
                    <w:rPr>
                      <w:kern w:val="0"/>
                      <w:sz w:val="18"/>
                      <w:szCs w:val="18"/>
                    </w:rPr>
                    <w:t>C</w:t>
                  </w:r>
                  <w:r>
                    <w:rPr>
                      <w:kern w:val="0"/>
                      <w:sz w:val="18"/>
                      <w:szCs w:val="18"/>
                      <w:vertAlign w:val="subscript"/>
                    </w:rPr>
                    <w:t>本项目</w:t>
                  </w:r>
                  <w:r>
                    <w:rPr>
                      <w:kern w:val="0"/>
                      <w:sz w:val="18"/>
                      <w:szCs w:val="18"/>
                    </w:rPr>
                    <w:t>最大占标率＞10%</w:t>
                  </w:r>
                  <w:r>
                    <w:rPr>
                      <w:rFonts w:hint="eastAsia" w:eastAsia="MS Mincho"/>
                      <w:kern w:val="0"/>
                      <w:sz w:val="18"/>
                      <w:szCs w:val="18"/>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continue"/>
                  <w:vAlign w:val="center"/>
                </w:tcPr>
                <w:p>
                  <w:pPr>
                    <w:widowControl/>
                    <w:spacing w:line="240" w:lineRule="auto"/>
                    <w:ind w:firstLine="0" w:firstLineChars="0"/>
                    <w:jc w:val="center"/>
                    <w:rPr>
                      <w:kern w:val="0"/>
                      <w:sz w:val="18"/>
                      <w:szCs w:val="18"/>
                    </w:rPr>
                  </w:pPr>
                </w:p>
              </w:tc>
              <w:tc>
                <w:tcPr>
                  <w:tcW w:w="858" w:type="pct"/>
                  <w:vMerge w:val="continue"/>
                  <w:vAlign w:val="center"/>
                </w:tcPr>
                <w:p>
                  <w:pPr>
                    <w:widowControl/>
                    <w:spacing w:line="240" w:lineRule="auto"/>
                    <w:ind w:firstLine="0" w:firstLineChars="0"/>
                    <w:jc w:val="center"/>
                    <w:rPr>
                      <w:kern w:val="0"/>
                      <w:sz w:val="18"/>
                      <w:szCs w:val="18"/>
                    </w:rPr>
                  </w:pPr>
                </w:p>
              </w:tc>
              <w:tc>
                <w:tcPr>
                  <w:tcW w:w="767" w:type="pct"/>
                  <w:gridSpan w:val="2"/>
                  <w:noWrap/>
                  <w:vAlign w:val="center"/>
                </w:tcPr>
                <w:p>
                  <w:pPr>
                    <w:widowControl/>
                    <w:spacing w:line="240" w:lineRule="auto"/>
                    <w:ind w:firstLine="0" w:firstLineChars="0"/>
                    <w:jc w:val="center"/>
                    <w:rPr>
                      <w:kern w:val="0"/>
                      <w:sz w:val="18"/>
                      <w:szCs w:val="18"/>
                    </w:rPr>
                  </w:pPr>
                  <w:r>
                    <w:rPr>
                      <w:kern w:val="0"/>
                      <w:sz w:val="18"/>
                      <w:szCs w:val="18"/>
                    </w:rPr>
                    <w:t>二类区</w:t>
                  </w:r>
                </w:p>
              </w:tc>
              <w:tc>
                <w:tcPr>
                  <w:tcW w:w="1598" w:type="pct"/>
                  <w:gridSpan w:val="10"/>
                  <w:noWrap/>
                  <w:vAlign w:val="center"/>
                </w:tcPr>
                <w:p>
                  <w:pPr>
                    <w:widowControl/>
                    <w:spacing w:line="240" w:lineRule="auto"/>
                    <w:ind w:firstLine="0" w:firstLineChars="0"/>
                    <w:jc w:val="center"/>
                    <w:rPr>
                      <w:kern w:val="0"/>
                      <w:sz w:val="18"/>
                      <w:szCs w:val="18"/>
                    </w:rPr>
                  </w:pPr>
                  <w:r>
                    <w:rPr>
                      <w:kern w:val="0"/>
                      <w:sz w:val="18"/>
                      <w:szCs w:val="18"/>
                    </w:rPr>
                    <w:t>C</w:t>
                  </w:r>
                  <w:r>
                    <w:rPr>
                      <w:kern w:val="0"/>
                      <w:sz w:val="18"/>
                      <w:szCs w:val="18"/>
                      <w:vertAlign w:val="subscript"/>
                    </w:rPr>
                    <w:t>本项目</w:t>
                  </w:r>
                  <w:r>
                    <w:rPr>
                      <w:kern w:val="0"/>
                      <w:sz w:val="18"/>
                      <w:szCs w:val="18"/>
                    </w:rPr>
                    <w:t>最大占标率≤30%</w:t>
                  </w:r>
                  <w:r>
                    <w:rPr>
                      <w:rFonts w:hint="eastAsia" w:eastAsia="MS Mincho"/>
                      <w:kern w:val="0"/>
                      <w:sz w:val="18"/>
                      <w:szCs w:val="18"/>
                    </w:rPr>
                    <w:t>□</w:t>
                  </w:r>
                </w:p>
              </w:tc>
              <w:tc>
                <w:tcPr>
                  <w:tcW w:w="1296" w:type="pct"/>
                  <w:gridSpan w:val="6"/>
                  <w:noWrap/>
                  <w:vAlign w:val="center"/>
                </w:tcPr>
                <w:p>
                  <w:pPr>
                    <w:widowControl/>
                    <w:spacing w:line="240" w:lineRule="auto"/>
                    <w:ind w:firstLine="0" w:firstLineChars="0"/>
                    <w:jc w:val="center"/>
                    <w:rPr>
                      <w:kern w:val="0"/>
                      <w:sz w:val="18"/>
                      <w:szCs w:val="18"/>
                    </w:rPr>
                  </w:pPr>
                  <w:r>
                    <w:rPr>
                      <w:kern w:val="0"/>
                      <w:sz w:val="18"/>
                      <w:szCs w:val="18"/>
                    </w:rPr>
                    <w:t>C</w:t>
                  </w:r>
                  <w:r>
                    <w:rPr>
                      <w:kern w:val="0"/>
                      <w:sz w:val="18"/>
                      <w:szCs w:val="18"/>
                      <w:vertAlign w:val="subscript"/>
                    </w:rPr>
                    <w:t>本项目</w:t>
                  </w:r>
                  <w:r>
                    <w:rPr>
                      <w:kern w:val="0"/>
                      <w:sz w:val="18"/>
                      <w:szCs w:val="18"/>
                    </w:rPr>
                    <w:t>最大占标率＞30%</w:t>
                  </w:r>
                  <w:r>
                    <w:rPr>
                      <w:rFonts w:hint="eastAsia" w:eastAsia="MS Mincho"/>
                      <w:kern w:val="0"/>
                      <w:sz w:val="18"/>
                      <w:szCs w:val="18"/>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continue"/>
                  <w:vAlign w:val="center"/>
                </w:tcPr>
                <w:p>
                  <w:pPr>
                    <w:widowControl/>
                    <w:spacing w:line="240" w:lineRule="auto"/>
                    <w:ind w:firstLine="0" w:firstLineChars="0"/>
                    <w:jc w:val="center"/>
                    <w:rPr>
                      <w:kern w:val="0"/>
                      <w:sz w:val="18"/>
                      <w:szCs w:val="18"/>
                    </w:rPr>
                  </w:pPr>
                </w:p>
              </w:tc>
              <w:tc>
                <w:tcPr>
                  <w:tcW w:w="858" w:type="pct"/>
                  <w:vAlign w:val="center"/>
                </w:tcPr>
                <w:p>
                  <w:pPr>
                    <w:widowControl/>
                    <w:spacing w:line="240" w:lineRule="auto"/>
                    <w:ind w:firstLine="0" w:firstLineChars="0"/>
                    <w:jc w:val="center"/>
                    <w:rPr>
                      <w:kern w:val="0"/>
                      <w:sz w:val="18"/>
                      <w:szCs w:val="18"/>
                    </w:rPr>
                  </w:pPr>
                  <w:r>
                    <w:rPr>
                      <w:kern w:val="0"/>
                      <w:sz w:val="18"/>
                      <w:szCs w:val="18"/>
                    </w:rPr>
                    <w:t>非正常排放1h浓度贡献值</w:t>
                  </w:r>
                </w:p>
              </w:tc>
              <w:tc>
                <w:tcPr>
                  <w:tcW w:w="767" w:type="pct"/>
                  <w:gridSpan w:val="2"/>
                  <w:vAlign w:val="center"/>
                </w:tcPr>
                <w:p>
                  <w:pPr>
                    <w:widowControl/>
                    <w:spacing w:line="240" w:lineRule="auto"/>
                    <w:ind w:firstLine="0" w:firstLineChars="0"/>
                    <w:jc w:val="center"/>
                    <w:rPr>
                      <w:kern w:val="0"/>
                      <w:sz w:val="18"/>
                      <w:szCs w:val="18"/>
                    </w:rPr>
                  </w:pPr>
                  <w:r>
                    <w:rPr>
                      <w:kern w:val="0"/>
                      <w:sz w:val="18"/>
                      <w:szCs w:val="18"/>
                    </w:rPr>
                    <w:t>非正常持续时长(   )h</w:t>
                  </w:r>
                </w:p>
              </w:tc>
              <w:tc>
                <w:tcPr>
                  <w:tcW w:w="1598" w:type="pct"/>
                  <w:gridSpan w:val="10"/>
                  <w:noWrap/>
                  <w:vAlign w:val="center"/>
                </w:tcPr>
                <w:p>
                  <w:pPr>
                    <w:widowControl/>
                    <w:spacing w:line="240" w:lineRule="auto"/>
                    <w:ind w:firstLine="0" w:firstLineChars="0"/>
                    <w:jc w:val="center"/>
                    <w:rPr>
                      <w:kern w:val="0"/>
                      <w:sz w:val="18"/>
                      <w:szCs w:val="18"/>
                    </w:rPr>
                  </w:pPr>
                  <w:r>
                    <w:rPr>
                      <w:kern w:val="0"/>
                      <w:sz w:val="18"/>
                      <w:szCs w:val="18"/>
                    </w:rPr>
                    <w:t>C</w:t>
                  </w:r>
                  <w:r>
                    <w:rPr>
                      <w:kern w:val="0"/>
                      <w:sz w:val="18"/>
                      <w:szCs w:val="18"/>
                      <w:vertAlign w:val="subscript"/>
                    </w:rPr>
                    <w:t>非正常</w:t>
                  </w:r>
                  <w:r>
                    <w:rPr>
                      <w:kern w:val="0"/>
                      <w:sz w:val="18"/>
                      <w:szCs w:val="18"/>
                    </w:rPr>
                    <w:t>占标率≤100%</w:t>
                  </w:r>
                  <w:r>
                    <w:rPr>
                      <w:rFonts w:hint="eastAsia" w:eastAsia="MS Mincho"/>
                      <w:kern w:val="0"/>
                      <w:sz w:val="18"/>
                      <w:szCs w:val="18"/>
                    </w:rPr>
                    <w:t>□</w:t>
                  </w:r>
                </w:p>
              </w:tc>
              <w:tc>
                <w:tcPr>
                  <w:tcW w:w="1296" w:type="pct"/>
                  <w:gridSpan w:val="6"/>
                  <w:noWrap/>
                  <w:vAlign w:val="center"/>
                </w:tcPr>
                <w:p>
                  <w:pPr>
                    <w:widowControl/>
                    <w:spacing w:line="240" w:lineRule="auto"/>
                    <w:ind w:firstLine="0" w:firstLineChars="0"/>
                    <w:jc w:val="center"/>
                    <w:rPr>
                      <w:kern w:val="0"/>
                      <w:sz w:val="18"/>
                      <w:szCs w:val="18"/>
                    </w:rPr>
                  </w:pPr>
                  <w:r>
                    <w:rPr>
                      <w:kern w:val="0"/>
                      <w:sz w:val="18"/>
                      <w:szCs w:val="18"/>
                    </w:rPr>
                    <w:t>C</w:t>
                  </w:r>
                  <w:r>
                    <w:rPr>
                      <w:kern w:val="0"/>
                      <w:sz w:val="18"/>
                      <w:szCs w:val="18"/>
                      <w:vertAlign w:val="subscript"/>
                    </w:rPr>
                    <w:t>非正常</w:t>
                  </w:r>
                  <w:r>
                    <w:rPr>
                      <w:kern w:val="0"/>
                      <w:sz w:val="18"/>
                      <w:szCs w:val="18"/>
                    </w:rPr>
                    <w:t>占标率＞100%</w:t>
                  </w:r>
                  <w:r>
                    <w:rPr>
                      <w:rFonts w:hint="eastAsia" w:eastAsia="MS Mincho"/>
                      <w:kern w:val="0"/>
                      <w:sz w:val="18"/>
                      <w:szCs w:val="18"/>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continue"/>
                  <w:vAlign w:val="center"/>
                </w:tcPr>
                <w:p>
                  <w:pPr>
                    <w:widowControl/>
                    <w:spacing w:line="240" w:lineRule="auto"/>
                    <w:ind w:firstLine="0" w:firstLineChars="0"/>
                    <w:jc w:val="center"/>
                    <w:rPr>
                      <w:kern w:val="0"/>
                      <w:sz w:val="18"/>
                      <w:szCs w:val="18"/>
                    </w:rPr>
                  </w:pPr>
                </w:p>
              </w:tc>
              <w:tc>
                <w:tcPr>
                  <w:tcW w:w="858" w:type="pct"/>
                  <w:vAlign w:val="center"/>
                </w:tcPr>
                <w:p>
                  <w:pPr>
                    <w:widowControl/>
                    <w:spacing w:line="240" w:lineRule="auto"/>
                    <w:ind w:firstLine="0" w:firstLineChars="0"/>
                    <w:jc w:val="center"/>
                    <w:rPr>
                      <w:kern w:val="0"/>
                      <w:sz w:val="18"/>
                      <w:szCs w:val="18"/>
                    </w:rPr>
                  </w:pPr>
                  <w:r>
                    <w:rPr>
                      <w:kern w:val="0"/>
                      <w:sz w:val="18"/>
                      <w:szCs w:val="18"/>
                    </w:rPr>
                    <w:t>保证率日平均浓度和年平均浓度叠加值</w:t>
                  </w:r>
                </w:p>
              </w:tc>
              <w:tc>
                <w:tcPr>
                  <w:tcW w:w="1574" w:type="pct"/>
                  <w:gridSpan w:val="7"/>
                  <w:noWrap/>
                  <w:vAlign w:val="center"/>
                </w:tcPr>
                <w:p>
                  <w:pPr>
                    <w:widowControl/>
                    <w:spacing w:line="240" w:lineRule="auto"/>
                    <w:ind w:firstLine="0" w:firstLineChars="0"/>
                    <w:jc w:val="center"/>
                    <w:rPr>
                      <w:kern w:val="0"/>
                      <w:sz w:val="18"/>
                      <w:szCs w:val="18"/>
                    </w:rPr>
                  </w:pPr>
                  <w:r>
                    <w:rPr>
                      <w:kern w:val="0"/>
                      <w:sz w:val="18"/>
                      <w:szCs w:val="18"/>
                    </w:rPr>
                    <w:t>C</w:t>
                  </w:r>
                  <w:r>
                    <w:rPr>
                      <w:kern w:val="0"/>
                      <w:sz w:val="18"/>
                      <w:szCs w:val="18"/>
                      <w:vertAlign w:val="subscript"/>
                    </w:rPr>
                    <w:t>叠加</w:t>
                  </w:r>
                  <w:r>
                    <w:rPr>
                      <w:kern w:val="0"/>
                      <w:sz w:val="18"/>
                      <w:szCs w:val="18"/>
                    </w:rPr>
                    <w:t>达标</w:t>
                  </w:r>
                  <w:r>
                    <w:rPr>
                      <w:rFonts w:hint="eastAsia" w:eastAsia="MS Mincho"/>
                      <w:kern w:val="0"/>
                      <w:sz w:val="18"/>
                      <w:szCs w:val="18"/>
                    </w:rPr>
                    <w:t>□</w:t>
                  </w:r>
                </w:p>
              </w:tc>
              <w:tc>
                <w:tcPr>
                  <w:tcW w:w="2087" w:type="pct"/>
                  <w:gridSpan w:val="11"/>
                  <w:noWrap/>
                  <w:vAlign w:val="center"/>
                </w:tcPr>
                <w:p>
                  <w:pPr>
                    <w:widowControl/>
                    <w:spacing w:line="240" w:lineRule="auto"/>
                    <w:ind w:firstLine="0" w:firstLineChars="0"/>
                    <w:jc w:val="center"/>
                    <w:rPr>
                      <w:kern w:val="0"/>
                      <w:sz w:val="18"/>
                      <w:szCs w:val="18"/>
                    </w:rPr>
                  </w:pPr>
                  <w:r>
                    <w:rPr>
                      <w:kern w:val="0"/>
                      <w:sz w:val="18"/>
                      <w:szCs w:val="18"/>
                    </w:rPr>
                    <w:t>C</w:t>
                  </w:r>
                  <w:r>
                    <w:rPr>
                      <w:kern w:val="0"/>
                      <w:sz w:val="18"/>
                      <w:szCs w:val="18"/>
                      <w:vertAlign w:val="subscript"/>
                    </w:rPr>
                    <w:t>叠加</w:t>
                  </w:r>
                  <w:r>
                    <w:rPr>
                      <w:kern w:val="0"/>
                      <w:sz w:val="18"/>
                      <w:szCs w:val="18"/>
                    </w:rPr>
                    <w:t>不达标</w:t>
                  </w:r>
                  <w:r>
                    <w:rPr>
                      <w:rFonts w:hint="eastAsia" w:eastAsia="MS Mincho"/>
                      <w:kern w:val="0"/>
                      <w:sz w:val="18"/>
                      <w:szCs w:val="18"/>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continue"/>
                  <w:vAlign w:val="center"/>
                </w:tcPr>
                <w:p>
                  <w:pPr>
                    <w:widowControl/>
                    <w:spacing w:line="240" w:lineRule="auto"/>
                    <w:ind w:firstLine="0" w:firstLineChars="0"/>
                    <w:jc w:val="center"/>
                    <w:rPr>
                      <w:kern w:val="0"/>
                      <w:sz w:val="18"/>
                      <w:szCs w:val="18"/>
                    </w:rPr>
                  </w:pPr>
                </w:p>
              </w:tc>
              <w:tc>
                <w:tcPr>
                  <w:tcW w:w="858" w:type="pct"/>
                  <w:vAlign w:val="center"/>
                </w:tcPr>
                <w:p>
                  <w:pPr>
                    <w:widowControl/>
                    <w:spacing w:line="240" w:lineRule="auto"/>
                    <w:ind w:firstLine="0" w:firstLineChars="0"/>
                    <w:jc w:val="center"/>
                    <w:rPr>
                      <w:kern w:val="0"/>
                      <w:sz w:val="18"/>
                      <w:szCs w:val="18"/>
                    </w:rPr>
                  </w:pPr>
                  <w:r>
                    <w:rPr>
                      <w:kern w:val="0"/>
                      <w:sz w:val="18"/>
                      <w:szCs w:val="18"/>
                    </w:rPr>
                    <w:t>区域环境质量的整体变化情况</w:t>
                  </w:r>
                </w:p>
              </w:tc>
              <w:tc>
                <w:tcPr>
                  <w:tcW w:w="1574" w:type="pct"/>
                  <w:gridSpan w:val="7"/>
                  <w:noWrap/>
                  <w:vAlign w:val="center"/>
                </w:tcPr>
                <w:p>
                  <w:pPr>
                    <w:widowControl/>
                    <w:spacing w:line="240" w:lineRule="auto"/>
                    <w:ind w:firstLine="0" w:firstLineChars="0"/>
                    <w:jc w:val="center"/>
                    <w:rPr>
                      <w:kern w:val="0"/>
                      <w:sz w:val="18"/>
                      <w:szCs w:val="18"/>
                    </w:rPr>
                  </w:pPr>
                  <w:r>
                    <w:rPr>
                      <w:kern w:val="0"/>
                      <w:sz w:val="18"/>
                      <w:szCs w:val="18"/>
                    </w:rPr>
                    <w:t>k≤-20%</w:t>
                  </w:r>
                  <w:r>
                    <w:rPr>
                      <w:rFonts w:hint="eastAsia" w:eastAsia="MS Mincho"/>
                      <w:kern w:val="0"/>
                      <w:sz w:val="18"/>
                      <w:szCs w:val="18"/>
                    </w:rPr>
                    <w:t>□</w:t>
                  </w:r>
                </w:p>
              </w:tc>
              <w:tc>
                <w:tcPr>
                  <w:tcW w:w="2087" w:type="pct"/>
                  <w:gridSpan w:val="11"/>
                  <w:noWrap/>
                  <w:vAlign w:val="center"/>
                </w:tcPr>
                <w:p>
                  <w:pPr>
                    <w:widowControl/>
                    <w:spacing w:line="240" w:lineRule="auto"/>
                    <w:ind w:firstLine="0" w:firstLineChars="0"/>
                    <w:jc w:val="center"/>
                    <w:rPr>
                      <w:kern w:val="0"/>
                      <w:sz w:val="18"/>
                      <w:szCs w:val="18"/>
                    </w:rPr>
                  </w:pPr>
                  <w:r>
                    <w:rPr>
                      <w:kern w:val="0"/>
                      <w:sz w:val="18"/>
                      <w:szCs w:val="18"/>
                    </w:rPr>
                    <w:t>k＞-20%</w:t>
                  </w:r>
                  <w:r>
                    <w:rPr>
                      <w:rFonts w:hint="eastAsia" w:eastAsia="MS Mincho"/>
                      <w:kern w:val="0"/>
                      <w:sz w:val="18"/>
                      <w:szCs w:val="18"/>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restart"/>
                  <w:noWrap/>
                  <w:vAlign w:val="center"/>
                </w:tcPr>
                <w:p>
                  <w:pPr>
                    <w:widowControl/>
                    <w:spacing w:line="240" w:lineRule="auto"/>
                    <w:ind w:firstLine="0" w:firstLineChars="0"/>
                    <w:jc w:val="center"/>
                    <w:rPr>
                      <w:kern w:val="0"/>
                      <w:sz w:val="18"/>
                      <w:szCs w:val="18"/>
                    </w:rPr>
                  </w:pPr>
                  <w:r>
                    <w:rPr>
                      <w:kern w:val="0"/>
                      <w:sz w:val="18"/>
                      <w:szCs w:val="18"/>
                    </w:rPr>
                    <w:t>环境监测计划</w:t>
                  </w:r>
                </w:p>
              </w:tc>
              <w:tc>
                <w:tcPr>
                  <w:tcW w:w="858" w:type="pct"/>
                  <w:noWrap/>
                  <w:vAlign w:val="center"/>
                </w:tcPr>
                <w:p>
                  <w:pPr>
                    <w:widowControl/>
                    <w:spacing w:line="240" w:lineRule="auto"/>
                    <w:ind w:firstLine="0" w:firstLineChars="0"/>
                    <w:jc w:val="center"/>
                    <w:rPr>
                      <w:kern w:val="0"/>
                      <w:sz w:val="18"/>
                      <w:szCs w:val="18"/>
                    </w:rPr>
                  </w:pPr>
                  <w:r>
                    <w:rPr>
                      <w:kern w:val="0"/>
                      <w:sz w:val="18"/>
                      <w:szCs w:val="18"/>
                    </w:rPr>
                    <w:t>污染源监测</w:t>
                  </w:r>
                </w:p>
              </w:tc>
              <w:tc>
                <w:tcPr>
                  <w:tcW w:w="1574" w:type="pct"/>
                  <w:gridSpan w:val="7"/>
                  <w:noWrap/>
                  <w:vAlign w:val="center"/>
                </w:tcPr>
                <w:p>
                  <w:pPr>
                    <w:widowControl/>
                    <w:spacing w:line="240" w:lineRule="auto"/>
                    <w:ind w:firstLine="0" w:firstLineChars="0"/>
                    <w:jc w:val="center"/>
                    <w:rPr>
                      <w:kern w:val="0"/>
                      <w:sz w:val="18"/>
                      <w:szCs w:val="18"/>
                    </w:rPr>
                  </w:pPr>
                  <w:r>
                    <w:rPr>
                      <w:kern w:val="0"/>
                      <w:sz w:val="18"/>
                      <w:szCs w:val="18"/>
                    </w:rPr>
                    <w:t>监测因子：(</w:t>
                  </w:r>
                  <w:r>
                    <w:rPr>
                      <w:rFonts w:hint="eastAsia"/>
                      <w:kern w:val="0"/>
                      <w:sz w:val="18"/>
                      <w:szCs w:val="18"/>
                    </w:rPr>
                    <w:t>颗粒物</w:t>
                  </w:r>
                  <w:r>
                    <w:rPr>
                      <w:kern w:val="0"/>
                      <w:sz w:val="18"/>
                      <w:szCs w:val="18"/>
                    </w:rPr>
                    <w:t>)</w:t>
                  </w:r>
                </w:p>
              </w:tc>
              <w:tc>
                <w:tcPr>
                  <w:tcW w:w="1377" w:type="pct"/>
                  <w:gridSpan w:val="8"/>
                  <w:vAlign w:val="center"/>
                </w:tcPr>
                <w:p>
                  <w:pPr>
                    <w:widowControl/>
                    <w:spacing w:line="240" w:lineRule="auto"/>
                    <w:ind w:firstLine="0" w:firstLineChars="0"/>
                    <w:jc w:val="center"/>
                    <w:rPr>
                      <w:kern w:val="0"/>
                      <w:sz w:val="18"/>
                      <w:szCs w:val="18"/>
                    </w:rPr>
                  </w:pPr>
                  <w:r>
                    <w:rPr>
                      <w:kern w:val="0"/>
                      <w:sz w:val="18"/>
                      <w:szCs w:val="18"/>
                    </w:rPr>
                    <w:t>有组织废气监测</w:t>
                  </w:r>
                  <w:r>
                    <w:rPr>
                      <w:sz w:val="18"/>
                      <w:szCs w:val="18"/>
                    </w:rPr>
                    <w:sym w:font="Wingdings 2" w:char="0052"/>
                  </w:r>
                </w:p>
                <w:p>
                  <w:pPr>
                    <w:widowControl/>
                    <w:spacing w:line="240" w:lineRule="auto"/>
                    <w:ind w:firstLine="0" w:firstLineChars="0"/>
                    <w:jc w:val="center"/>
                    <w:rPr>
                      <w:kern w:val="0"/>
                      <w:sz w:val="18"/>
                      <w:szCs w:val="18"/>
                    </w:rPr>
                  </w:pPr>
                  <w:r>
                    <w:rPr>
                      <w:kern w:val="0"/>
                      <w:sz w:val="18"/>
                      <w:szCs w:val="18"/>
                    </w:rPr>
                    <w:t>无组织废气监测</w:t>
                  </w:r>
                  <w:r>
                    <w:rPr>
                      <w:sz w:val="18"/>
                      <w:szCs w:val="18"/>
                    </w:rPr>
                    <w:sym w:font="Wingdings 2" w:char="0052"/>
                  </w:r>
                </w:p>
              </w:tc>
              <w:tc>
                <w:tcPr>
                  <w:tcW w:w="710" w:type="pct"/>
                  <w:gridSpan w:val="3"/>
                  <w:noWrap/>
                  <w:vAlign w:val="center"/>
                </w:tcPr>
                <w:p>
                  <w:pPr>
                    <w:widowControl/>
                    <w:spacing w:line="240" w:lineRule="auto"/>
                    <w:ind w:firstLine="0" w:firstLineChars="0"/>
                    <w:jc w:val="center"/>
                    <w:rPr>
                      <w:kern w:val="0"/>
                      <w:sz w:val="18"/>
                      <w:szCs w:val="18"/>
                    </w:rPr>
                  </w:pPr>
                  <w:r>
                    <w:rPr>
                      <w:kern w:val="0"/>
                      <w:sz w:val="18"/>
                      <w:szCs w:val="18"/>
                    </w:rPr>
                    <w:t>无监测</w:t>
                  </w:r>
                  <w:r>
                    <w:rPr>
                      <w:rFonts w:hint="eastAsia" w:eastAsia="MS Mincho"/>
                      <w:kern w:val="0"/>
                      <w:sz w:val="18"/>
                      <w:szCs w:val="18"/>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continue"/>
                  <w:vAlign w:val="center"/>
                </w:tcPr>
                <w:p>
                  <w:pPr>
                    <w:widowControl/>
                    <w:spacing w:line="240" w:lineRule="auto"/>
                    <w:ind w:firstLine="0" w:firstLineChars="0"/>
                    <w:jc w:val="center"/>
                    <w:rPr>
                      <w:kern w:val="0"/>
                      <w:sz w:val="18"/>
                      <w:szCs w:val="18"/>
                    </w:rPr>
                  </w:pPr>
                </w:p>
              </w:tc>
              <w:tc>
                <w:tcPr>
                  <w:tcW w:w="858" w:type="pct"/>
                  <w:noWrap/>
                  <w:vAlign w:val="center"/>
                </w:tcPr>
                <w:p>
                  <w:pPr>
                    <w:widowControl/>
                    <w:spacing w:line="240" w:lineRule="auto"/>
                    <w:ind w:firstLine="0" w:firstLineChars="0"/>
                    <w:jc w:val="center"/>
                    <w:rPr>
                      <w:kern w:val="0"/>
                      <w:sz w:val="18"/>
                      <w:szCs w:val="18"/>
                    </w:rPr>
                  </w:pPr>
                  <w:r>
                    <w:rPr>
                      <w:kern w:val="0"/>
                      <w:sz w:val="18"/>
                      <w:szCs w:val="18"/>
                    </w:rPr>
                    <w:t>环境质量监测</w:t>
                  </w:r>
                </w:p>
              </w:tc>
              <w:tc>
                <w:tcPr>
                  <w:tcW w:w="1574" w:type="pct"/>
                  <w:gridSpan w:val="7"/>
                  <w:noWrap/>
                  <w:vAlign w:val="center"/>
                </w:tcPr>
                <w:p>
                  <w:pPr>
                    <w:widowControl/>
                    <w:spacing w:line="240" w:lineRule="auto"/>
                    <w:ind w:firstLine="0" w:firstLineChars="0"/>
                    <w:jc w:val="center"/>
                    <w:rPr>
                      <w:kern w:val="0"/>
                      <w:sz w:val="18"/>
                      <w:szCs w:val="18"/>
                    </w:rPr>
                  </w:pPr>
                  <w:r>
                    <w:rPr>
                      <w:kern w:val="0"/>
                      <w:sz w:val="18"/>
                      <w:szCs w:val="18"/>
                    </w:rPr>
                    <w:t>监测因子：(          )</w:t>
                  </w:r>
                </w:p>
              </w:tc>
              <w:tc>
                <w:tcPr>
                  <w:tcW w:w="1377" w:type="pct"/>
                  <w:gridSpan w:val="8"/>
                  <w:noWrap/>
                  <w:vAlign w:val="center"/>
                </w:tcPr>
                <w:p>
                  <w:pPr>
                    <w:widowControl/>
                    <w:spacing w:line="240" w:lineRule="auto"/>
                    <w:ind w:firstLine="0" w:firstLineChars="0"/>
                    <w:jc w:val="center"/>
                    <w:rPr>
                      <w:kern w:val="0"/>
                      <w:sz w:val="18"/>
                      <w:szCs w:val="18"/>
                    </w:rPr>
                  </w:pPr>
                  <w:r>
                    <w:rPr>
                      <w:kern w:val="0"/>
                      <w:sz w:val="18"/>
                      <w:szCs w:val="18"/>
                    </w:rPr>
                    <w:t>监测点位数(        )</w:t>
                  </w:r>
                </w:p>
              </w:tc>
              <w:tc>
                <w:tcPr>
                  <w:tcW w:w="710" w:type="pct"/>
                  <w:gridSpan w:val="3"/>
                  <w:noWrap/>
                  <w:vAlign w:val="center"/>
                </w:tcPr>
                <w:p>
                  <w:pPr>
                    <w:widowControl/>
                    <w:spacing w:line="240" w:lineRule="auto"/>
                    <w:ind w:firstLine="0" w:firstLineChars="0"/>
                    <w:jc w:val="center"/>
                    <w:rPr>
                      <w:kern w:val="0"/>
                      <w:sz w:val="18"/>
                      <w:szCs w:val="18"/>
                    </w:rPr>
                  </w:pPr>
                  <w:r>
                    <w:rPr>
                      <w:kern w:val="0"/>
                      <w:sz w:val="18"/>
                      <w:szCs w:val="18"/>
                    </w:rPr>
                    <w:t>无监测</w:t>
                  </w:r>
                  <w:r>
                    <w:rPr>
                      <w:sz w:val="18"/>
                      <w:szCs w:val="18"/>
                    </w:rPr>
                    <w:sym w:font="Wingdings 2" w:char="0052"/>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restart"/>
                  <w:noWrap/>
                  <w:vAlign w:val="center"/>
                </w:tcPr>
                <w:p>
                  <w:pPr>
                    <w:widowControl/>
                    <w:spacing w:line="240" w:lineRule="auto"/>
                    <w:ind w:firstLine="0" w:firstLineChars="0"/>
                    <w:jc w:val="center"/>
                    <w:rPr>
                      <w:kern w:val="0"/>
                      <w:sz w:val="18"/>
                      <w:szCs w:val="18"/>
                    </w:rPr>
                  </w:pPr>
                  <w:r>
                    <w:rPr>
                      <w:kern w:val="0"/>
                      <w:sz w:val="18"/>
                      <w:szCs w:val="18"/>
                    </w:rPr>
                    <w:t>评价结论</w:t>
                  </w:r>
                </w:p>
              </w:tc>
              <w:tc>
                <w:tcPr>
                  <w:tcW w:w="858" w:type="pct"/>
                  <w:noWrap/>
                  <w:vAlign w:val="center"/>
                </w:tcPr>
                <w:p>
                  <w:pPr>
                    <w:widowControl/>
                    <w:spacing w:line="240" w:lineRule="auto"/>
                    <w:ind w:firstLine="0" w:firstLineChars="0"/>
                    <w:jc w:val="center"/>
                    <w:rPr>
                      <w:kern w:val="0"/>
                      <w:sz w:val="18"/>
                      <w:szCs w:val="18"/>
                    </w:rPr>
                  </w:pPr>
                  <w:r>
                    <w:rPr>
                      <w:kern w:val="0"/>
                      <w:sz w:val="18"/>
                      <w:szCs w:val="18"/>
                    </w:rPr>
                    <w:t>环境影响</w:t>
                  </w:r>
                </w:p>
              </w:tc>
              <w:tc>
                <w:tcPr>
                  <w:tcW w:w="3661" w:type="pct"/>
                  <w:gridSpan w:val="18"/>
                  <w:noWrap/>
                  <w:vAlign w:val="center"/>
                </w:tcPr>
                <w:p>
                  <w:pPr>
                    <w:widowControl/>
                    <w:spacing w:line="240" w:lineRule="auto"/>
                    <w:ind w:firstLine="0" w:firstLineChars="0"/>
                    <w:jc w:val="center"/>
                    <w:rPr>
                      <w:kern w:val="0"/>
                      <w:sz w:val="18"/>
                      <w:szCs w:val="18"/>
                    </w:rPr>
                  </w:pPr>
                  <w:r>
                    <w:rPr>
                      <w:kern w:val="0"/>
                      <w:sz w:val="18"/>
                      <w:szCs w:val="18"/>
                    </w:rPr>
                    <w:t>可以接受</w:t>
                  </w:r>
                  <w:r>
                    <w:rPr>
                      <w:sz w:val="18"/>
                      <w:szCs w:val="18"/>
                    </w:rPr>
                    <w:sym w:font="Wingdings 2" w:char="0052"/>
                  </w:r>
                  <w:r>
                    <w:rPr>
                      <w:kern w:val="0"/>
                      <w:sz w:val="18"/>
                      <w:szCs w:val="18"/>
                    </w:rPr>
                    <w:t xml:space="preserve">   不可以接受</w:t>
                  </w:r>
                  <w:r>
                    <w:rPr>
                      <w:rFonts w:hint="eastAsia" w:eastAsia="MS Mincho"/>
                      <w:kern w:val="0"/>
                      <w:sz w:val="18"/>
                      <w:szCs w:val="18"/>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continue"/>
                  <w:vAlign w:val="center"/>
                </w:tcPr>
                <w:p>
                  <w:pPr>
                    <w:widowControl/>
                    <w:spacing w:line="240" w:lineRule="auto"/>
                    <w:ind w:firstLine="0" w:firstLineChars="0"/>
                    <w:jc w:val="center"/>
                    <w:rPr>
                      <w:kern w:val="0"/>
                      <w:sz w:val="18"/>
                      <w:szCs w:val="18"/>
                    </w:rPr>
                  </w:pPr>
                </w:p>
              </w:tc>
              <w:tc>
                <w:tcPr>
                  <w:tcW w:w="858" w:type="pct"/>
                  <w:noWrap/>
                  <w:vAlign w:val="center"/>
                </w:tcPr>
                <w:p>
                  <w:pPr>
                    <w:widowControl/>
                    <w:spacing w:line="240" w:lineRule="auto"/>
                    <w:ind w:firstLine="0" w:firstLineChars="0"/>
                    <w:jc w:val="center"/>
                    <w:rPr>
                      <w:kern w:val="0"/>
                      <w:sz w:val="18"/>
                      <w:szCs w:val="18"/>
                    </w:rPr>
                  </w:pPr>
                  <w:r>
                    <w:rPr>
                      <w:kern w:val="0"/>
                      <w:sz w:val="18"/>
                      <w:szCs w:val="18"/>
                    </w:rPr>
                    <w:t>大气环境防护距离</w:t>
                  </w:r>
                </w:p>
              </w:tc>
              <w:tc>
                <w:tcPr>
                  <w:tcW w:w="3661" w:type="pct"/>
                  <w:gridSpan w:val="18"/>
                  <w:noWrap/>
                  <w:vAlign w:val="center"/>
                </w:tcPr>
                <w:p>
                  <w:pPr>
                    <w:widowControl/>
                    <w:spacing w:line="240" w:lineRule="auto"/>
                    <w:ind w:firstLine="0" w:firstLineChars="0"/>
                    <w:jc w:val="center"/>
                    <w:rPr>
                      <w:kern w:val="0"/>
                      <w:sz w:val="18"/>
                      <w:szCs w:val="18"/>
                    </w:rPr>
                  </w:pPr>
                  <w:r>
                    <w:rPr>
                      <w:kern w:val="0"/>
                      <w:sz w:val="18"/>
                      <w:szCs w:val="18"/>
                    </w:rPr>
                    <w:t>距(      )厂界最远(       )m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81" w:type="pct"/>
                  <w:vMerge w:val="continue"/>
                  <w:vAlign w:val="center"/>
                </w:tcPr>
                <w:p>
                  <w:pPr>
                    <w:widowControl/>
                    <w:spacing w:line="240" w:lineRule="auto"/>
                    <w:ind w:firstLine="0" w:firstLineChars="0"/>
                    <w:jc w:val="center"/>
                    <w:rPr>
                      <w:kern w:val="0"/>
                      <w:sz w:val="18"/>
                      <w:szCs w:val="18"/>
                    </w:rPr>
                  </w:pPr>
                </w:p>
              </w:tc>
              <w:tc>
                <w:tcPr>
                  <w:tcW w:w="858" w:type="pct"/>
                  <w:noWrap/>
                  <w:vAlign w:val="center"/>
                </w:tcPr>
                <w:p>
                  <w:pPr>
                    <w:widowControl/>
                    <w:spacing w:line="240" w:lineRule="auto"/>
                    <w:ind w:firstLine="0" w:firstLineChars="0"/>
                    <w:jc w:val="center"/>
                    <w:rPr>
                      <w:kern w:val="0"/>
                      <w:sz w:val="18"/>
                      <w:szCs w:val="18"/>
                    </w:rPr>
                  </w:pPr>
                  <w:r>
                    <w:rPr>
                      <w:kern w:val="0"/>
                      <w:sz w:val="18"/>
                      <w:szCs w:val="18"/>
                    </w:rPr>
                    <w:t>污染源年排放量</w:t>
                  </w:r>
                </w:p>
              </w:tc>
              <w:tc>
                <w:tcPr>
                  <w:tcW w:w="889" w:type="pct"/>
                  <w:gridSpan w:val="3"/>
                  <w:noWrap/>
                  <w:vAlign w:val="center"/>
                </w:tcPr>
                <w:p>
                  <w:pPr>
                    <w:widowControl/>
                    <w:spacing w:line="240" w:lineRule="auto"/>
                    <w:ind w:firstLine="0" w:firstLineChars="0"/>
                    <w:jc w:val="center"/>
                    <w:rPr>
                      <w:kern w:val="0"/>
                      <w:sz w:val="18"/>
                      <w:szCs w:val="18"/>
                    </w:rPr>
                  </w:pPr>
                  <w:r>
                    <w:rPr>
                      <w:kern w:val="0"/>
                      <w:sz w:val="18"/>
                      <w:szCs w:val="18"/>
                    </w:rPr>
                    <w:t>SO</w:t>
                  </w:r>
                  <w:r>
                    <w:rPr>
                      <w:kern w:val="0"/>
                      <w:sz w:val="18"/>
                      <w:szCs w:val="18"/>
                      <w:vertAlign w:val="subscript"/>
                    </w:rPr>
                    <w:t>2</w:t>
                  </w:r>
                  <w:r>
                    <w:rPr>
                      <w:kern w:val="0"/>
                      <w:sz w:val="18"/>
                      <w:szCs w:val="18"/>
                    </w:rPr>
                    <w:t>：</w:t>
                  </w:r>
                </w:p>
                <w:p>
                  <w:pPr>
                    <w:widowControl/>
                    <w:spacing w:line="240" w:lineRule="auto"/>
                    <w:ind w:firstLine="0" w:firstLineChars="0"/>
                    <w:jc w:val="center"/>
                    <w:rPr>
                      <w:kern w:val="0"/>
                      <w:sz w:val="18"/>
                      <w:szCs w:val="18"/>
                    </w:rPr>
                  </w:pPr>
                  <w:r>
                    <w:rPr>
                      <w:kern w:val="0"/>
                      <w:sz w:val="18"/>
                      <w:szCs w:val="18"/>
                    </w:rPr>
                    <w:t>(   )t/a</w:t>
                  </w:r>
                </w:p>
              </w:tc>
              <w:tc>
                <w:tcPr>
                  <w:tcW w:w="981" w:type="pct"/>
                  <w:gridSpan w:val="6"/>
                  <w:noWrap/>
                  <w:vAlign w:val="center"/>
                </w:tcPr>
                <w:p>
                  <w:pPr>
                    <w:widowControl/>
                    <w:spacing w:line="240" w:lineRule="auto"/>
                    <w:ind w:firstLine="0" w:firstLineChars="0"/>
                    <w:jc w:val="center"/>
                    <w:rPr>
                      <w:kern w:val="0"/>
                      <w:sz w:val="18"/>
                      <w:szCs w:val="18"/>
                    </w:rPr>
                  </w:pPr>
                  <w:r>
                    <w:rPr>
                      <w:kern w:val="0"/>
                      <w:sz w:val="18"/>
                      <w:szCs w:val="18"/>
                    </w:rPr>
                    <w:t>NOx：</w:t>
                  </w:r>
                </w:p>
                <w:p>
                  <w:pPr>
                    <w:widowControl/>
                    <w:spacing w:line="240" w:lineRule="auto"/>
                    <w:ind w:firstLine="0" w:firstLineChars="0"/>
                    <w:jc w:val="center"/>
                    <w:rPr>
                      <w:kern w:val="0"/>
                      <w:sz w:val="18"/>
                      <w:szCs w:val="18"/>
                    </w:rPr>
                  </w:pPr>
                  <w:r>
                    <w:rPr>
                      <w:kern w:val="0"/>
                      <w:sz w:val="18"/>
                      <w:szCs w:val="18"/>
                    </w:rPr>
                    <w:t>(   )t/a</w:t>
                  </w:r>
                </w:p>
              </w:tc>
              <w:tc>
                <w:tcPr>
                  <w:tcW w:w="1081" w:type="pct"/>
                  <w:gridSpan w:val="6"/>
                  <w:noWrap/>
                  <w:vAlign w:val="center"/>
                </w:tcPr>
                <w:p>
                  <w:pPr>
                    <w:widowControl/>
                    <w:spacing w:line="240" w:lineRule="auto"/>
                    <w:ind w:firstLine="0" w:firstLineChars="0"/>
                    <w:jc w:val="center"/>
                    <w:rPr>
                      <w:kern w:val="0"/>
                      <w:sz w:val="18"/>
                      <w:szCs w:val="18"/>
                    </w:rPr>
                  </w:pPr>
                  <w:r>
                    <w:rPr>
                      <w:kern w:val="0"/>
                      <w:sz w:val="18"/>
                      <w:szCs w:val="18"/>
                    </w:rPr>
                    <w:t>颗粒物：</w:t>
                  </w:r>
                </w:p>
                <w:p>
                  <w:pPr>
                    <w:widowControl/>
                    <w:spacing w:line="240" w:lineRule="auto"/>
                    <w:ind w:firstLine="0" w:firstLineChars="0"/>
                    <w:jc w:val="center"/>
                    <w:rPr>
                      <w:kern w:val="0"/>
                      <w:sz w:val="18"/>
                      <w:szCs w:val="18"/>
                    </w:rPr>
                  </w:pPr>
                  <w:r>
                    <w:rPr>
                      <w:kern w:val="0"/>
                      <w:sz w:val="18"/>
                      <w:szCs w:val="18"/>
                    </w:rPr>
                    <w:t xml:space="preserve">( 2.88 </w:t>
                  </w:r>
                  <w:r>
                    <w:rPr>
                      <w:rFonts w:hint="eastAsia"/>
                      <w:kern w:val="0"/>
                      <w:sz w:val="18"/>
                      <w:szCs w:val="18"/>
                    </w:rPr>
                    <w:t>)</w:t>
                  </w:r>
                  <w:r>
                    <w:rPr>
                      <w:kern w:val="0"/>
                      <w:sz w:val="18"/>
                      <w:szCs w:val="18"/>
                    </w:rPr>
                    <w:t>t/a</w:t>
                  </w:r>
                </w:p>
              </w:tc>
              <w:tc>
                <w:tcPr>
                  <w:tcW w:w="710" w:type="pct"/>
                  <w:gridSpan w:val="3"/>
                  <w:noWrap/>
                  <w:vAlign w:val="center"/>
                </w:tcPr>
                <w:p>
                  <w:pPr>
                    <w:widowControl/>
                    <w:spacing w:line="240" w:lineRule="auto"/>
                    <w:ind w:firstLine="0" w:firstLineChars="0"/>
                    <w:jc w:val="center"/>
                    <w:rPr>
                      <w:kern w:val="0"/>
                      <w:sz w:val="18"/>
                      <w:szCs w:val="18"/>
                    </w:rPr>
                  </w:pPr>
                  <w:r>
                    <w:rPr>
                      <w:kern w:val="0"/>
                      <w:sz w:val="18"/>
                      <w:szCs w:val="18"/>
                    </w:rPr>
                    <w:t>VOCs：</w:t>
                  </w:r>
                </w:p>
                <w:p>
                  <w:pPr>
                    <w:widowControl/>
                    <w:spacing w:line="240" w:lineRule="auto"/>
                    <w:ind w:firstLine="0" w:firstLineChars="0"/>
                    <w:jc w:val="center"/>
                    <w:rPr>
                      <w:kern w:val="0"/>
                      <w:sz w:val="18"/>
                      <w:szCs w:val="18"/>
                    </w:rPr>
                  </w:pPr>
                  <w:r>
                    <w:rPr>
                      <w:rFonts w:hint="eastAsia"/>
                      <w:kern w:val="0"/>
                      <w:sz w:val="18"/>
                      <w:szCs w:val="18"/>
                    </w:rPr>
                    <w:t>（</w:t>
                  </w:r>
                  <w:r>
                    <w:rPr>
                      <w:kern w:val="0"/>
                      <w:sz w:val="18"/>
                      <w:szCs w:val="18"/>
                    </w:rPr>
                    <w:t xml:space="preserve">   </w:t>
                  </w:r>
                  <w:r>
                    <w:rPr>
                      <w:rFonts w:hint="eastAsia"/>
                      <w:kern w:val="0"/>
                      <w:sz w:val="18"/>
                      <w:szCs w:val="18"/>
                    </w:rPr>
                    <w:t>）</w:t>
                  </w:r>
                  <w:r>
                    <w:rPr>
                      <w:kern w:val="0"/>
                      <w:sz w:val="18"/>
                      <w:szCs w:val="18"/>
                    </w:rPr>
                    <w:t>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000" w:type="pct"/>
                  <w:gridSpan w:val="20"/>
                  <w:noWrap/>
                  <w:vAlign w:val="center"/>
                </w:tcPr>
                <w:p>
                  <w:pPr>
                    <w:widowControl/>
                    <w:spacing w:line="240" w:lineRule="auto"/>
                    <w:ind w:firstLine="0" w:firstLineChars="0"/>
                    <w:jc w:val="center"/>
                    <w:rPr>
                      <w:b/>
                      <w:kern w:val="0"/>
                      <w:sz w:val="18"/>
                      <w:szCs w:val="18"/>
                    </w:rPr>
                  </w:pPr>
                  <w:r>
                    <w:rPr>
                      <w:b/>
                      <w:kern w:val="0"/>
                      <w:sz w:val="18"/>
                      <w:szCs w:val="18"/>
                    </w:rPr>
                    <w:t>注：“</w:t>
                  </w:r>
                  <w:r>
                    <w:rPr>
                      <w:rFonts w:eastAsia="MS Mincho"/>
                      <w:b/>
                      <w:kern w:val="0"/>
                      <w:sz w:val="18"/>
                      <w:szCs w:val="18"/>
                    </w:rPr>
                    <w:t>□</w:t>
                  </w:r>
                  <w:r>
                    <w:rPr>
                      <w:b/>
                      <w:kern w:val="0"/>
                      <w:sz w:val="18"/>
                      <w:szCs w:val="18"/>
                    </w:rPr>
                    <w:t>”为勾选项，填“√”；“(  )”为内容填写项</w:t>
                  </w:r>
                </w:p>
              </w:tc>
            </w:tr>
          </w:tbl>
          <w:p>
            <w:pPr>
              <w:pStyle w:val="172"/>
              <w:ind w:firstLine="0"/>
              <w:rPr>
                <w:rFonts w:ascii="Times New Roman" w:hAnsi="Times New Roman" w:eastAsia="宋体"/>
                <w:b/>
              </w:rPr>
            </w:pPr>
            <w:r>
              <w:rPr>
                <w:rFonts w:ascii="Times New Roman" w:hAnsi="宋体" w:eastAsia="宋体"/>
                <w:b/>
              </w:rPr>
              <w:t>二、营运期水环境影响分析</w:t>
            </w:r>
          </w:p>
          <w:p>
            <w:pPr>
              <w:pStyle w:val="144"/>
              <w:spacing w:before="0" w:after="0"/>
              <w:ind w:firstLine="0" w:firstLineChars="0"/>
              <w:rPr>
                <w:b/>
              </w:rPr>
            </w:pPr>
            <w:r>
              <w:rPr>
                <w:b/>
              </w:rPr>
              <w:t>1</w:t>
            </w:r>
            <w:r>
              <w:rPr>
                <w:rFonts w:hint="eastAsia"/>
                <w:b/>
              </w:rPr>
              <w:t>、</w:t>
            </w:r>
            <w:r>
              <w:rPr>
                <w:rFonts w:hint="eastAsia" w:hAnsi="宋体"/>
                <w:b/>
                <w:bCs/>
              </w:rPr>
              <w:t>水污染物产排量</w:t>
            </w:r>
          </w:p>
          <w:p>
            <w:pPr>
              <w:pStyle w:val="144"/>
              <w:spacing w:before="0" w:after="0"/>
              <w:ind w:firstLine="0" w:firstLineChars="0"/>
            </w:pPr>
            <w:r>
              <w:rPr>
                <w:b/>
              </w:rPr>
              <w:t>W</w:t>
            </w:r>
            <w:r>
              <w:rPr>
                <w:b/>
                <w:vertAlign w:val="subscript"/>
              </w:rPr>
              <w:t>1</w:t>
            </w:r>
            <w:r>
              <w:rPr>
                <w:rFonts w:hint="eastAsia"/>
                <w:b/>
              </w:rPr>
              <w:t>：</w:t>
            </w:r>
            <w:r>
              <w:rPr>
                <w:rFonts w:hint="eastAsia"/>
                <w:b/>
                <w:spacing w:val="4"/>
              </w:rPr>
              <w:t>生活污水</w:t>
            </w:r>
            <w:r>
              <w:rPr>
                <w:rFonts w:hint="eastAsia"/>
                <w:b/>
              </w:rPr>
              <w:t>主要</w:t>
            </w:r>
            <w:r>
              <w:rPr>
                <w:rFonts w:hint="eastAsia"/>
                <w:b/>
                <w:spacing w:val="4"/>
              </w:rPr>
              <w:t>来自厂区办公等少量盥洗废水、食堂废水，所含污染物主要有</w:t>
            </w:r>
            <w:r>
              <w:rPr>
                <w:b/>
                <w:spacing w:val="4"/>
              </w:rPr>
              <w:t>COD</w:t>
            </w:r>
            <w:r>
              <w:rPr>
                <w:b/>
                <w:spacing w:val="4"/>
                <w:vertAlign w:val="subscript"/>
              </w:rPr>
              <w:t>Cr</w:t>
            </w:r>
            <w:r>
              <w:rPr>
                <w:rFonts w:hint="eastAsia"/>
                <w:b/>
                <w:spacing w:val="4"/>
              </w:rPr>
              <w:t>、</w:t>
            </w:r>
            <w:r>
              <w:rPr>
                <w:b/>
                <w:spacing w:val="4"/>
              </w:rPr>
              <w:t>BOD</w:t>
            </w:r>
            <w:r>
              <w:rPr>
                <w:b/>
                <w:spacing w:val="4"/>
                <w:vertAlign w:val="subscript"/>
              </w:rPr>
              <w:t>5</w:t>
            </w:r>
            <w:r>
              <w:rPr>
                <w:rFonts w:hint="eastAsia"/>
                <w:b/>
                <w:spacing w:val="4"/>
              </w:rPr>
              <w:t>、</w:t>
            </w:r>
            <w:r>
              <w:rPr>
                <w:b/>
                <w:spacing w:val="4"/>
              </w:rPr>
              <w:t>SS</w:t>
            </w:r>
            <w:r>
              <w:rPr>
                <w:rFonts w:hint="eastAsia"/>
                <w:b/>
                <w:spacing w:val="4"/>
              </w:rPr>
              <w:t>、氨氮等</w:t>
            </w:r>
            <w:r>
              <w:rPr>
                <w:rFonts w:hint="eastAsia"/>
                <w:b/>
              </w:rPr>
              <w:t>。</w:t>
            </w:r>
          </w:p>
          <w:p>
            <w:pPr>
              <w:pStyle w:val="144"/>
              <w:spacing w:before="0" w:after="0"/>
              <w:ind w:firstLine="480"/>
            </w:pPr>
            <w:r>
              <w:rPr>
                <w:rFonts w:hint="eastAsia" w:hAnsi="宋体"/>
              </w:rPr>
              <w:t>本项目员工均为本地居民，厂区内不设浴室；</w:t>
            </w:r>
            <w:r>
              <w:rPr>
                <w:rFonts w:hint="eastAsia" w:hAnsi="宋体"/>
                <w:bCs/>
              </w:rPr>
              <w:t>生活用</w:t>
            </w:r>
            <w:r>
              <w:rPr>
                <w:rFonts w:hAnsi="宋体"/>
                <w:bCs/>
              </w:rPr>
              <w:t>水定额</w:t>
            </w:r>
            <w:r>
              <w:rPr>
                <w:rFonts w:hint="eastAsia" w:hAnsi="宋体"/>
                <w:bCs/>
              </w:rPr>
              <w:t>按</w:t>
            </w:r>
            <w:r>
              <w:rPr>
                <w:rFonts w:hAnsi="宋体"/>
                <w:bCs/>
              </w:rPr>
              <w:t>30</w:t>
            </w:r>
            <w:r>
              <w:rPr>
                <w:bCs/>
              </w:rPr>
              <w:t>L/</w:t>
            </w:r>
            <w:r>
              <w:rPr>
                <w:rFonts w:hAnsi="宋体"/>
                <w:bCs/>
              </w:rPr>
              <w:t>人</w:t>
            </w:r>
            <w:r>
              <w:rPr>
                <w:rFonts w:hint="eastAsia"/>
                <w:bCs/>
              </w:rPr>
              <w:t>·</w:t>
            </w:r>
            <w:r>
              <w:rPr>
                <w:bCs/>
              </w:rPr>
              <w:t>d</w:t>
            </w:r>
            <w:r>
              <w:rPr>
                <w:rFonts w:hint="eastAsia"/>
                <w:bCs/>
              </w:rPr>
              <w:t>计</w:t>
            </w:r>
            <w:r>
              <w:rPr>
                <w:rFonts w:hAnsi="宋体"/>
                <w:bCs/>
              </w:rPr>
              <w:t>，</w:t>
            </w:r>
            <w:r>
              <w:rPr>
                <w:rFonts w:hint="eastAsia"/>
              </w:rPr>
              <w:t>本项目劳动定员</w:t>
            </w:r>
            <w:r>
              <w:t>2</w:t>
            </w:r>
            <w:r>
              <w:rPr>
                <w:rFonts w:hint="eastAsia"/>
              </w:rPr>
              <w:t>0人</w:t>
            </w:r>
            <w:r>
              <w:rPr>
                <w:rFonts w:hAnsi="宋体"/>
                <w:bCs/>
              </w:rPr>
              <w:t>，则生活日用水量为</w:t>
            </w:r>
            <w:r>
              <w:rPr>
                <w:bCs/>
              </w:rPr>
              <w:t>0.6m</w:t>
            </w:r>
            <w:r>
              <w:rPr>
                <w:bCs/>
                <w:vertAlign w:val="superscript"/>
              </w:rPr>
              <w:t>3</w:t>
            </w:r>
            <w:r>
              <w:rPr>
                <w:bCs/>
              </w:rPr>
              <w:t>/d</w:t>
            </w:r>
            <w:r>
              <w:rPr>
                <w:rFonts w:hint="eastAsia" w:hAnsi="宋体"/>
                <w:bCs/>
              </w:rPr>
              <w:t>；</w:t>
            </w:r>
            <w:r>
              <w:rPr>
                <w:rFonts w:hint="eastAsia" w:hAnsi="宋体"/>
              </w:rPr>
              <w:t>厂区内设旱厕，定时清掏；生活污水产生量按用水量的80%计，则生活污水产生量为</w:t>
            </w:r>
            <w:r>
              <w:rPr>
                <w:rFonts w:hAnsi="宋体"/>
              </w:rPr>
              <w:t>0.48</w:t>
            </w:r>
            <w:r>
              <w:rPr>
                <w:bCs/>
              </w:rPr>
              <w:t>m</w:t>
            </w:r>
            <w:r>
              <w:rPr>
                <w:bCs/>
                <w:vertAlign w:val="superscript"/>
              </w:rPr>
              <w:t>3</w:t>
            </w:r>
            <w:r>
              <w:rPr>
                <w:bCs/>
              </w:rPr>
              <w:t>/d</w:t>
            </w:r>
            <w:r>
              <w:rPr>
                <w:rFonts w:hint="eastAsia" w:hAnsi="宋体"/>
              </w:rPr>
              <w:t>，少量盥洗废水</w:t>
            </w:r>
            <w:r>
              <w:rPr>
                <w:rFonts w:hint="eastAsia" w:hAnsi="宋体"/>
                <w:bCs/>
              </w:rPr>
              <w:t>（0.24</w:t>
            </w:r>
            <w:r>
              <w:rPr>
                <w:rFonts w:hAnsi="宋体"/>
                <w:bCs/>
              </w:rPr>
              <w:t xml:space="preserve"> m</w:t>
            </w:r>
            <w:r>
              <w:rPr>
                <w:rFonts w:hAnsi="宋体"/>
                <w:bCs/>
                <w:vertAlign w:val="superscript"/>
              </w:rPr>
              <w:t>3</w:t>
            </w:r>
            <w:r>
              <w:rPr>
                <w:rFonts w:hAnsi="宋体"/>
                <w:bCs/>
              </w:rPr>
              <w:t>/d</w:t>
            </w:r>
            <w:r>
              <w:rPr>
                <w:rFonts w:hint="eastAsia" w:hAnsi="宋体"/>
                <w:bCs/>
              </w:rPr>
              <w:t>）</w:t>
            </w:r>
            <w:r>
              <w:rPr>
                <w:rFonts w:hint="eastAsia" w:hAnsi="宋体"/>
              </w:rPr>
              <w:t>用于泼洒抑尘；</w:t>
            </w:r>
            <w:r>
              <w:rPr>
                <w:rFonts w:hint="eastAsia" w:hAnsi="宋体"/>
                <w:bCs/>
              </w:rPr>
              <w:t>食堂餐余物及食堂废水（0.24</w:t>
            </w:r>
            <w:r>
              <w:rPr>
                <w:rFonts w:hAnsi="宋体"/>
                <w:bCs/>
              </w:rPr>
              <w:t>m</w:t>
            </w:r>
            <w:r>
              <w:rPr>
                <w:rFonts w:hAnsi="宋体"/>
                <w:bCs/>
                <w:vertAlign w:val="superscript"/>
              </w:rPr>
              <w:t>3</w:t>
            </w:r>
            <w:r>
              <w:rPr>
                <w:rFonts w:hAnsi="宋体"/>
                <w:bCs/>
              </w:rPr>
              <w:t>/d</w:t>
            </w:r>
            <w:r>
              <w:rPr>
                <w:rFonts w:hint="eastAsia" w:hAnsi="宋体"/>
                <w:bCs/>
              </w:rPr>
              <w:t>）</w:t>
            </w:r>
            <w:r>
              <w:rPr>
                <w:rFonts w:hint="eastAsia" w:hAnsi="宋体"/>
              </w:rPr>
              <w:t>经收集后委托有相关资质的单位外运处置。</w:t>
            </w:r>
          </w:p>
          <w:p>
            <w:pPr>
              <w:pStyle w:val="144"/>
              <w:spacing w:before="0" w:after="0"/>
              <w:ind w:firstLine="0" w:firstLineChars="0"/>
            </w:pPr>
            <w:r>
              <w:rPr>
                <w:b/>
              </w:rPr>
              <w:t>W</w:t>
            </w:r>
            <w:r>
              <w:rPr>
                <w:b/>
                <w:vertAlign w:val="subscript"/>
              </w:rPr>
              <w:t>2</w:t>
            </w:r>
            <w:r>
              <w:rPr>
                <w:rFonts w:hint="eastAsia"/>
                <w:b/>
              </w:rPr>
              <w:t>：洗车废水，主要污染物为COD、SS</w:t>
            </w:r>
          </w:p>
          <w:p>
            <w:pPr>
              <w:pStyle w:val="144"/>
              <w:spacing w:before="0" w:after="0"/>
              <w:ind w:firstLine="480"/>
            </w:pPr>
            <w:r>
              <w:rPr>
                <w:rFonts w:hint="eastAsia"/>
              </w:rPr>
              <w:t>本项目</w:t>
            </w:r>
            <w:r>
              <w:rPr>
                <w:rFonts w:hint="eastAsia"/>
                <w:bCs/>
              </w:rPr>
              <w:t>原料、产品</w:t>
            </w:r>
            <w:r>
              <w:rPr>
                <w:rFonts w:hint="eastAsia"/>
              </w:rPr>
              <w:t>年运进出总量为</w:t>
            </w:r>
            <w:r>
              <w:t>80</w:t>
            </w:r>
            <w:r>
              <w:rPr>
                <w:rFonts w:hint="eastAsia"/>
              </w:rPr>
              <w:t>万吨/年，汽车载重按</w:t>
            </w:r>
            <w:r>
              <w:t>20t/</w:t>
            </w:r>
            <w:r>
              <w:rPr>
                <w:rFonts w:hint="eastAsia"/>
              </w:rPr>
              <w:t>辆计算，则年需载重车运输</w:t>
            </w:r>
            <w:r>
              <w:t>40000</w:t>
            </w:r>
            <w:r>
              <w:rPr>
                <w:rFonts w:hint="eastAsia"/>
              </w:rPr>
              <w:t>趟，汽车轮胎冲洗用水定额按</w:t>
            </w:r>
            <w:r>
              <w:t>80L/</w:t>
            </w:r>
            <w:r>
              <w:rPr>
                <w:rFonts w:hint="eastAsia"/>
              </w:rPr>
              <w:t>辆·次计，年用水量为</w:t>
            </w:r>
            <w:r>
              <w:t>3200m</w:t>
            </w:r>
            <w:r>
              <w:rPr>
                <w:vertAlign w:val="superscript"/>
              </w:rPr>
              <w:t>3</w:t>
            </w:r>
            <w:r>
              <w:t>/a</w:t>
            </w:r>
            <w:r>
              <w:rPr>
                <w:rFonts w:hint="eastAsia"/>
              </w:rPr>
              <w:t>，日用水量为</w:t>
            </w:r>
            <w:r>
              <w:t>10.7m</w:t>
            </w:r>
            <w:r>
              <w:rPr>
                <w:vertAlign w:val="superscript"/>
              </w:rPr>
              <w:t>3</w:t>
            </w:r>
            <w:r>
              <w:t>/d</w:t>
            </w:r>
            <w:r>
              <w:rPr>
                <w:rFonts w:hint="eastAsia"/>
              </w:rPr>
              <w:t>，废水产生量按8</w:t>
            </w:r>
            <w:r>
              <w:t>0</w:t>
            </w:r>
            <w:r>
              <w:rPr>
                <w:rFonts w:hint="eastAsia"/>
              </w:rPr>
              <w:t>%考虑，则废水量为</w:t>
            </w:r>
            <w:r>
              <w:t>8.56m</w:t>
            </w:r>
            <w:r>
              <w:rPr>
                <w:vertAlign w:val="superscript"/>
              </w:rPr>
              <w:t>3</w:t>
            </w:r>
            <w:r>
              <w:t>/d</w:t>
            </w:r>
            <w:r>
              <w:rPr>
                <w:rFonts w:hint="eastAsia"/>
              </w:rPr>
              <w:t>，洗车废水排至沉淀池沉淀处理后排入清水池循环使用。汽车带走损失按</w:t>
            </w:r>
            <w:r>
              <w:t>20%</w:t>
            </w:r>
            <w:r>
              <w:rPr>
                <w:rFonts w:hint="eastAsia"/>
              </w:rPr>
              <w:t>考虑，则洗车废水补充水量为</w:t>
            </w:r>
            <w:r>
              <w:t>2.14m</w:t>
            </w:r>
            <w:r>
              <w:rPr>
                <w:vertAlign w:val="superscript"/>
              </w:rPr>
              <w:t>3</w:t>
            </w:r>
            <w:r>
              <w:t>/d</w:t>
            </w:r>
            <w:r>
              <w:rPr>
                <w:rFonts w:hint="eastAsia"/>
              </w:rPr>
              <w:t>。</w:t>
            </w:r>
          </w:p>
          <w:p>
            <w:pPr>
              <w:pStyle w:val="144"/>
              <w:spacing w:before="0" w:after="0"/>
              <w:ind w:firstLine="480"/>
              <w:rPr>
                <w:rFonts w:hAnsi="宋体"/>
              </w:rPr>
            </w:pPr>
            <w:r>
              <w:rPr>
                <w:rFonts w:hAnsi="宋体"/>
              </w:rPr>
              <w:t>本项目</w:t>
            </w:r>
            <w:r>
              <w:rPr>
                <w:rFonts w:hint="eastAsia" w:hAnsi="宋体"/>
              </w:rPr>
              <w:t>水</w:t>
            </w:r>
            <w:r>
              <w:rPr>
                <w:rFonts w:hAnsi="宋体"/>
              </w:rPr>
              <w:t>污染物汇总见表</w:t>
            </w:r>
            <w:r>
              <w:t>45</w:t>
            </w:r>
            <w:r>
              <w:rPr>
                <w:rFonts w:hAnsi="宋体"/>
              </w:rPr>
              <w:t>。</w:t>
            </w:r>
          </w:p>
          <w:p>
            <w:pPr>
              <w:autoSpaceDE w:val="0"/>
              <w:autoSpaceDN w:val="0"/>
              <w:adjustRightInd w:val="0"/>
              <w:ind w:firstLine="0" w:firstLineChars="0"/>
              <w:jc w:val="center"/>
              <w:rPr>
                <w:rFonts w:ascii="黑体" w:hAnsi="黑体" w:eastAsia="黑体"/>
              </w:rPr>
            </w:pPr>
            <w:r>
              <w:rPr>
                <w:rFonts w:hint="eastAsia" w:ascii="黑体" w:hAnsi="黑体" w:eastAsia="黑体"/>
              </w:rPr>
              <w:t>表</w:t>
            </w:r>
            <w:r>
              <w:rPr>
                <w:rFonts w:ascii="黑体" w:hAnsi="黑体" w:eastAsia="黑体"/>
              </w:rPr>
              <w:t>45</w:t>
            </w:r>
            <w:r>
              <w:rPr>
                <w:rFonts w:hint="eastAsia" w:ascii="黑体" w:hAnsi="黑体" w:eastAsia="黑体"/>
              </w:rPr>
              <w:t xml:space="preserve">  </w:t>
            </w:r>
            <w:r>
              <w:rPr>
                <w:rFonts w:ascii="黑体" w:hAnsi="黑体" w:eastAsia="黑体"/>
              </w:rPr>
              <w:t>本项目</w:t>
            </w:r>
            <w:r>
              <w:rPr>
                <w:rFonts w:hint="eastAsia" w:ascii="黑体" w:hAnsi="黑体" w:eastAsia="黑体"/>
              </w:rPr>
              <w:t>水</w:t>
            </w:r>
            <w:r>
              <w:rPr>
                <w:rFonts w:ascii="黑体" w:hAnsi="黑体" w:eastAsia="黑体"/>
              </w:rPr>
              <w:t>污染物汇总表</w:t>
            </w:r>
          </w:p>
          <w:tbl>
            <w:tblPr>
              <w:tblStyle w:val="7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01"/>
              <w:gridCol w:w="1180"/>
              <w:gridCol w:w="4332"/>
              <w:gridCol w:w="10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80" w:type="pct"/>
                  <w:vAlign w:val="center"/>
                </w:tcPr>
                <w:p>
                  <w:pPr>
                    <w:autoSpaceDE w:val="0"/>
                    <w:autoSpaceDN w:val="0"/>
                    <w:adjustRightInd w:val="0"/>
                    <w:spacing w:line="240" w:lineRule="auto"/>
                    <w:ind w:firstLine="0" w:firstLineChars="0"/>
                    <w:jc w:val="center"/>
                    <w:rPr>
                      <w:sz w:val="21"/>
                      <w:szCs w:val="21"/>
                    </w:rPr>
                  </w:pPr>
                  <w:r>
                    <w:rPr>
                      <w:rFonts w:hAnsi="宋体"/>
                      <w:sz w:val="21"/>
                      <w:szCs w:val="21"/>
                    </w:rPr>
                    <w:t>项目</w:t>
                  </w:r>
                </w:p>
              </w:tc>
              <w:tc>
                <w:tcPr>
                  <w:tcW w:w="651" w:type="pct"/>
                  <w:vAlign w:val="center"/>
                </w:tcPr>
                <w:p>
                  <w:pPr>
                    <w:autoSpaceDE w:val="0"/>
                    <w:autoSpaceDN w:val="0"/>
                    <w:adjustRightInd w:val="0"/>
                    <w:spacing w:line="240" w:lineRule="auto"/>
                    <w:ind w:firstLine="0" w:firstLineChars="0"/>
                    <w:jc w:val="center"/>
                    <w:rPr>
                      <w:sz w:val="21"/>
                      <w:szCs w:val="21"/>
                    </w:rPr>
                  </w:pPr>
                  <w:r>
                    <w:rPr>
                      <w:rFonts w:hAnsi="宋体"/>
                      <w:sz w:val="21"/>
                      <w:szCs w:val="21"/>
                    </w:rPr>
                    <w:t>产生量</w:t>
                  </w:r>
                  <w:r>
                    <w:rPr>
                      <w:rFonts w:hint="eastAsia" w:hAnsi="宋体"/>
                      <w:sz w:val="21"/>
                      <w:szCs w:val="21"/>
                    </w:rPr>
                    <w:t>m</w:t>
                  </w:r>
                  <w:r>
                    <w:rPr>
                      <w:rFonts w:hAnsi="宋体"/>
                      <w:sz w:val="21"/>
                      <w:szCs w:val="21"/>
                      <w:vertAlign w:val="superscript"/>
                    </w:rPr>
                    <w:t>3</w:t>
                  </w:r>
                  <w:r>
                    <w:rPr>
                      <w:rFonts w:hAnsi="宋体"/>
                      <w:sz w:val="21"/>
                      <w:szCs w:val="21"/>
                    </w:rPr>
                    <w:t>/d</w:t>
                  </w:r>
                </w:p>
              </w:tc>
              <w:tc>
                <w:tcPr>
                  <w:tcW w:w="2390" w:type="pct"/>
                  <w:vAlign w:val="center"/>
                </w:tcPr>
                <w:p>
                  <w:pPr>
                    <w:autoSpaceDE w:val="0"/>
                    <w:autoSpaceDN w:val="0"/>
                    <w:adjustRightInd w:val="0"/>
                    <w:spacing w:line="240" w:lineRule="auto"/>
                    <w:ind w:firstLine="0" w:firstLineChars="0"/>
                    <w:jc w:val="center"/>
                    <w:rPr>
                      <w:sz w:val="21"/>
                      <w:szCs w:val="21"/>
                    </w:rPr>
                  </w:pPr>
                  <w:r>
                    <w:rPr>
                      <w:rFonts w:hAnsi="宋体"/>
                      <w:sz w:val="21"/>
                      <w:szCs w:val="21"/>
                    </w:rPr>
                    <w:t>处理方式</w:t>
                  </w:r>
                </w:p>
              </w:tc>
              <w:tc>
                <w:tcPr>
                  <w:tcW w:w="579" w:type="pct"/>
                  <w:vAlign w:val="center"/>
                </w:tcPr>
                <w:p>
                  <w:pPr>
                    <w:autoSpaceDE w:val="0"/>
                    <w:autoSpaceDN w:val="0"/>
                    <w:adjustRightInd w:val="0"/>
                    <w:spacing w:line="240" w:lineRule="auto"/>
                    <w:ind w:firstLine="0" w:firstLineChars="0"/>
                    <w:jc w:val="center"/>
                    <w:rPr>
                      <w:sz w:val="21"/>
                      <w:szCs w:val="21"/>
                    </w:rPr>
                  </w:pPr>
                  <w:r>
                    <w:rPr>
                      <w:rFonts w:hAnsi="宋体"/>
                      <w:sz w:val="21"/>
                      <w:szCs w:val="21"/>
                    </w:rPr>
                    <w:t>排放量</w:t>
                  </w:r>
                  <w:r>
                    <w:rPr>
                      <w:rFonts w:hint="eastAsia" w:hAnsi="宋体"/>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80" w:type="pct"/>
                  <w:vAlign w:val="center"/>
                </w:tcPr>
                <w:p>
                  <w:pPr>
                    <w:autoSpaceDE w:val="0"/>
                    <w:autoSpaceDN w:val="0"/>
                    <w:adjustRightInd w:val="0"/>
                    <w:spacing w:line="240" w:lineRule="auto"/>
                    <w:ind w:firstLine="0" w:firstLineChars="0"/>
                    <w:jc w:val="center"/>
                    <w:rPr>
                      <w:sz w:val="21"/>
                      <w:szCs w:val="21"/>
                    </w:rPr>
                  </w:pPr>
                  <w:r>
                    <w:rPr>
                      <w:rFonts w:hint="eastAsia"/>
                      <w:sz w:val="21"/>
                      <w:szCs w:val="21"/>
                    </w:rPr>
                    <w:t>生活污水</w:t>
                  </w:r>
                </w:p>
              </w:tc>
              <w:tc>
                <w:tcPr>
                  <w:tcW w:w="651" w:type="pct"/>
                  <w:vAlign w:val="center"/>
                </w:tcPr>
                <w:p>
                  <w:pPr>
                    <w:autoSpaceDE w:val="0"/>
                    <w:autoSpaceDN w:val="0"/>
                    <w:adjustRightInd w:val="0"/>
                    <w:spacing w:line="240" w:lineRule="auto"/>
                    <w:ind w:firstLine="0" w:firstLineChars="0"/>
                    <w:jc w:val="center"/>
                    <w:rPr>
                      <w:sz w:val="21"/>
                      <w:szCs w:val="21"/>
                    </w:rPr>
                  </w:pPr>
                  <w:r>
                    <w:rPr>
                      <w:rFonts w:hint="eastAsia"/>
                      <w:sz w:val="21"/>
                      <w:szCs w:val="21"/>
                    </w:rPr>
                    <w:t>0</w:t>
                  </w:r>
                  <w:r>
                    <w:rPr>
                      <w:sz w:val="21"/>
                      <w:szCs w:val="21"/>
                    </w:rPr>
                    <w:t>.48</w:t>
                  </w:r>
                </w:p>
              </w:tc>
              <w:tc>
                <w:tcPr>
                  <w:tcW w:w="2390" w:type="pct"/>
                  <w:vAlign w:val="center"/>
                </w:tcPr>
                <w:p>
                  <w:pPr>
                    <w:autoSpaceDE w:val="0"/>
                    <w:autoSpaceDN w:val="0"/>
                    <w:adjustRightInd w:val="0"/>
                    <w:spacing w:line="240" w:lineRule="auto"/>
                    <w:ind w:firstLine="0" w:firstLineChars="0"/>
                    <w:jc w:val="center"/>
                    <w:rPr>
                      <w:sz w:val="21"/>
                      <w:szCs w:val="21"/>
                    </w:rPr>
                  </w:pPr>
                  <w:r>
                    <w:rPr>
                      <w:rFonts w:hint="eastAsia"/>
                      <w:sz w:val="21"/>
                      <w:szCs w:val="21"/>
                    </w:rPr>
                    <w:t>少量盥洗废水</w:t>
                  </w:r>
                  <w:r>
                    <w:rPr>
                      <w:rFonts w:hint="eastAsia"/>
                      <w:bCs/>
                      <w:sz w:val="21"/>
                      <w:szCs w:val="21"/>
                    </w:rPr>
                    <w:t>（0.24</w:t>
                  </w:r>
                  <w:r>
                    <w:rPr>
                      <w:bCs/>
                      <w:sz w:val="21"/>
                      <w:szCs w:val="21"/>
                    </w:rPr>
                    <w:t xml:space="preserve"> m</w:t>
                  </w:r>
                  <w:r>
                    <w:rPr>
                      <w:bCs/>
                      <w:sz w:val="21"/>
                      <w:szCs w:val="21"/>
                      <w:vertAlign w:val="superscript"/>
                    </w:rPr>
                    <w:t>3</w:t>
                  </w:r>
                  <w:r>
                    <w:rPr>
                      <w:bCs/>
                      <w:sz w:val="21"/>
                      <w:szCs w:val="21"/>
                    </w:rPr>
                    <w:t>/d</w:t>
                  </w:r>
                  <w:r>
                    <w:rPr>
                      <w:rFonts w:hint="eastAsia"/>
                      <w:bCs/>
                      <w:sz w:val="21"/>
                      <w:szCs w:val="21"/>
                    </w:rPr>
                    <w:t>）</w:t>
                  </w:r>
                  <w:r>
                    <w:rPr>
                      <w:rFonts w:hint="eastAsia"/>
                      <w:sz w:val="21"/>
                      <w:szCs w:val="21"/>
                    </w:rPr>
                    <w:t>用于泼洒抑尘；</w:t>
                  </w:r>
                  <w:r>
                    <w:rPr>
                      <w:rFonts w:hint="eastAsia"/>
                      <w:bCs/>
                      <w:sz w:val="21"/>
                      <w:szCs w:val="21"/>
                    </w:rPr>
                    <w:t>食堂餐余物及食堂废水（0.24</w:t>
                  </w:r>
                  <w:r>
                    <w:rPr>
                      <w:bCs/>
                      <w:sz w:val="21"/>
                      <w:szCs w:val="21"/>
                    </w:rPr>
                    <w:t>m</w:t>
                  </w:r>
                  <w:r>
                    <w:rPr>
                      <w:bCs/>
                      <w:sz w:val="21"/>
                      <w:szCs w:val="21"/>
                      <w:vertAlign w:val="superscript"/>
                    </w:rPr>
                    <w:t>3</w:t>
                  </w:r>
                  <w:r>
                    <w:rPr>
                      <w:bCs/>
                      <w:sz w:val="21"/>
                      <w:szCs w:val="21"/>
                    </w:rPr>
                    <w:t>/d</w:t>
                  </w:r>
                  <w:r>
                    <w:rPr>
                      <w:rFonts w:hint="eastAsia"/>
                      <w:bCs/>
                      <w:sz w:val="21"/>
                      <w:szCs w:val="21"/>
                    </w:rPr>
                    <w:t>）</w:t>
                  </w:r>
                  <w:r>
                    <w:rPr>
                      <w:rFonts w:hint="eastAsia"/>
                      <w:sz w:val="21"/>
                      <w:szCs w:val="21"/>
                    </w:rPr>
                    <w:t>经收集后委托有相关资质的单位外运处置</w:t>
                  </w:r>
                </w:p>
              </w:tc>
              <w:tc>
                <w:tcPr>
                  <w:tcW w:w="579" w:type="pct"/>
                  <w:vAlign w:val="center"/>
                </w:tcPr>
                <w:p>
                  <w:pPr>
                    <w:autoSpaceDE w:val="0"/>
                    <w:autoSpaceDN w:val="0"/>
                    <w:adjustRightInd w:val="0"/>
                    <w:spacing w:line="240" w:lineRule="auto"/>
                    <w:ind w:firstLine="0" w:firstLineChars="0"/>
                    <w:jc w:val="center"/>
                    <w:rPr>
                      <w:sz w:val="21"/>
                      <w:szCs w:val="21"/>
                    </w:rPr>
                  </w:pPr>
                  <w:r>
                    <w:rPr>
                      <w:rFonts w:hint="eastAsia"/>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80" w:type="pct"/>
                  <w:vAlign w:val="center"/>
                </w:tcPr>
                <w:p>
                  <w:pPr>
                    <w:autoSpaceDE w:val="0"/>
                    <w:autoSpaceDN w:val="0"/>
                    <w:adjustRightInd w:val="0"/>
                    <w:spacing w:line="240" w:lineRule="auto"/>
                    <w:ind w:firstLine="0" w:firstLineChars="0"/>
                    <w:jc w:val="center"/>
                    <w:rPr>
                      <w:sz w:val="21"/>
                      <w:szCs w:val="21"/>
                    </w:rPr>
                  </w:pPr>
                  <w:r>
                    <w:rPr>
                      <w:rFonts w:hint="eastAsia"/>
                      <w:sz w:val="21"/>
                      <w:szCs w:val="21"/>
                    </w:rPr>
                    <w:t>洗车废水</w:t>
                  </w:r>
                </w:p>
              </w:tc>
              <w:tc>
                <w:tcPr>
                  <w:tcW w:w="651" w:type="pct"/>
                  <w:vAlign w:val="center"/>
                </w:tcPr>
                <w:p>
                  <w:pPr>
                    <w:autoSpaceDE w:val="0"/>
                    <w:autoSpaceDN w:val="0"/>
                    <w:adjustRightInd w:val="0"/>
                    <w:spacing w:line="240" w:lineRule="auto"/>
                    <w:ind w:firstLine="0" w:firstLineChars="0"/>
                    <w:jc w:val="center"/>
                    <w:rPr>
                      <w:sz w:val="21"/>
                      <w:szCs w:val="21"/>
                    </w:rPr>
                  </w:pPr>
                  <w:r>
                    <w:rPr>
                      <w:sz w:val="21"/>
                      <w:szCs w:val="21"/>
                    </w:rPr>
                    <w:t>8.56</w:t>
                  </w:r>
                </w:p>
              </w:tc>
              <w:tc>
                <w:tcPr>
                  <w:tcW w:w="2390" w:type="pct"/>
                  <w:vAlign w:val="center"/>
                </w:tcPr>
                <w:p>
                  <w:pPr>
                    <w:autoSpaceDE w:val="0"/>
                    <w:autoSpaceDN w:val="0"/>
                    <w:adjustRightInd w:val="0"/>
                    <w:spacing w:line="240" w:lineRule="auto"/>
                    <w:ind w:firstLine="0" w:firstLineChars="0"/>
                    <w:jc w:val="center"/>
                    <w:rPr>
                      <w:sz w:val="21"/>
                      <w:szCs w:val="21"/>
                    </w:rPr>
                  </w:pPr>
                  <w:r>
                    <w:rPr>
                      <w:rFonts w:hint="eastAsia"/>
                      <w:sz w:val="21"/>
                      <w:szCs w:val="21"/>
                    </w:rPr>
                    <w:t>洗车废水排至沉淀池沉淀处理后排入清水池循环使用，不外排</w:t>
                  </w:r>
                </w:p>
              </w:tc>
              <w:tc>
                <w:tcPr>
                  <w:tcW w:w="579" w:type="pct"/>
                  <w:vAlign w:val="center"/>
                </w:tcPr>
                <w:p>
                  <w:pPr>
                    <w:autoSpaceDE w:val="0"/>
                    <w:autoSpaceDN w:val="0"/>
                    <w:adjustRightInd w:val="0"/>
                    <w:spacing w:line="240" w:lineRule="auto"/>
                    <w:ind w:firstLine="0" w:firstLineChars="0"/>
                    <w:jc w:val="center"/>
                    <w:rPr>
                      <w:sz w:val="21"/>
                      <w:szCs w:val="21"/>
                    </w:rPr>
                  </w:pPr>
                  <w:r>
                    <w:rPr>
                      <w:sz w:val="21"/>
                      <w:szCs w:val="21"/>
                    </w:rPr>
                    <w:t>0</w:t>
                  </w:r>
                </w:p>
              </w:tc>
            </w:tr>
          </w:tbl>
          <w:p>
            <w:pPr>
              <w:pStyle w:val="144"/>
              <w:spacing w:before="0" w:after="0"/>
              <w:ind w:firstLine="0" w:firstLineChars="0"/>
              <w:rPr>
                <w:b/>
              </w:rPr>
            </w:pPr>
            <w:r>
              <w:rPr>
                <w:b/>
              </w:rPr>
              <w:t>2</w:t>
            </w:r>
            <w:r>
              <w:rPr>
                <w:rFonts w:hint="eastAsia"/>
                <w:b/>
              </w:rPr>
              <w:t>、</w:t>
            </w:r>
            <w:r>
              <w:rPr>
                <w:rFonts w:ascii="宋体" w:hAnsi="宋体"/>
                <w:b/>
              </w:rPr>
              <w:t>地表水环境影响分析</w:t>
            </w:r>
          </w:p>
          <w:p>
            <w:pPr>
              <w:pStyle w:val="172"/>
              <w:ind w:firstLine="470" w:firstLineChars="196"/>
              <w:rPr>
                <w:rFonts w:ascii="Times New Roman" w:hAnsi="宋体" w:eastAsia="宋体"/>
              </w:rPr>
            </w:pPr>
            <w:r>
              <w:rPr>
                <w:rFonts w:hint="eastAsia" w:ascii="Times New Roman" w:hAnsi="宋体" w:eastAsia="宋体"/>
              </w:rPr>
              <w:t>综上所述，本项目产生的少量少量盥洗废水</w:t>
            </w:r>
            <w:r>
              <w:rPr>
                <w:rFonts w:hint="eastAsia" w:ascii="Times New Roman" w:hAnsi="宋体" w:eastAsia="宋体"/>
                <w:bCs/>
              </w:rPr>
              <w:t>（0.24</w:t>
            </w:r>
            <w:r>
              <w:rPr>
                <w:rFonts w:ascii="Times New Roman" w:hAnsi="宋体" w:eastAsia="宋体"/>
                <w:bCs/>
              </w:rPr>
              <w:t xml:space="preserve"> m</w:t>
            </w:r>
            <w:r>
              <w:rPr>
                <w:rFonts w:ascii="Times New Roman" w:hAnsi="宋体" w:eastAsia="宋体"/>
                <w:bCs/>
                <w:vertAlign w:val="superscript"/>
              </w:rPr>
              <w:t>3</w:t>
            </w:r>
            <w:r>
              <w:rPr>
                <w:rFonts w:ascii="Times New Roman" w:hAnsi="宋体" w:eastAsia="宋体"/>
                <w:bCs/>
              </w:rPr>
              <w:t>/d</w:t>
            </w:r>
            <w:r>
              <w:rPr>
                <w:rFonts w:hint="eastAsia" w:ascii="Times New Roman" w:hAnsi="宋体" w:eastAsia="宋体"/>
                <w:bCs/>
              </w:rPr>
              <w:t>）</w:t>
            </w:r>
            <w:r>
              <w:rPr>
                <w:rFonts w:hint="eastAsia" w:ascii="Times New Roman" w:hAnsi="宋体" w:eastAsia="宋体"/>
              </w:rPr>
              <w:t>用于泼洒抑尘；</w:t>
            </w:r>
            <w:r>
              <w:rPr>
                <w:rFonts w:hint="eastAsia" w:ascii="Times New Roman" w:hAnsi="宋体" w:eastAsia="宋体"/>
                <w:bCs/>
              </w:rPr>
              <w:t>食堂餐余物及食堂废水（0.24</w:t>
            </w:r>
            <w:r>
              <w:rPr>
                <w:rFonts w:ascii="Times New Roman" w:hAnsi="宋体" w:eastAsia="宋体"/>
                <w:bCs/>
              </w:rPr>
              <w:t>m</w:t>
            </w:r>
            <w:r>
              <w:rPr>
                <w:rFonts w:ascii="Times New Roman" w:hAnsi="宋体" w:eastAsia="宋体"/>
                <w:bCs/>
                <w:vertAlign w:val="superscript"/>
              </w:rPr>
              <w:t>3</w:t>
            </w:r>
            <w:r>
              <w:rPr>
                <w:rFonts w:ascii="Times New Roman" w:hAnsi="宋体" w:eastAsia="宋体"/>
                <w:bCs/>
              </w:rPr>
              <w:t>/d</w:t>
            </w:r>
            <w:r>
              <w:rPr>
                <w:rFonts w:hint="eastAsia" w:ascii="Times New Roman" w:hAnsi="宋体" w:eastAsia="宋体"/>
                <w:bCs/>
              </w:rPr>
              <w:t>）</w:t>
            </w:r>
            <w:r>
              <w:rPr>
                <w:rFonts w:hint="eastAsia" w:ascii="Times New Roman" w:hAnsi="宋体" w:eastAsia="宋体"/>
              </w:rPr>
              <w:t>经收集后委托有相关资质的单位外运处置，不外排；洗车废水排至沉淀池沉淀处理后排入清水池循环使用，不外排；运营期无废水外排，对当地水环境影响较小。</w:t>
            </w:r>
          </w:p>
          <w:p>
            <w:pPr>
              <w:pStyle w:val="172"/>
              <w:ind w:firstLine="470" w:firstLineChars="196"/>
              <w:rPr>
                <w:rFonts w:ascii="Times New Roman" w:hAnsi="宋体" w:eastAsia="宋体"/>
              </w:rPr>
            </w:pPr>
            <w:r>
              <w:rPr>
                <w:rFonts w:hint="eastAsia" w:ascii="Times New Roman" w:hAnsi="宋体" w:eastAsia="宋体"/>
              </w:rPr>
              <w:t>本项目水环境影响评价自查表见下表。</w:t>
            </w:r>
          </w:p>
          <w:p>
            <w:pPr>
              <w:pStyle w:val="37"/>
              <w:ind w:firstLine="480"/>
              <w:jc w:val="center"/>
              <w:rPr>
                <w:rFonts w:ascii="黑体" w:hAnsi="黑体" w:eastAsia="黑体"/>
                <w:bCs/>
                <w:sz w:val="24"/>
              </w:rPr>
            </w:pPr>
            <w:r>
              <w:rPr>
                <w:rFonts w:hint="eastAsia" w:ascii="黑体" w:hAnsi="黑体" w:eastAsia="黑体"/>
                <w:bCs/>
                <w:sz w:val="24"/>
              </w:rPr>
              <w:t>表</w:t>
            </w:r>
            <w:r>
              <w:rPr>
                <w:rFonts w:ascii="黑体" w:hAnsi="黑体" w:eastAsia="黑体"/>
                <w:bCs/>
                <w:sz w:val="24"/>
              </w:rPr>
              <w:t xml:space="preserve">46 </w:t>
            </w:r>
            <w:r>
              <w:rPr>
                <w:rFonts w:hint="eastAsia" w:ascii="黑体" w:hAnsi="黑体" w:eastAsia="黑体"/>
                <w:bCs/>
                <w:sz w:val="24"/>
              </w:rPr>
              <w:t xml:space="preserve"> 地表水环境自查表</w:t>
            </w:r>
          </w:p>
          <w:tbl>
            <w:tblPr>
              <w:tblStyle w:val="70"/>
              <w:tblW w:w="87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1463"/>
              <w:gridCol w:w="1510"/>
              <w:gridCol w:w="382"/>
              <w:gridCol w:w="553"/>
              <w:gridCol w:w="392"/>
              <w:gridCol w:w="628"/>
              <w:gridCol w:w="513"/>
              <w:gridCol w:w="258"/>
              <w:gridCol w:w="900"/>
              <w:gridCol w:w="164"/>
              <w:gridCol w:w="1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99" w:type="dxa"/>
                  <w:gridSpan w:val="2"/>
                  <w:vAlign w:val="center"/>
                </w:tcPr>
                <w:p>
                  <w:pPr>
                    <w:spacing w:line="0" w:lineRule="atLeast"/>
                    <w:ind w:firstLine="0" w:firstLineChars="0"/>
                    <w:jc w:val="center"/>
                    <w:rPr>
                      <w:sz w:val="18"/>
                      <w:szCs w:val="18"/>
                    </w:rPr>
                  </w:pPr>
                  <w:r>
                    <w:rPr>
                      <w:sz w:val="18"/>
                      <w:szCs w:val="18"/>
                    </w:rPr>
                    <w:t>工作内容</w:t>
                  </w:r>
                </w:p>
              </w:tc>
              <w:tc>
                <w:tcPr>
                  <w:tcW w:w="6622" w:type="dxa"/>
                  <w:gridSpan w:val="10"/>
                  <w:vAlign w:val="center"/>
                </w:tcPr>
                <w:p>
                  <w:pPr>
                    <w:spacing w:line="0" w:lineRule="atLeast"/>
                    <w:ind w:firstLine="0" w:firstLineChars="0"/>
                    <w:jc w:val="center"/>
                    <w:rPr>
                      <w:sz w:val="18"/>
                      <w:szCs w:val="18"/>
                    </w:rPr>
                  </w:pPr>
                  <w:r>
                    <w:rPr>
                      <w:sz w:val="18"/>
                      <w:szCs w:val="18"/>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restart"/>
                  <w:vAlign w:val="center"/>
                </w:tcPr>
                <w:p>
                  <w:pPr>
                    <w:spacing w:line="0" w:lineRule="atLeast"/>
                    <w:ind w:firstLine="0" w:firstLineChars="0"/>
                    <w:jc w:val="center"/>
                    <w:rPr>
                      <w:sz w:val="18"/>
                      <w:szCs w:val="18"/>
                    </w:rPr>
                  </w:pPr>
                  <w:r>
                    <w:rPr>
                      <w:rFonts w:hint="eastAsia"/>
                      <w:sz w:val="18"/>
                      <w:szCs w:val="18"/>
                    </w:rPr>
                    <w:t>影</w:t>
                  </w:r>
                </w:p>
                <w:p>
                  <w:pPr>
                    <w:spacing w:line="0" w:lineRule="atLeast"/>
                    <w:ind w:firstLine="0" w:firstLineChars="0"/>
                    <w:jc w:val="center"/>
                    <w:rPr>
                      <w:sz w:val="18"/>
                      <w:szCs w:val="18"/>
                    </w:rPr>
                  </w:pPr>
                  <w:r>
                    <w:rPr>
                      <w:rFonts w:hint="eastAsia"/>
                      <w:sz w:val="18"/>
                      <w:szCs w:val="18"/>
                    </w:rPr>
                    <w:t>响</w:t>
                  </w:r>
                </w:p>
                <w:p>
                  <w:pPr>
                    <w:spacing w:line="0" w:lineRule="atLeast"/>
                    <w:ind w:firstLine="0" w:firstLineChars="0"/>
                    <w:jc w:val="center"/>
                    <w:rPr>
                      <w:sz w:val="18"/>
                      <w:szCs w:val="18"/>
                    </w:rPr>
                  </w:pPr>
                  <w:r>
                    <w:rPr>
                      <w:rFonts w:hint="eastAsia"/>
                      <w:sz w:val="18"/>
                      <w:szCs w:val="18"/>
                    </w:rPr>
                    <w:t>识</w:t>
                  </w:r>
                </w:p>
                <w:p>
                  <w:pPr>
                    <w:spacing w:line="0" w:lineRule="atLeast"/>
                    <w:ind w:firstLine="0" w:firstLineChars="0"/>
                    <w:jc w:val="center"/>
                    <w:rPr>
                      <w:sz w:val="18"/>
                      <w:szCs w:val="18"/>
                    </w:rPr>
                  </w:pPr>
                  <w:r>
                    <w:rPr>
                      <w:rFonts w:hint="eastAsia"/>
                      <w:sz w:val="18"/>
                      <w:szCs w:val="18"/>
                    </w:rPr>
                    <w:t>别</w:t>
                  </w:r>
                </w:p>
              </w:tc>
              <w:tc>
                <w:tcPr>
                  <w:tcW w:w="1463" w:type="dxa"/>
                  <w:vAlign w:val="center"/>
                </w:tcPr>
                <w:p>
                  <w:pPr>
                    <w:spacing w:line="0" w:lineRule="atLeast"/>
                    <w:ind w:firstLine="0" w:firstLineChars="0"/>
                    <w:jc w:val="center"/>
                    <w:rPr>
                      <w:sz w:val="18"/>
                      <w:szCs w:val="18"/>
                    </w:rPr>
                  </w:pPr>
                  <w:r>
                    <w:rPr>
                      <w:rFonts w:hint="eastAsia"/>
                      <w:sz w:val="18"/>
                      <w:szCs w:val="18"/>
                    </w:rPr>
                    <w:t>影响类型</w:t>
                  </w:r>
                </w:p>
              </w:tc>
              <w:tc>
                <w:tcPr>
                  <w:tcW w:w="6622" w:type="dxa"/>
                  <w:gridSpan w:val="10"/>
                  <w:vAlign w:val="center"/>
                </w:tcPr>
                <w:p>
                  <w:pPr>
                    <w:spacing w:line="0" w:lineRule="atLeast"/>
                    <w:ind w:firstLine="0" w:firstLineChars="0"/>
                    <w:jc w:val="center"/>
                    <w:rPr>
                      <w:sz w:val="18"/>
                      <w:szCs w:val="18"/>
                    </w:rPr>
                  </w:pPr>
                  <w:r>
                    <w:rPr>
                      <w:rFonts w:hint="eastAsia"/>
                      <w:sz w:val="18"/>
                      <w:szCs w:val="18"/>
                    </w:rPr>
                    <w:t>水污染影响型</w:t>
                  </w:r>
                  <w:r>
                    <w:rPr>
                      <w:sz w:val="18"/>
                      <w:szCs w:val="18"/>
                    </w:rPr>
                    <w:sym w:font="Wingdings 2" w:char="0052"/>
                  </w:r>
                  <w:r>
                    <w:rPr>
                      <w:rFonts w:hint="eastAsia"/>
                      <w:sz w:val="18"/>
                      <w:szCs w:val="18"/>
                    </w:rPr>
                    <w:t>；水文要素影响型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Align w:val="center"/>
                </w:tcPr>
                <w:p>
                  <w:pPr>
                    <w:spacing w:line="0" w:lineRule="atLeast"/>
                    <w:ind w:firstLine="0" w:firstLineChars="0"/>
                    <w:jc w:val="center"/>
                    <w:rPr>
                      <w:sz w:val="18"/>
                      <w:szCs w:val="18"/>
                    </w:rPr>
                  </w:pPr>
                  <w:r>
                    <w:rPr>
                      <w:rFonts w:hint="eastAsia"/>
                      <w:sz w:val="18"/>
                      <w:szCs w:val="18"/>
                    </w:rPr>
                    <w:t>水环境保护目标</w:t>
                  </w:r>
                </w:p>
              </w:tc>
              <w:tc>
                <w:tcPr>
                  <w:tcW w:w="6622" w:type="dxa"/>
                  <w:gridSpan w:val="10"/>
                  <w:vAlign w:val="center"/>
                </w:tcPr>
                <w:p>
                  <w:pPr>
                    <w:spacing w:line="0" w:lineRule="atLeast"/>
                    <w:ind w:firstLine="0" w:firstLineChars="0"/>
                    <w:jc w:val="center"/>
                    <w:rPr>
                      <w:sz w:val="18"/>
                      <w:szCs w:val="18"/>
                    </w:rPr>
                  </w:pPr>
                  <w:r>
                    <w:rPr>
                      <w:rFonts w:hint="eastAsia"/>
                      <w:sz w:val="18"/>
                      <w:szCs w:val="18"/>
                    </w:rPr>
                    <w:t xml:space="preserve">饮用水水源保护区 □；饮用水取水口 □；涉水的自然保护区 □；重要湿地 □； 重点保护与珍稀水生生物的栖息地 □；重要水生生物的自然产卵场及索饵场、越冬场和洄游通道、天然渔场等渔业水体 □；涉水的风景名胜区 □；其他 </w:t>
                  </w:r>
                  <w:r>
                    <w:rPr>
                      <w:rFonts w:hint="eastAsia"/>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Merge w:val="restart"/>
                  <w:vAlign w:val="center"/>
                </w:tcPr>
                <w:p>
                  <w:pPr>
                    <w:spacing w:line="0" w:lineRule="atLeast"/>
                    <w:ind w:firstLine="0" w:firstLineChars="0"/>
                    <w:jc w:val="center"/>
                    <w:rPr>
                      <w:sz w:val="18"/>
                      <w:szCs w:val="18"/>
                    </w:rPr>
                  </w:pPr>
                  <w:r>
                    <w:rPr>
                      <w:rFonts w:hint="eastAsia"/>
                      <w:sz w:val="18"/>
                      <w:szCs w:val="18"/>
                    </w:rPr>
                    <w:t>影响途径</w:t>
                  </w:r>
                </w:p>
              </w:tc>
              <w:tc>
                <w:tcPr>
                  <w:tcW w:w="3465" w:type="dxa"/>
                  <w:gridSpan w:val="5"/>
                  <w:vAlign w:val="center"/>
                </w:tcPr>
                <w:p>
                  <w:pPr>
                    <w:spacing w:line="0" w:lineRule="atLeast"/>
                    <w:ind w:firstLine="0" w:firstLineChars="0"/>
                    <w:jc w:val="center"/>
                    <w:rPr>
                      <w:sz w:val="18"/>
                      <w:szCs w:val="18"/>
                    </w:rPr>
                  </w:pPr>
                  <w:r>
                    <w:rPr>
                      <w:sz w:val="18"/>
                      <w:szCs w:val="18"/>
                    </w:rPr>
                    <w:t>水污染影响型</w:t>
                  </w:r>
                </w:p>
              </w:tc>
              <w:tc>
                <w:tcPr>
                  <w:tcW w:w="3157" w:type="dxa"/>
                  <w:gridSpan w:val="5"/>
                  <w:vAlign w:val="center"/>
                </w:tcPr>
                <w:p>
                  <w:pPr>
                    <w:spacing w:line="0" w:lineRule="atLeast"/>
                    <w:ind w:firstLine="0" w:firstLineChars="0"/>
                    <w:jc w:val="center"/>
                    <w:rPr>
                      <w:sz w:val="18"/>
                      <w:szCs w:val="18"/>
                    </w:rPr>
                  </w:pPr>
                  <w:r>
                    <w:rPr>
                      <w:rFonts w:hint="eastAsia"/>
                      <w:sz w:val="18"/>
                      <w:szCs w:val="18"/>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Merge w:val="continue"/>
                  <w:vAlign w:val="center"/>
                </w:tcPr>
                <w:p>
                  <w:pPr>
                    <w:spacing w:line="0" w:lineRule="atLeast"/>
                    <w:ind w:firstLine="0" w:firstLineChars="0"/>
                    <w:jc w:val="center"/>
                    <w:rPr>
                      <w:sz w:val="18"/>
                      <w:szCs w:val="18"/>
                    </w:rPr>
                  </w:pPr>
                </w:p>
              </w:tc>
              <w:tc>
                <w:tcPr>
                  <w:tcW w:w="3465" w:type="dxa"/>
                  <w:gridSpan w:val="5"/>
                  <w:vAlign w:val="center"/>
                </w:tcPr>
                <w:p>
                  <w:pPr>
                    <w:spacing w:line="0" w:lineRule="atLeast"/>
                    <w:ind w:firstLine="0" w:firstLineChars="0"/>
                    <w:jc w:val="center"/>
                    <w:rPr>
                      <w:sz w:val="18"/>
                      <w:szCs w:val="18"/>
                    </w:rPr>
                  </w:pPr>
                  <w:r>
                    <w:rPr>
                      <w:rFonts w:hint="eastAsia"/>
                      <w:sz w:val="18"/>
                      <w:szCs w:val="18"/>
                    </w:rPr>
                    <w:t xml:space="preserve">直接排放 □；间接排放 □；其他 </w:t>
                  </w:r>
                  <w:r>
                    <w:rPr>
                      <w:sz w:val="18"/>
                      <w:szCs w:val="18"/>
                    </w:rPr>
                    <w:sym w:font="Wingdings 2" w:char="0052"/>
                  </w:r>
                </w:p>
              </w:tc>
              <w:tc>
                <w:tcPr>
                  <w:tcW w:w="3157" w:type="dxa"/>
                  <w:gridSpan w:val="5"/>
                  <w:vAlign w:val="center"/>
                </w:tcPr>
                <w:p>
                  <w:pPr>
                    <w:spacing w:line="0" w:lineRule="atLeast"/>
                    <w:ind w:firstLine="0" w:firstLineChars="0"/>
                    <w:jc w:val="center"/>
                    <w:rPr>
                      <w:sz w:val="18"/>
                      <w:szCs w:val="18"/>
                    </w:rPr>
                  </w:pPr>
                  <w:r>
                    <w:rPr>
                      <w:rFonts w:hint="eastAsia"/>
                      <w:sz w:val="18"/>
                      <w:szCs w:val="18"/>
                    </w:rPr>
                    <w:t>水温 □；径流 □；水域面积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Align w:val="center"/>
                </w:tcPr>
                <w:p>
                  <w:pPr>
                    <w:spacing w:line="0" w:lineRule="atLeast"/>
                    <w:ind w:firstLine="0" w:firstLineChars="0"/>
                    <w:jc w:val="center"/>
                    <w:rPr>
                      <w:sz w:val="18"/>
                      <w:szCs w:val="18"/>
                    </w:rPr>
                  </w:pPr>
                  <w:r>
                    <w:rPr>
                      <w:rFonts w:hint="eastAsia"/>
                      <w:sz w:val="18"/>
                      <w:szCs w:val="18"/>
                    </w:rPr>
                    <w:t>影响因子</w:t>
                  </w:r>
                </w:p>
              </w:tc>
              <w:tc>
                <w:tcPr>
                  <w:tcW w:w="3465" w:type="dxa"/>
                  <w:gridSpan w:val="5"/>
                  <w:vAlign w:val="center"/>
                </w:tcPr>
                <w:p>
                  <w:pPr>
                    <w:spacing w:line="0" w:lineRule="atLeast"/>
                    <w:ind w:firstLine="0" w:firstLineChars="0"/>
                    <w:jc w:val="center"/>
                    <w:rPr>
                      <w:sz w:val="18"/>
                      <w:szCs w:val="18"/>
                    </w:rPr>
                  </w:pPr>
                  <w:r>
                    <w:rPr>
                      <w:rFonts w:hint="eastAsia"/>
                      <w:sz w:val="18"/>
                      <w:szCs w:val="18"/>
                    </w:rPr>
                    <w:t>持久性污染物 □；有毒有害污染物 □；非持久性污染物 □；</w:t>
                  </w:r>
                </w:p>
                <w:p>
                  <w:pPr>
                    <w:spacing w:line="0" w:lineRule="atLeast"/>
                    <w:ind w:firstLine="0" w:firstLineChars="0"/>
                    <w:jc w:val="center"/>
                    <w:rPr>
                      <w:sz w:val="18"/>
                      <w:szCs w:val="18"/>
                    </w:rPr>
                  </w:pPr>
                  <w:r>
                    <w:rPr>
                      <w:rFonts w:hint="eastAsia"/>
                      <w:sz w:val="18"/>
                      <w:szCs w:val="18"/>
                    </w:rPr>
                    <w:t xml:space="preserve">pH值 □；热污染 □；富营养化 □；其他 </w:t>
                  </w:r>
                  <w:r>
                    <w:rPr>
                      <w:sz w:val="18"/>
                      <w:szCs w:val="18"/>
                    </w:rPr>
                    <w:sym w:font="Wingdings 2" w:char="00A3"/>
                  </w:r>
                </w:p>
              </w:tc>
              <w:tc>
                <w:tcPr>
                  <w:tcW w:w="3157" w:type="dxa"/>
                  <w:gridSpan w:val="5"/>
                  <w:vAlign w:val="center"/>
                </w:tcPr>
                <w:p>
                  <w:pPr>
                    <w:spacing w:line="0" w:lineRule="atLeast"/>
                    <w:ind w:firstLine="0" w:firstLineChars="0"/>
                    <w:jc w:val="center"/>
                    <w:rPr>
                      <w:sz w:val="18"/>
                      <w:szCs w:val="18"/>
                    </w:rPr>
                  </w:pPr>
                  <w:r>
                    <w:rPr>
                      <w:rFonts w:hint="eastAsia"/>
                      <w:sz w:val="18"/>
                      <w:szCs w:val="18"/>
                    </w:rPr>
                    <w:t>水温 □；水位（水深） □；流速 □；流量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99" w:type="dxa"/>
                  <w:gridSpan w:val="2"/>
                  <w:vMerge w:val="restart"/>
                  <w:vAlign w:val="center"/>
                </w:tcPr>
                <w:p>
                  <w:pPr>
                    <w:spacing w:line="0" w:lineRule="atLeast"/>
                    <w:ind w:firstLine="0" w:firstLineChars="0"/>
                    <w:jc w:val="center"/>
                    <w:rPr>
                      <w:sz w:val="18"/>
                      <w:szCs w:val="18"/>
                    </w:rPr>
                  </w:pPr>
                  <w:r>
                    <w:rPr>
                      <w:sz w:val="18"/>
                      <w:szCs w:val="18"/>
                    </w:rPr>
                    <w:t>评价等级</w:t>
                  </w:r>
                </w:p>
              </w:tc>
              <w:tc>
                <w:tcPr>
                  <w:tcW w:w="3465" w:type="dxa"/>
                  <w:gridSpan w:val="5"/>
                  <w:vAlign w:val="center"/>
                </w:tcPr>
                <w:p>
                  <w:pPr>
                    <w:spacing w:line="0" w:lineRule="atLeast"/>
                    <w:ind w:firstLine="0" w:firstLineChars="0"/>
                    <w:jc w:val="center"/>
                    <w:rPr>
                      <w:sz w:val="18"/>
                      <w:szCs w:val="18"/>
                    </w:rPr>
                  </w:pPr>
                  <w:r>
                    <w:rPr>
                      <w:sz w:val="18"/>
                      <w:szCs w:val="18"/>
                    </w:rPr>
                    <w:t>水污染影响型</w:t>
                  </w:r>
                </w:p>
              </w:tc>
              <w:tc>
                <w:tcPr>
                  <w:tcW w:w="3157" w:type="dxa"/>
                  <w:gridSpan w:val="5"/>
                  <w:vAlign w:val="center"/>
                </w:tcPr>
                <w:p>
                  <w:pPr>
                    <w:spacing w:line="0" w:lineRule="atLeast"/>
                    <w:ind w:firstLine="0" w:firstLineChars="0"/>
                    <w:jc w:val="center"/>
                    <w:rPr>
                      <w:sz w:val="18"/>
                      <w:szCs w:val="18"/>
                    </w:rPr>
                  </w:pPr>
                  <w:r>
                    <w:rPr>
                      <w:rFonts w:hint="eastAsia"/>
                      <w:sz w:val="18"/>
                      <w:szCs w:val="18"/>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99" w:type="dxa"/>
                  <w:gridSpan w:val="2"/>
                  <w:vMerge w:val="continue"/>
                  <w:vAlign w:val="center"/>
                </w:tcPr>
                <w:p>
                  <w:pPr>
                    <w:spacing w:line="0" w:lineRule="atLeast"/>
                    <w:ind w:firstLine="0" w:firstLineChars="0"/>
                    <w:jc w:val="center"/>
                    <w:rPr>
                      <w:sz w:val="18"/>
                      <w:szCs w:val="18"/>
                    </w:rPr>
                  </w:pPr>
                </w:p>
              </w:tc>
              <w:tc>
                <w:tcPr>
                  <w:tcW w:w="3465" w:type="dxa"/>
                  <w:gridSpan w:val="5"/>
                  <w:vAlign w:val="center"/>
                </w:tcPr>
                <w:p>
                  <w:pPr>
                    <w:spacing w:line="0" w:lineRule="atLeast"/>
                    <w:ind w:firstLine="0" w:firstLineChars="0"/>
                    <w:jc w:val="center"/>
                    <w:rPr>
                      <w:sz w:val="18"/>
                      <w:szCs w:val="18"/>
                    </w:rPr>
                  </w:pPr>
                  <w:r>
                    <w:rPr>
                      <w:rFonts w:hint="eastAsia"/>
                      <w:sz w:val="18"/>
                      <w:szCs w:val="18"/>
                    </w:rPr>
                    <w:t xml:space="preserve">一级 □；二级 □；三级A □；三级B </w:t>
                  </w:r>
                  <w:r>
                    <w:rPr>
                      <w:sz w:val="18"/>
                      <w:szCs w:val="18"/>
                    </w:rPr>
                    <w:sym w:font="Wingdings 2" w:char="0052"/>
                  </w:r>
                </w:p>
              </w:tc>
              <w:tc>
                <w:tcPr>
                  <w:tcW w:w="3157" w:type="dxa"/>
                  <w:gridSpan w:val="5"/>
                  <w:vAlign w:val="center"/>
                </w:tcPr>
                <w:p>
                  <w:pPr>
                    <w:spacing w:line="0" w:lineRule="atLeast"/>
                    <w:ind w:firstLine="0" w:firstLineChars="0"/>
                    <w:jc w:val="center"/>
                    <w:rPr>
                      <w:sz w:val="18"/>
                      <w:szCs w:val="18"/>
                    </w:rPr>
                  </w:pPr>
                  <w:r>
                    <w:rPr>
                      <w:rFonts w:hint="eastAsia"/>
                      <w:sz w:val="18"/>
                      <w:szCs w:val="18"/>
                    </w:rPr>
                    <w:t>一级 □；二级 □；三级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restart"/>
                  <w:vAlign w:val="center"/>
                </w:tcPr>
                <w:p>
                  <w:pPr>
                    <w:spacing w:line="0" w:lineRule="atLeast"/>
                    <w:ind w:firstLine="0" w:firstLineChars="0"/>
                    <w:jc w:val="center"/>
                    <w:rPr>
                      <w:sz w:val="18"/>
                      <w:szCs w:val="18"/>
                    </w:rPr>
                  </w:pPr>
                  <w:r>
                    <w:rPr>
                      <w:rFonts w:hint="eastAsia"/>
                      <w:sz w:val="18"/>
                      <w:szCs w:val="18"/>
                    </w:rPr>
                    <w:t>现</w:t>
                  </w:r>
                </w:p>
                <w:p>
                  <w:pPr>
                    <w:spacing w:line="0" w:lineRule="atLeast"/>
                    <w:ind w:firstLine="0" w:firstLineChars="0"/>
                    <w:jc w:val="center"/>
                    <w:rPr>
                      <w:sz w:val="18"/>
                      <w:szCs w:val="18"/>
                    </w:rPr>
                  </w:pPr>
                  <w:r>
                    <w:rPr>
                      <w:rFonts w:hint="eastAsia"/>
                      <w:sz w:val="18"/>
                      <w:szCs w:val="18"/>
                    </w:rPr>
                    <w:t>状</w:t>
                  </w:r>
                </w:p>
                <w:p>
                  <w:pPr>
                    <w:spacing w:line="0" w:lineRule="atLeast"/>
                    <w:ind w:firstLine="0" w:firstLineChars="0"/>
                    <w:jc w:val="center"/>
                    <w:rPr>
                      <w:sz w:val="18"/>
                      <w:szCs w:val="18"/>
                    </w:rPr>
                  </w:pPr>
                  <w:r>
                    <w:rPr>
                      <w:rFonts w:hint="eastAsia"/>
                      <w:sz w:val="18"/>
                      <w:szCs w:val="18"/>
                    </w:rPr>
                    <w:t>调</w:t>
                  </w:r>
                </w:p>
                <w:p>
                  <w:pPr>
                    <w:spacing w:line="0" w:lineRule="atLeast"/>
                    <w:ind w:firstLine="0" w:firstLineChars="0"/>
                    <w:jc w:val="center"/>
                    <w:rPr>
                      <w:sz w:val="18"/>
                      <w:szCs w:val="18"/>
                    </w:rPr>
                  </w:pPr>
                  <w:r>
                    <w:rPr>
                      <w:rFonts w:hint="eastAsia"/>
                      <w:sz w:val="18"/>
                      <w:szCs w:val="18"/>
                    </w:rPr>
                    <w:t>查</w:t>
                  </w:r>
                </w:p>
              </w:tc>
              <w:tc>
                <w:tcPr>
                  <w:tcW w:w="1463" w:type="dxa"/>
                  <w:vMerge w:val="restart"/>
                  <w:vAlign w:val="center"/>
                </w:tcPr>
                <w:p>
                  <w:pPr>
                    <w:spacing w:line="0" w:lineRule="atLeast"/>
                    <w:ind w:firstLine="0" w:firstLineChars="0"/>
                    <w:jc w:val="center"/>
                    <w:rPr>
                      <w:sz w:val="18"/>
                      <w:szCs w:val="18"/>
                    </w:rPr>
                  </w:pPr>
                  <w:r>
                    <w:rPr>
                      <w:rFonts w:hint="eastAsia"/>
                      <w:sz w:val="18"/>
                      <w:szCs w:val="18"/>
                    </w:rPr>
                    <w:t>区域污染源</w:t>
                  </w:r>
                </w:p>
              </w:tc>
              <w:tc>
                <w:tcPr>
                  <w:tcW w:w="3465" w:type="dxa"/>
                  <w:gridSpan w:val="5"/>
                  <w:vAlign w:val="center"/>
                </w:tcPr>
                <w:p>
                  <w:pPr>
                    <w:spacing w:line="0" w:lineRule="atLeast"/>
                    <w:ind w:firstLine="0" w:firstLineChars="0"/>
                    <w:jc w:val="center"/>
                    <w:rPr>
                      <w:sz w:val="18"/>
                      <w:szCs w:val="18"/>
                    </w:rPr>
                  </w:pPr>
                  <w:r>
                    <w:rPr>
                      <w:rFonts w:hint="eastAsia"/>
                      <w:sz w:val="18"/>
                      <w:szCs w:val="18"/>
                    </w:rPr>
                    <w:t>调查项目</w:t>
                  </w:r>
                </w:p>
              </w:tc>
              <w:tc>
                <w:tcPr>
                  <w:tcW w:w="3157" w:type="dxa"/>
                  <w:gridSpan w:val="5"/>
                  <w:vAlign w:val="center"/>
                </w:tcPr>
                <w:p>
                  <w:pPr>
                    <w:spacing w:line="0" w:lineRule="atLeast"/>
                    <w:ind w:firstLine="0" w:firstLineChars="0"/>
                    <w:jc w:val="center"/>
                    <w:rPr>
                      <w:sz w:val="18"/>
                      <w:szCs w:val="18"/>
                    </w:rPr>
                  </w:pPr>
                  <w:r>
                    <w:rPr>
                      <w:rFonts w:hint="eastAsia"/>
                      <w:sz w:val="18"/>
                      <w:szCs w:val="18"/>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Merge w:val="continue"/>
                  <w:vAlign w:val="center"/>
                </w:tcPr>
                <w:p>
                  <w:pPr>
                    <w:spacing w:line="0" w:lineRule="atLeast"/>
                    <w:ind w:firstLine="0" w:firstLineChars="0"/>
                    <w:jc w:val="center"/>
                    <w:rPr>
                      <w:sz w:val="18"/>
                      <w:szCs w:val="18"/>
                    </w:rPr>
                  </w:pPr>
                </w:p>
              </w:tc>
              <w:tc>
                <w:tcPr>
                  <w:tcW w:w="1892" w:type="dxa"/>
                  <w:gridSpan w:val="2"/>
                  <w:vAlign w:val="center"/>
                </w:tcPr>
                <w:p>
                  <w:pPr>
                    <w:spacing w:line="0" w:lineRule="atLeast"/>
                    <w:ind w:firstLine="0" w:firstLineChars="0"/>
                    <w:jc w:val="center"/>
                    <w:rPr>
                      <w:sz w:val="18"/>
                      <w:szCs w:val="18"/>
                    </w:rPr>
                  </w:pPr>
                  <w:r>
                    <w:rPr>
                      <w:rFonts w:hint="eastAsia"/>
                      <w:sz w:val="18"/>
                      <w:szCs w:val="18"/>
                    </w:rPr>
                    <w:t>已建 □；在建 □；拟建 □；其他 □</w:t>
                  </w:r>
                </w:p>
              </w:tc>
              <w:tc>
                <w:tcPr>
                  <w:tcW w:w="1573" w:type="dxa"/>
                  <w:gridSpan w:val="3"/>
                  <w:vAlign w:val="center"/>
                </w:tcPr>
                <w:p>
                  <w:pPr>
                    <w:spacing w:line="0" w:lineRule="atLeast"/>
                    <w:ind w:firstLine="0" w:firstLineChars="0"/>
                    <w:jc w:val="center"/>
                    <w:rPr>
                      <w:sz w:val="18"/>
                      <w:szCs w:val="18"/>
                    </w:rPr>
                  </w:pPr>
                  <w:r>
                    <w:rPr>
                      <w:rFonts w:hint="eastAsia"/>
                      <w:sz w:val="18"/>
                      <w:szCs w:val="18"/>
                    </w:rPr>
                    <w:t>拟替代的污染源□</w:t>
                  </w:r>
                </w:p>
              </w:tc>
              <w:tc>
                <w:tcPr>
                  <w:tcW w:w="3157" w:type="dxa"/>
                  <w:gridSpan w:val="5"/>
                  <w:vAlign w:val="center"/>
                </w:tcPr>
                <w:p>
                  <w:pPr>
                    <w:spacing w:line="0" w:lineRule="atLeast"/>
                    <w:ind w:firstLine="0" w:firstLineChars="0"/>
                    <w:jc w:val="center"/>
                    <w:rPr>
                      <w:sz w:val="18"/>
                      <w:szCs w:val="18"/>
                    </w:rPr>
                  </w:pPr>
                  <w:r>
                    <w:rPr>
                      <w:rFonts w:hint="eastAsia"/>
                      <w:sz w:val="18"/>
                      <w:szCs w:val="18"/>
                    </w:rPr>
                    <w:t>排污许可证 □；环评 □；环保验收 □；既有实测 □；现场监测 □；入河排放口数据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Merge w:val="restart"/>
                  <w:vAlign w:val="center"/>
                </w:tcPr>
                <w:p>
                  <w:pPr>
                    <w:spacing w:line="0" w:lineRule="atLeast"/>
                    <w:ind w:firstLine="0" w:firstLineChars="0"/>
                    <w:jc w:val="center"/>
                    <w:rPr>
                      <w:sz w:val="18"/>
                      <w:szCs w:val="18"/>
                    </w:rPr>
                  </w:pPr>
                  <w:r>
                    <w:rPr>
                      <w:rFonts w:hint="eastAsia"/>
                      <w:sz w:val="18"/>
                      <w:szCs w:val="18"/>
                    </w:rPr>
                    <w:t>受影响水体水环境质量</w:t>
                  </w:r>
                </w:p>
              </w:tc>
              <w:tc>
                <w:tcPr>
                  <w:tcW w:w="3465" w:type="dxa"/>
                  <w:gridSpan w:val="5"/>
                  <w:vAlign w:val="center"/>
                </w:tcPr>
                <w:p>
                  <w:pPr>
                    <w:spacing w:line="0" w:lineRule="atLeast"/>
                    <w:ind w:firstLine="0" w:firstLineChars="0"/>
                    <w:jc w:val="center"/>
                    <w:rPr>
                      <w:sz w:val="18"/>
                      <w:szCs w:val="18"/>
                    </w:rPr>
                  </w:pPr>
                  <w:r>
                    <w:rPr>
                      <w:rFonts w:hint="eastAsia"/>
                      <w:sz w:val="18"/>
                      <w:szCs w:val="18"/>
                    </w:rPr>
                    <w:t>调查时期</w:t>
                  </w:r>
                </w:p>
              </w:tc>
              <w:tc>
                <w:tcPr>
                  <w:tcW w:w="3157" w:type="dxa"/>
                  <w:gridSpan w:val="5"/>
                  <w:vAlign w:val="center"/>
                </w:tcPr>
                <w:p>
                  <w:pPr>
                    <w:spacing w:line="0" w:lineRule="atLeast"/>
                    <w:ind w:firstLine="0" w:firstLineChars="0"/>
                    <w:jc w:val="center"/>
                    <w:rPr>
                      <w:sz w:val="18"/>
                      <w:szCs w:val="18"/>
                    </w:rPr>
                  </w:pPr>
                  <w:r>
                    <w:rPr>
                      <w:rFonts w:hint="eastAsia"/>
                      <w:sz w:val="18"/>
                      <w:szCs w:val="18"/>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Merge w:val="continue"/>
                  <w:vAlign w:val="center"/>
                </w:tcPr>
                <w:p>
                  <w:pPr>
                    <w:spacing w:line="0" w:lineRule="atLeast"/>
                    <w:ind w:firstLine="0" w:firstLineChars="0"/>
                    <w:jc w:val="center"/>
                    <w:rPr>
                      <w:sz w:val="18"/>
                      <w:szCs w:val="18"/>
                    </w:rPr>
                  </w:pPr>
                </w:p>
              </w:tc>
              <w:tc>
                <w:tcPr>
                  <w:tcW w:w="3465" w:type="dxa"/>
                  <w:gridSpan w:val="5"/>
                  <w:vAlign w:val="center"/>
                </w:tcPr>
                <w:p>
                  <w:pPr>
                    <w:spacing w:line="0" w:lineRule="atLeast"/>
                    <w:ind w:firstLine="0" w:firstLineChars="0"/>
                    <w:jc w:val="center"/>
                    <w:rPr>
                      <w:sz w:val="18"/>
                      <w:szCs w:val="18"/>
                    </w:rPr>
                  </w:pPr>
                  <w:r>
                    <w:rPr>
                      <w:rFonts w:hint="eastAsia"/>
                      <w:sz w:val="18"/>
                      <w:szCs w:val="18"/>
                    </w:rPr>
                    <w:t>丰水期 □；平水期 □；枯水期 □；冰封期 □</w:t>
                  </w:r>
                </w:p>
                <w:p>
                  <w:pPr>
                    <w:spacing w:line="0" w:lineRule="atLeast"/>
                    <w:ind w:firstLine="0" w:firstLineChars="0"/>
                    <w:jc w:val="center"/>
                    <w:rPr>
                      <w:sz w:val="18"/>
                      <w:szCs w:val="18"/>
                    </w:rPr>
                  </w:pPr>
                  <w:r>
                    <w:rPr>
                      <w:rFonts w:hint="eastAsia"/>
                      <w:sz w:val="18"/>
                      <w:szCs w:val="18"/>
                    </w:rPr>
                    <w:t xml:space="preserve">春季 □；夏季 □；秋季 □；冬季 □ </w:t>
                  </w:r>
                </w:p>
              </w:tc>
              <w:tc>
                <w:tcPr>
                  <w:tcW w:w="3157" w:type="dxa"/>
                  <w:gridSpan w:val="5"/>
                  <w:vAlign w:val="center"/>
                </w:tcPr>
                <w:p>
                  <w:pPr>
                    <w:spacing w:line="0" w:lineRule="atLeast"/>
                    <w:ind w:firstLine="0" w:firstLineChars="0"/>
                    <w:jc w:val="center"/>
                    <w:rPr>
                      <w:sz w:val="18"/>
                      <w:szCs w:val="18"/>
                    </w:rPr>
                  </w:pPr>
                  <w:r>
                    <w:rPr>
                      <w:rFonts w:hint="eastAsia"/>
                      <w:sz w:val="18"/>
                      <w:szCs w:val="18"/>
                    </w:rPr>
                    <w:t>生态环境保护主管部门 □；补充监测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Align w:val="center"/>
                </w:tcPr>
                <w:p>
                  <w:pPr>
                    <w:spacing w:line="0" w:lineRule="atLeast"/>
                    <w:ind w:firstLine="0" w:firstLineChars="0"/>
                    <w:jc w:val="center"/>
                    <w:rPr>
                      <w:sz w:val="18"/>
                      <w:szCs w:val="18"/>
                    </w:rPr>
                  </w:pPr>
                  <w:r>
                    <w:rPr>
                      <w:rFonts w:hint="eastAsia"/>
                      <w:sz w:val="18"/>
                      <w:szCs w:val="18"/>
                    </w:rPr>
                    <w:t>区域水资源开发利用状况</w:t>
                  </w:r>
                </w:p>
              </w:tc>
              <w:tc>
                <w:tcPr>
                  <w:tcW w:w="6622" w:type="dxa"/>
                  <w:gridSpan w:val="10"/>
                  <w:vAlign w:val="center"/>
                </w:tcPr>
                <w:p>
                  <w:pPr>
                    <w:spacing w:line="0" w:lineRule="atLeast"/>
                    <w:ind w:firstLine="0" w:firstLineChars="0"/>
                    <w:jc w:val="center"/>
                    <w:rPr>
                      <w:sz w:val="18"/>
                      <w:szCs w:val="18"/>
                    </w:rPr>
                  </w:pPr>
                  <w:r>
                    <w:rPr>
                      <w:rFonts w:hint="eastAsia"/>
                      <w:sz w:val="18"/>
                      <w:szCs w:val="18"/>
                    </w:rPr>
                    <w:t>未开发 □；开发量 40%以下 □；开发量 40%以上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Merge w:val="restart"/>
                  <w:vAlign w:val="center"/>
                </w:tcPr>
                <w:p>
                  <w:pPr>
                    <w:spacing w:line="0" w:lineRule="atLeast"/>
                    <w:ind w:firstLine="0" w:firstLineChars="0"/>
                    <w:jc w:val="center"/>
                    <w:rPr>
                      <w:sz w:val="18"/>
                      <w:szCs w:val="18"/>
                    </w:rPr>
                  </w:pPr>
                  <w:r>
                    <w:rPr>
                      <w:rFonts w:hint="eastAsia"/>
                      <w:sz w:val="18"/>
                      <w:szCs w:val="18"/>
                    </w:rPr>
                    <w:t>水文情势调查</w:t>
                  </w:r>
                </w:p>
              </w:tc>
              <w:tc>
                <w:tcPr>
                  <w:tcW w:w="3465" w:type="dxa"/>
                  <w:gridSpan w:val="5"/>
                  <w:vAlign w:val="center"/>
                </w:tcPr>
                <w:p>
                  <w:pPr>
                    <w:spacing w:line="0" w:lineRule="atLeast"/>
                    <w:ind w:firstLine="0" w:firstLineChars="0"/>
                    <w:jc w:val="center"/>
                    <w:rPr>
                      <w:sz w:val="18"/>
                      <w:szCs w:val="18"/>
                    </w:rPr>
                  </w:pPr>
                  <w:r>
                    <w:rPr>
                      <w:rFonts w:hint="eastAsia"/>
                      <w:sz w:val="18"/>
                      <w:szCs w:val="18"/>
                    </w:rPr>
                    <w:t>调查时期</w:t>
                  </w:r>
                </w:p>
              </w:tc>
              <w:tc>
                <w:tcPr>
                  <w:tcW w:w="3157" w:type="dxa"/>
                  <w:gridSpan w:val="5"/>
                  <w:vAlign w:val="center"/>
                </w:tcPr>
                <w:p>
                  <w:pPr>
                    <w:spacing w:line="0" w:lineRule="atLeast"/>
                    <w:ind w:firstLine="0" w:firstLineChars="0"/>
                    <w:jc w:val="center"/>
                    <w:rPr>
                      <w:sz w:val="18"/>
                      <w:szCs w:val="18"/>
                    </w:rPr>
                  </w:pPr>
                  <w:r>
                    <w:rPr>
                      <w:rFonts w:hint="eastAsia"/>
                      <w:sz w:val="18"/>
                      <w:szCs w:val="18"/>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Merge w:val="continue"/>
                  <w:vAlign w:val="center"/>
                </w:tcPr>
                <w:p>
                  <w:pPr>
                    <w:spacing w:line="0" w:lineRule="atLeast"/>
                    <w:ind w:firstLine="0" w:firstLineChars="0"/>
                    <w:jc w:val="center"/>
                    <w:rPr>
                      <w:sz w:val="18"/>
                      <w:szCs w:val="18"/>
                    </w:rPr>
                  </w:pPr>
                </w:p>
              </w:tc>
              <w:tc>
                <w:tcPr>
                  <w:tcW w:w="3465" w:type="dxa"/>
                  <w:gridSpan w:val="5"/>
                  <w:vAlign w:val="center"/>
                </w:tcPr>
                <w:p>
                  <w:pPr>
                    <w:spacing w:line="0" w:lineRule="atLeast"/>
                    <w:ind w:firstLine="0" w:firstLineChars="0"/>
                    <w:jc w:val="center"/>
                    <w:rPr>
                      <w:sz w:val="18"/>
                      <w:szCs w:val="18"/>
                    </w:rPr>
                  </w:pPr>
                  <w:r>
                    <w:rPr>
                      <w:rFonts w:hint="eastAsia"/>
                      <w:sz w:val="18"/>
                      <w:szCs w:val="18"/>
                    </w:rPr>
                    <w:t>丰水期 □；平水期 □；枯水期 □；冰封期</w:t>
                  </w:r>
                </w:p>
                <w:p>
                  <w:pPr>
                    <w:spacing w:line="0" w:lineRule="atLeast"/>
                    <w:ind w:firstLine="0" w:firstLineChars="0"/>
                    <w:jc w:val="center"/>
                    <w:rPr>
                      <w:sz w:val="18"/>
                      <w:szCs w:val="18"/>
                    </w:rPr>
                  </w:pPr>
                  <w:r>
                    <w:rPr>
                      <w:rFonts w:hint="eastAsia"/>
                      <w:sz w:val="18"/>
                      <w:szCs w:val="18"/>
                    </w:rPr>
                    <w:t xml:space="preserve">春季 </w:t>
                  </w:r>
                  <w:r>
                    <w:rPr>
                      <w:sz w:val="18"/>
                      <w:szCs w:val="18"/>
                    </w:rPr>
                    <w:sym w:font="Wingdings 2" w:char="00A3"/>
                  </w:r>
                  <w:r>
                    <w:rPr>
                      <w:rFonts w:hint="eastAsia"/>
                      <w:sz w:val="18"/>
                      <w:szCs w:val="18"/>
                    </w:rPr>
                    <w:t>；夏季 □；秋季 □；冬季 □</w:t>
                  </w:r>
                </w:p>
              </w:tc>
              <w:tc>
                <w:tcPr>
                  <w:tcW w:w="3157" w:type="dxa"/>
                  <w:gridSpan w:val="5"/>
                  <w:vAlign w:val="center"/>
                </w:tcPr>
                <w:p>
                  <w:pPr>
                    <w:spacing w:line="0" w:lineRule="atLeast"/>
                    <w:ind w:firstLine="0" w:firstLineChars="0"/>
                    <w:jc w:val="center"/>
                    <w:rPr>
                      <w:sz w:val="18"/>
                      <w:szCs w:val="18"/>
                    </w:rPr>
                  </w:pPr>
                  <w:r>
                    <w:rPr>
                      <w:rFonts w:hint="eastAsia"/>
                      <w:sz w:val="18"/>
                      <w:szCs w:val="18"/>
                    </w:rPr>
                    <w:t xml:space="preserve">水行政主管部门 □；补充监测 </w:t>
                  </w:r>
                  <w:r>
                    <w:rPr>
                      <w:sz w:val="18"/>
                      <w:szCs w:val="18"/>
                    </w:rPr>
                    <w:sym w:font="Wingdings 2" w:char="00A3"/>
                  </w:r>
                  <w:r>
                    <w:rPr>
                      <w:rFonts w:hint="eastAsia"/>
                      <w:sz w:val="18"/>
                      <w:szCs w:val="18"/>
                    </w:rPr>
                    <w:t>；其他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Merge w:val="restart"/>
                  <w:vAlign w:val="center"/>
                </w:tcPr>
                <w:p>
                  <w:pPr>
                    <w:spacing w:line="0" w:lineRule="atLeast"/>
                    <w:ind w:firstLine="0" w:firstLineChars="0"/>
                    <w:jc w:val="center"/>
                    <w:rPr>
                      <w:sz w:val="18"/>
                      <w:szCs w:val="18"/>
                    </w:rPr>
                  </w:pPr>
                  <w:r>
                    <w:rPr>
                      <w:rFonts w:hint="eastAsia"/>
                      <w:sz w:val="18"/>
                      <w:szCs w:val="18"/>
                    </w:rPr>
                    <w:t>补充监测</w:t>
                  </w:r>
                </w:p>
              </w:tc>
              <w:tc>
                <w:tcPr>
                  <w:tcW w:w="2445" w:type="dxa"/>
                  <w:gridSpan w:val="3"/>
                  <w:vAlign w:val="center"/>
                </w:tcPr>
                <w:p>
                  <w:pPr>
                    <w:spacing w:line="0" w:lineRule="atLeast"/>
                    <w:ind w:firstLine="0" w:firstLineChars="0"/>
                    <w:jc w:val="center"/>
                    <w:rPr>
                      <w:sz w:val="18"/>
                      <w:szCs w:val="18"/>
                    </w:rPr>
                  </w:pPr>
                  <w:r>
                    <w:rPr>
                      <w:rFonts w:hint="eastAsia"/>
                      <w:sz w:val="18"/>
                      <w:szCs w:val="18"/>
                    </w:rPr>
                    <w:t>监测时期</w:t>
                  </w:r>
                </w:p>
              </w:tc>
              <w:tc>
                <w:tcPr>
                  <w:tcW w:w="2691" w:type="dxa"/>
                  <w:gridSpan w:val="5"/>
                  <w:vAlign w:val="center"/>
                </w:tcPr>
                <w:p>
                  <w:pPr>
                    <w:spacing w:line="0" w:lineRule="atLeast"/>
                    <w:ind w:firstLine="0" w:firstLineChars="0"/>
                    <w:jc w:val="center"/>
                    <w:rPr>
                      <w:sz w:val="18"/>
                      <w:szCs w:val="18"/>
                    </w:rPr>
                  </w:pPr>
                  <w:r>
                    <w:rPr>
                      <w:rFonts w:hint="eastAsia"/>
                      <w:sz w:val="18"/>
                      <w:szCs w:val="18"/>
                    </w:rPr>
                    <w:t>监测因子</w:t>
                  </w:r>
                </w:p>
              </w:tc>
              <w:tc>
                <w:tcPr>
                  <w:tcW w:w="1486" w:type="dxa"/>
                  <w:gridSpan w:val="2"/>
                  <w:vAlign w:val="center"/>
                </w:tcPr>
                <w:p>
                  <w:pPr>
                    <w:spacing w:line="0" w:lineRule="atLeast"/>
                    <w:ind w:firstLine="0" w:firstLineChars="0"/>
                    <w:jc w:val="center"/>
                    <w:rPr>
                      <w:sz w:val="18"/>
                      <w:szCs w:val="18"/>
                    </w:rPr>
                  </w:pPr>
                  <w:r>
                    <w:rPr>
                      <w:rFonts w:hint="eastAsia"/>
                      <w:sz w:val="18"/>
                      <w:szCs w:val="18"/>
                    </w:rP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Merge w:val="continue"/>
                  <w:vAlign w:val="center"/>
                </w:tcPr>
                <w:p>
                  <w:pPr>
                    <w:spacing w:line="0" w:lineRule="atLeast"/>
                    <w:ind w:firstLine="0" w:firstLineChars="0"/>
                    <w:jc w:val="center"/>
                    <w:rPr>
                      <w:sz w:val="18"/>
                      <w:szCs w:val="18"/>
                    </w:rPr>
                  </w:pPr>
                </w:p>
              </w:tc>
              <w:tc>
                <w:tcPr>
                  <w:tcW w:w="2445" w:type="dxa"/>
                  <w:gridSpan w:val="3"/>
                  <w:vAlign w:val="center"/>
                </w:tcPr>
                <w:p>
                  <w:pPr>
                    <w:spacing w:line="0" w:lineRule="atLeast"/>
                    <w:ind w:firstLine="0" w:firstLineChars="0"/>
                    <w:jc w:val="center"/>
                    <w:rPr>
                      <w:sz w:val="18"/>
                      <w:szCs w:val="18"/>
                    </w:rPr>
                  </w:pPr>
                  <w:r>
                    <w:rPr>
                      <w:rFonts w:hint="eastAsia"/>
                      <w:sz w:val="18"/>
                      <w:szCs w:val="18"/>
                    </w:rPr>
                    <w:t xml:space="preserve">丰水期 □；平水期 □；枯水期 □；冰封期 □ </w:t>
                  </w:r>
                </w:p>
                <w:p>
                  <w:pPr>
                    <w:spacing w:line="0" w:lineRule="atLeast"/>
                    <w:ind w:firstLine="0" w:firstLineChars="0"/>
                    <w:jc w:val="center"/>
                    <w:rPr>
                      <w:sz w:val="18"/>
                      <w:szCs w:val="18"/>
                    </w:rPr>
                  </w:pPr>
                  <w:r>
                    <w:rPr>
                      <w:rFonts w:hint="eastAsia"/>
                      <w:sz w:val="18"/>
                      <w:szCs w:val="18"/>
                    </w:rPr>
                    <w:t xml:space="preserve">春季 </w:t>
                  </w:r>
                  <w:r>
                    <w:rPr>
                      <w:sz w:val="18"/>
                      <w:szCs w:val="18"/>
                    </w:rPr>
                    <w:sym w:font="Wingdings 2" w:char="00A3"/>
                  </w:r>
                  <w:r>
                    <w:rPr>
                      <w:rFonts w:hint="eastAsia"/>
                      <w:sz w:val="18"/>
                      <w:szCs w:val="18"/>
                    </w:rPr>
                    <w:t>；夏季 □；秋季 □；冬季 □</w:t>
                  </w:r>
                </w:p>
              </w:tc>
              <w:tc>
                <w:tcPr>
                  <w:tcW w:w="2691" w:type="dxa"/>
                  <w:gridSpan w:val="5"/>
                  <w:vAlign w:val="center"/>
                </w:tcPr>
                <w:p>
                  <w:pPr>
                    <w:spacing w:line="0" w:lineRule="atLeast"/>
                    <w:ind w:firstLine="0" w:firstLineChars="0"/>
                    <w:jc w:val="center"/>
                    <w:rPr>
                      <w:sz w:val="18"/>
                      <w:szCs w:val="18"/>
                    </w:rPr>
                  </w:pPr>
                  <w:r>
                    <w:rPr>
                      <w:rFonts w:hint="eastAsia"/>
                      <w:sz w:val="18"/>
                      <w:szCs w:val="18"/>
                    </w:rPr>
                    <w:t>/</w:t>
                  </w:r>
                </w:p>
              </w:tc>
              <w:tc>
                <w:tcPr>
                  <w:tcW w:w="1486" w:type="dxa"/>
                  <w:gridSpan w:val="2"/>
                  <w:vAlign w:val="center"/>
                </w:tcPr>
                <w:p>
                  <w:pPr>
                    <w:spacing w:line="0" w:lineRule="atLeast"/>
                    <w:ind w:firstLine="0" w:firstLineChars="0"/>
                    <w:jc w:val="center"/>
                    <w:rPr>
                      <w:sz w:val="18"/>
                      <w:szCs w:val="18"/>
                    </w:rPr>
                  </w:pPr>
                  <w:r>
                    <w:rPr>
                      <w:rFonts w:hint="eastAsia"/>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restart"/>
                  <w:vAlign w:val="center"/>
                </w:tcPr>
                <w:p>
                  <w:pPr>
                    <w:spacing w:line="0" w:lineRule="atLeast"/>
                    <w:ind w:firstLine="0" w:firstLineChars="0"/>
                    <w:jc w:val="center"/>
                    <w:rPr>
                      <w:sz w:val="18"/>
                      <w:szCs w:val="18"/>
                    </w:rPr>
                  </w:pPr>
                  <w:r>
                    <w:rPr>
                      <w:rFonts w:hint="eastAsia"/>
                      <w:sz w:val="18"/>
                      <w:szCs w:val="18"/>
                    </w:rPr>
                    <w:t>现</w:t>
                  </w:r>
                </w:p>
                <w:p>
                  <w:pPr>
                    <w:spacing w:line="0" w:lineRule="atLeast"/>
                    <w:ind w:firstLine="0" w:firstLineChars="0"/>
                    <w:jc w:val="center"/>
                    <w:rPr>
                      <w:sz w:val="18"/>
                      <w:szCs w:val="18"/>
                    </w:rPr>
                  </w:pPr>
                  <w:r>
                    <w:rPr>
                      <w:rFonts w:hint="eastAsia"/>
                      <w:sz w:val="18"/>
                      <w:szCs w:val="18"/>
                    </w:rPr>
                    <w:t>状</w:t>
                  </w:r>
                </w:p>
                <w:p>
                  <w:pPr>
                    <w:spacing w:line="0" w:lineRule="atLeast"/>
                    <w:ind w:firstLine="0" w:firstLineChars="0"/>
                    <w:jc w:val="center"/>
                    <w:rPr>
                      <w:sz w:val="18"/>
                      <w:szCs w:val="18"/>
                    </w:rPr>
                  </w:pPr>
                  <w:r>
                    <w:rPr>
                      <w:rFonts w:hint="eastAsia"/>
                      <w:sz w:val="18"/>
                      <w:szCs w:val="18"/>
                    </w:rPr>
                    <w:t>评</w:t>
                  </w:r>
                </w:p>
                <w:p>
                  <w:pPr>
                    <w:spacing w:line="0" w:lineRule="atLeast"/>
                    <w:ind w:firstLine="0" w:firstLineChars="0"/>
                    <w:jc w:val="center"/>
                    <w:rPr>
                      <w:sz w:val="18"/>
                      <w:szCs w:val="18"/>
                    </w:rPr>
                  </w:pPr>
                  <w:r>
                    <w:rPr>
                      <w:rFonts w:hint="eastAsia"/>
                      <w:sz w:val="18"/>
                      <w:szCs w:val="18"/>
                    </w:rPr>
                    <w:t>价</w:t>
                  </w:r>
                </w:p>
              </w:tc>
              <w:tc>
                <w:tcPr>
                  <w:tcW w:w="1463" w:type="dxa"/>
                  <w:vAlign w:val="center"/>
                </w:tcPr>
                <w:p>
                  <w:pPr>
                    <w:spacing w:line="0" w:lineRule="atLeast"/>
                    <w:ind w:firstLine="0" w:firstLineChars="0"/>
                    <w:jc w:val="center"/>
                    <w:rPr>
                      <w:sz w:val="18"/>
                      <w:szCs w:val="18"/>
                    </w:rPr>
                  </w:pPr>
                  <w:r>
                    <w:rPr>
                      <w:rFonts w:hint="eastAsia"/>
                      <w:sz w:val="18"/>
                      <w:szCs w:val="18"/>
                    </w:rPr>
                    <w:t>评价范围</w:t>
                  </w:r>
                </w:p>
              </w:tc>
              <w:tc>
                <w:tcPr>
                  <w:tcW w:w="6622" w:type="dxa"/>
                  <w:gridSpan w:val="10"/>
                  <w:vAlign w:val="center"/>
                </w:tcPr>
                <w:p>
                  <w:pPr>
                    <w:spacing w:line="0" w:lineRule="atLeast"/>
                    <w:ind w:firstLine="0" w:firstLineChars="0"/>
                    <w:jc w:val="center"/>
                    <w:rPr>
                      <w:sz w:val="18"/>
                      <w:szCs w:val="18"/>
                    </w:rPr>
                  </w:pPr>
                  <w:r>
                    <w:rPr>
                      <w:rFonts w:hint="eastAsia"/>
                      <w:sz w:val="18"/>
                      <w:szCs w:val="18"/>
                    </w:rPr>
                    <w:t>河流：长度（ ）km；湖库、河口及近岸海域：面积（</w:t>
                  </w:r>
                  <w:r>
                    <w:rPr>
                      <w:sz w:val="18"/>
                      <w:szCs w:val="18"/>
                    </w:rPr>
                    <w:t xml:space="preserve"> </w:t>
                  </w:r>
                  <w:r>
                    <w:rPr>
                      <w:rFonts w:hint="eastAsia"/>
                      <w:sz w:val="18"/>
                      <w:szCs w:val="18"/>
                    </w:rPr>
                    <w:t>）km</w:t>
                  </w:r>
                  <w:r>
                    <w:rPr>
                      <w:rFonts w:hint="eastAsia"/>
                      <w:sz w:val="18"/>
                      <w:szCs w:val="18"/>
                      <w:vertAlign w:val="superscript"/>
                    </w:rPr>
                    <w:t>2</w:t>
                  </w:r>
                  <w:r>
                    <w:rPr>
                      <w:rFonts w:hint="eastAsia"/>
                      <w:sz w:val="18"/>
                      <w:szCs w:val="18"/>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Align w:val="center"/>
                </w:tcPr>
                <w:p>
                  <w:pPr>
                    <w:spacing w:line="0" w:lineRule="atLeast"/>
                    <w:ind w:firstLine="0" w:firstLineChars="0"/>
                    <w:jc w:val="center"/>
                    <w:rPr>
                      <w:sz w:val="18"/>
                      <w:szCs w:val="18"/>
                    </w:rPr>
                  </w:pPr>
                  <w:r>
                    <w:rPr>
                      <w:rFonts w:hint="eastAsia"/>
                      <w:sz w:val="18"/>
                      <w:szCs w:val="18"/>
                    </w:rPr>
                    <w:t>评价因子</w:t>
                  </w:r>
                </w:p>
              </w:tc>
              <w:tc>
                <w:tcPr>
                  <w:tcW w:w="6622" w:type="dxa"/>
                  <w:gridSpan w:val="10"/>
                  <w:vAlign w:val="center"/>
                </w:tcPr>
                <w:p>
                  <w:pPr>
                    <w:spacing w:line="0" w:lineRule="atLeast"/>
                    <w:ind w:firstLine="0" w:firstLineChars="0"/>
                    <w:jc w:val="center"/>
                    <w:rPr>
                      <w:sz w:val="18"/>
                      <w:szCs w:val="18"/>
                    </w:rPr>
                  </w:pPr>
                  <w:r>
                    <w:rPr>
                      <w:rFonts w:hint="eastAsia"/>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Align w:val="center"/>
                </w:tcPr>
                <w:p>
                  <w:pPr>
                    <w:spacing w:line="0" w:lineRule="atLeast"/>
                    <w:ind w:firstLine="0" w:firstLineChars="0"/>
                    <w:jc w:val="center"/>
                    <w:rPr>
                      <w:sz w:val="18"/>
                      <w:szCs w:val="18"/>
                    </w:rPr>
                  </w:pPr>
                  <w:r>
                    <w:rPr>
                      <w:rFonts w:hint="eastAsia"/>
                      <w:sz w:val="18"/>
                      <w:szCs w:val="18"/>
                    </w:rPr>
                    <w:t>评价标准</w:t>
                  </w:r>
                </w:p>
              </w:tc>
              <w:tc>
                <w:tcPr>
                  <w:tcW w:w="6622" w:type="dxa"/>
                  <w:gridSpan w:val="10"/>
                  <w:vAlign w:val="center"/>
                </w:tcPr>
                <w:p>
                  <w:pPr>
                    <w:spacing w:line="0" w:lineRule="atLeast"/>
                    <w:ind w:firstLine="0" w:firstLineChars="0"/>
                    <w:jc w:val="center"/>
                    <w:rPr>
                      <w:sz w:val="18"/>
                      <w:szCs w:val="18"/>
                    </w:rPr>
                  </w:pPr>
                  <w:r>
                    <w:rPr>
                      <w:rFonts w:hint="eastAsia"/>
                      <w:sz w:val="18"/>
                      <w:szCs w:val="18"/>
                    </w:rPr>
                    <w:t xml:space="preserve">河流、湖库、河口：Ⅰ类 □；Ⅱ类 </w:t>
                  </w:r>
                  <w:r>
                    <w:rPr>
                      <w:sz w:val="18"/>
                      <w:szCs w:val="18"/>
                    </w:rPr>
                    <w:sym w:font="Wingdings 2" w:char="00A3"/>
                  </w:r>
                  <w:r>
                    <w:rPr>
                      <w:rFonts w:hint="eastAsia"/>
                      <w:sz w:val="18"/>
                      <w:szCs w:val="18"/>
                    </w:rPr>
                    <w:t xml:space="preserve">；Ⅲ类 □；Ⅳ类 □；Ⅴ类 □ </w:t>
                  </w:r>
                </w:p>
                <w:p>
                  <w:pPr>
                    <w:spacing w:line="0" w:lineRule="atLeast"/>
                    <w:ind w:firstLine="0" w:firstLineChars="0"/>
                    <w:jc w:val="center"/>
                    <w:rPr>
                      <w:sz w:val="18"/>
                      <w:szCs w:val="18"/>
                    </w:rPr>
                  </w:pPr>
                  <w:r>
                    <w:rPr>
                      <w:rFonts w:hint="eastAsia"/>
                      <w:sz w:val="18"/>
                      <w:szCs w:val="18"/>
                    </w:rPr>
                    <w:t xml:space="preserve">近岸海域：第一类 □；第二类 □；第三类 □；第四类 □ </w:t>
                  </w:r>
                </w:p>
                <w:p>
                  <w:pPr>
                    <w:spacing w:line="0" w:lineRule="atLeast"/>
                    <w:ind w:firstLine="0" w:firstLineChars="0"/>
                    <w:jc w:val="center"/>
                    <w:rPr>
                      <w:sz w:val="18"/>
                      <w:szCs w:val="18"/>
                    </w:rPr>
                  </w:pPr>
                  <w:r>
                    <w:rPr>
                      <w:rFonts w:hint="eastAsia"/>
                      <w:sz w:val="18"/>
                      <w:szCs w:val="18"/>
                    </w:rPr>
                    <w:t xml:space="preserve">规划年评价标准（ ）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Align w:val="center"/>
                </w:tcPr>
                <w:p>
                  <w:pPr>
                    <w:spacing w:line="0" w:lineRule="atLeast"/>
                    <w:ind w:firstLine="0" w:firstLineChars="0"/>
                    <w:jc w:val="center"/>
                    <w:rPr>
                      <w:sz w:val="18"/>
                      <w:szCs w:val="18"/>
                    </w:rPr>
                  </w:pPr>
                  <w:r>
                    <w:rPr>
                      <w:rFonts w:hint="eastAsia"/>
                      <w:sz w:val="18"/>
                      <w:szCs w:val="18"/>
                    </w:rPr>
                    <w:t>评价时期</w:t>
                  </w:r>
                </w:p>
              </w:tc>
              <w:tc>
                <w:tcPr>
                  <w:tcW w:w="6622" w:type="dxa"/>
                  <w:gridSpan w:val="10"/>
                  <w:vAlign w:val="center"/>
                </w:tcPr>
                <w:p>
                  <w:pPr>
                    <w:spacing w:line="0" w:lineRule="atLeast"/>
                    <w:ind w:firstLine="0" w:firstLineChars="0"/>
                    <w:jc w:val="center"/>
                    <w:rPr>
                      <w:sz w:val="18"/>
                      <w:szCs w:val="18"/>
                    </w:rPr>
                  </w:pPr>
                  <w:r>
                    <w:rPr>
                      <w:rFonts w:hint="eastAsia"/>
                      <w:sz w:val="18"/>
                      <w:szCs w:val="18"/>
                    </w:rPr>
                    <w:t xml:space="preserve">丰水期 □；平水期 □；枯水期 □；冰封期 □ </w:t>
                  </w:r>
                </w:p>
                <w:p>
                  <w:pPr>
                    <w:spacing w:line="0" w:lineRule="atLeast"/>
                    <w:ind w:firstLine="0" w:firstLineChars="0"/>
                    <w:jc w:val="center"/>
                    <w:rPr>
                      <w:sz w:val="18"/>
                      <w:szCs w:val="18"/>
                    </w:rPr>
                  </w:pPr>
                  <w:r>
                    <w:rPr>
                      <w:rFonts w:hint="eastAsia"/>
                      <w:sz w:val="18"/>
                      <w:szCs w:val="18"/>
                    </w:rPr>
                    <w:t xml:space="preserve">春季 </w:t>
                  </w:r>
                  <w:r>
                    <w:rPr>
                      <w:sz w:val="18"/>
                      <w:szCs w:val="18"/>
                    </w:rPr>
                    <w:sym w:font="Wingdings 2" w:char="00A3"/>
                  </w:r>
                  <w:r>
                    <w:rPr>
                      <w:rFonts w:hint="eastAsia"/>
                      <w:sz w:val="18"/>
                      <w:szCs w:val="18"/>
                    </w:rPr>
                    <w:t xml:space="preserve">；夏季 □；秋季 □；冬季 □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Align w:val="center"/>
                </w:tcPr>
                <w:p>
                  <w:pPr>
                    <w:spacing w:line="0" w:lineRule="atLeast"/>
                    <w:ind w:firstLine="0" w:firstLineChars="0"/>
                    <w:jc w:val="center"/>
                    <w:rPr>
                      <w:sz w:val="18"/>
                      <w:szCs w:val="18"/>
                    </w:rPr>
                  </w:pPr>
                  <w:r>
                    <w:rPr>
                      <w:rFonts w:hint="eastAsia"/>
                      <w:sz w:val="18"/>
                      <w:szCs w:val="18"/>
                    </w:rPr>
                    <w:t>评价结论</w:t>
                  </w:r>
                </w:p>
              </w:tc>
              <w:tc>
                <w:tcPr>
                  <w:tcW w:w="5300" w:type="dxa"/>
                  <w:gridSpan w:val="9"/>
                  <w:vAlign w:val="center"/>
                </w:tcPr>
                <w:p>
                  <w:pPr>
                    <w:spacing w:line="0" w:lineRule="atLeast"/>
                    <w:ind w:firstLine="0" w:firstLineChars="0"/>
                    <w:jc w:val="center"/>
                    <w:rPr>
                      <w:sz w:val="18"/>
                      <w:szCs w:val="18"/>
                    </w:rPr>
                  </w:pPr>
                  <w:r>
                    <w:rPr>
                      <w:rFonts w:hint="eastAsia"/>
                      <w:sz w:val="18"/>
                      <w:szCs w:val="18"/>
                    </w:rPr>
                    <w:t xml:space="preserve">水环境功能区或水功能区、近岸海域环境功能区水质达标状况 □：达标 □；不达标 </w:t>
                  </w:r>
                  <w:r>
                    <w:rPr>
                      <w:sz w:val="18"/>
                      <w:szCs w:val="18"/>
                    </w:rPr>
                    <w:sym w:font="Wingdings 2" w:char="00A3"/>
                  </w:r>
                  <w:r>
                    <w:rPr>
                      <w:rFonts w:hint="eastAsia"/>
                      <w:sz w:val="18"/>
                      <w:szCs w:val="18"/>
                    </w:rPr>
                    <w:t xml:space="preserve"> </w:t>
                  </w:r>
                </w:p>
                <w:p>
                  <w:pPr>
                    <w:spacing w:line="0" w:lineRule="atLeast"/>
                    <w:ind w:firstLine="0" w:firstLineChars="0"/>
                    <w:jc w:val="center"/>
                    <w:rPr>
                      <w:sz w:val="18"/>
                      <w:szCs w:val="18"/>
                    </w:rPr>
                  </w:pPr>
                  <w:r>
                    <w:rPr>
                      <w:rFonts w:hint="eastAsia"/>
                      <w:sz w:val="18"/>
                      <w:szCs w:val="18"/>
                    </w:rPr>
                    <w:t xml:space="preserve">水环境控制单元或断面水质达标状况 □：达标 □；不达标 </w:t>
                  </w:r>
                  <w:r>
                    <w:rPr>
                      <w:sz w:val="18"/>
                      <w:szCs w:val="18"/>
                    </w:rPr>
                    <w:sym w:font="Wingdings 2" w:char="00A3"/>
                  </w:r>
                </w:p>
                <w:p>
                  <w:pPr>
                    <w:spacing w:line="0" w:lineRule="atLeast"/>
                    <w:ind w:firstLine="0" w:firstLineChars="0"/>
                    <w:jc w:val="center"/>
                    <w:rPr>
                      <w:sz w:val="18"/>
                      <w:szCs w:val="18"/>
                    </w:rPr>
                  </w:pPr>
                  <w:r>
                    <w:rPr>
                      <w:rFonts w:hint="eastAsia"/>
                      <w:sz w:val="18"/>
                      <w:szCs w:val="18"/>
                    </w:rPr>
                    <w:t xml:space="preserve">水环境保护目标质量状况 □：达标 □；不达标 □ </w:t>
                  </w:r>
                </w:p>
                <w:p>
                  <w:pPr>
                    <w:spacing w:line="0" w:lineRule="atLeast"/>
                    <w:ind w:firstLine="0" w:firstLineChars="0"/>
                    <w:jc w:val="center"/>
                    <w:rPr>
                      <w:sz w:val="18"/>
                      <w:szCs w:val="18"/>
                    </w:rPr>
                  </w:pPr>
                  <w:r>
                    <w:rPr>
                      <w:rFonts w:hint="eastAsia"/>
                      <w:sz w:val="18"/>
                      <w:szCs w:val="18"/>
                    </w:rPr>
                    <w:t xml:space="preserve">对照断面、控制断面等代表性断面的水质状况 □：达标 □；不达标 </w:t>
                  </w:r>
                  <w:r>
                    <w:rPr>
                      <w:sz w:val="18"/>
                      <w:szCs w:val="18"/>
                    </w:rPr>
                    <w:sym w:font="Wingdings 2" w:char="00A3"/>
                  </w:r>
                </w:p>
                <w:p>
                  <w:pPr>
                    <w:spacing w:line="0" w:lineRule="atLeast"/>
                    <w:ind w:firstLine="0" w:firstLineChars="0"/>
                    <w:jc w:val="center"/>
                    <w:rPr>
                      <w:sz w:val="18"/>
                      <w:szCs w:val="18"/>
                    </w:rPr>
                  </w:pPr>
                  <w:r>
                    <w:rPr>
                      <w:rFonts w:hint="eastAsia"/>
                      <w:sz w:val="18"/>
                      <w:szCs w:val="18"/>
                    </w:rPr>
                    <w:t xml:space="preserve">底泥污染评价 □ </w:t>
                  </w:r>
                </w:p>
                <w:p>
                  <w:pPr>
                    <w:spacing w:line="0" w:lineRule="atLeast"/>
                    <w:ind w:firstLine="0" w:firstLineChars="0"/>
                    <w:jc w:val="center"/>
                    <w:rPr>
                      <w:sz w:val="18"/>
                      <w:szCs w:val="18"/>
                    </w:rPr>
                  </w:pPr>
                  <w:r>
                    <w:rPr>
                      <w:rFonts w:hint="eastAsia"/>
                      <w:sz w:val="18"/>
                      <w:szCs w:val="18"/>
                    </w:rPr>
                    <w:t xml:space="preserve">水资源与开发利用程度及其水文情势评价 □ </w:t>
                  </w:r>
                </w:p>
                <w:p>
                  <w:pPr>
                    <w:spacing w:line="0" w:lineRule="atLeast"/>
                    <w:ind w:firstLine="0" w:firstLineChars="0"/>
                    <w:jc w:val="center"/>
                    <w:rPr>
                      <w:sz w:val="18"/>
                      <w:szCs w:val="18"/>
                    </w:rPr>
                  </w:pPr>
                  <w:r>
                    <w:rPr>
                      <w:rFonts w:hint="eastAsia"/>
                      <w:sz w:val="18"/>
                      <w:szCs w:val="18"/>
                    </w:rPr>
                    <w:t xml:space="preserve">水环境质量回顾评价 □ </w:t>
                  </w:r>
                </w:p>
                <w:p>
                  <w:pPr>
                    <w:spacing w:line="0" w:lineRule="atLeast"/>
                    <w:ind w:firstLine="0" w:firstLineChars="0"/>
                    <w:jc w:val="center"/>
                    <w:rPr>
                      <w:sz w:val="18"/>
                      <w:szCs w:val="18"/>
                    </w:rPr>
                  </w:pPr>
                  <w:r>
                    <w:rPr>
                      <w:rFonts w:hint="eastAsia"/>
                      <w:sz w:val="18"/>
                      <w:szCs w:val="18"/>
                    </w:rPr>
                    <w:t>流域（区域）水资源（包括水能资源）与开发利用总体状况、生态流量管理要求与现状满足程度、建设项目占用水域空间的水流状况与河湖演变状况 □</w:t>
                  </w:r>
                </w:p>
              </w:tc>
              <w:tc>
                <w:tcPr>
                  <w:tcW w:w="1322" w:type="dxa"/>
                  <w:vAlign w:val="center"/>
                </w:tcPr>
                <w:p>
                  <w:pPr>
                    <w:spacing w:line="0" w:lineRule="atLeast"/>
                    <w:ind w:firstLine="0" w:firstLineChars="0"/>
                    <w:jc w:val="center"/>
                    <w:rPr>
                      <w:sz w:val="18"/>
                      <w:szCs w:val="18"/>
                    </w:rPr>
                  </w:pPr>
                  <w:r>
                    <w:rPr>
                      <w:rFonts w:hint="eastAsia"/>
                      <w:sz w:val="18"/>
                      <w:szCs w:val="18"/>
                    </w:rPr>
                    <w:t xml:space="preserve">达标区 □ </w:t>
                  </w:r>
                </w:p>
                <w:p>
                  <w:pPr>
                    <w:spacing w:line="0" w:lineRule="atLeast"/>
                    <w:ind w:firstLine="0" w:firstLineChars="0"/>
                    <w:jc w:val="center"/>
                    <w:rPr>
                      <w:sz w:val="18"/>
                      <w:szCs w:val="18"/>
                    </w:rPr>
                  </w:pPr>
                  <w:r>
                    <w:rPr>
                      <w:rFonts w:hint="eastAsia"/>
                      <w:sz w:val="18"/>
                      <w:szCs w:val="18"/>
                    </w:rPr>
                    <w:t xml:space="preserve">不达标区 </w:t>
                  </w:r>
                  <w:r>
                    <w:rPr>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restart"/>
                  <w:vAlign w:val="center"/>
                </w:tcPr>
                <w:p>
                  <w:pPr>
                    <w:spacing w:line="0" w:lineRule="atLeast"/>
                    <w:ind w:firstLine="0" w:firstLineChars="0"/>
                    <w:jc w:val="center"/>
                    <w:rPr>
                      <w:sz w:val="18"/>
                      <w:szCs w:val="18"/>
                    </w:rPr>
                  </w:pPr>
                  <w:r>
                    <w:rPr>
                      <w:rFonts w:hint="eastAsia"/>
                      <w:sz w:val="18"/>
                      <w:szCs w:val="18"/>
                    </w:rPr>
                    <w:t>影</w:t>
                  </w:r>
                </w:p>
                <w:p>
                  <w:pPr>
                    <w:spacing w:line="0" w:lineRule="atLeast"/>
                    <w:ind w:firstLine="0" w:firstLineChars="0"/>
                    <w:jc w:val="center"/>
                    <w:rPr>
                      <w:sz w:val="18"/>
                      <w:szCs w:val="18"/>
                    </w:rPr>
                  </w:pPr>
                  <w:r>
                    <w:rPr>
                      <w:rFonts w:hint="eastAsia"/>
                      <w:sz w:val="18"/>
                      <w:szCs w:val="18"/>
                    </w:rPr>
                    <w:t>响</w:t>
                  </w:r>
                </w:p>
                <w:p>
                  <w:pPr>
                    <w:spacing w:line="0" w:lineRule="atLeast"/>
                    <w:ind w:firstLine="0" w:firstLineChars="0"/>
                    <w:jc w:val="center"/>
                    <w:rPr>
                      <w:sz w:val="18"/>
                      <w:szCs w:val="18"/>
                    </w:rPr>
                  </w:pPr>
                  <w:r>
                    <w:rPr>
                      <w:rFonts w:hint="eastAsia"/>
                      <w:sz w:val="18"/>
                      <w:szCs w:val="18"/>
                    </w:rPr>
                    <w:t>预</w:t>
                  </w:r>
                </w:p>
                <w:p>
                  <w:pPr>
                    <w:spacing w:line="0" w:lineRule="atLeast"/>
                    <w:ind w:firstLine="0" w:firstLineChars="0"/>
                    <w:jc w:val="center"/>
                    <w:rPr>
                      <w:sz w:val="18"/>
                      <w:szCs w:val="18"/>
                    </w:rPr>
                  </w:pPr>
                  <w:r>
                    <w:rPr>
                      <w:rFonts w:hint="eastAsia"/>
                      <w:sz w:val="18"/>
                      <w:szCs w:val="18"/>
                    </w:rPr>
                    <w:t>测</w:t>
                  </w:r>
                </w:p>
              </w:tc>
              <w:tc>
                <w:tcPr>
                  <w:tcW w:w="1463" w:type="dxa"/>
                  <w:vAlign w:val="center"/>
                </w:tcPr>
                <w:p>
                  <w:pPr>
                    <w:spacing w:line="0" w:lineRule="atLeast"/>
                    <w:ind w:firstLine="0" w:firstLineChars="0"/>
                    <w:jc w:val="center"/>
                    <w:rPr>
                      <w:sz w:val="18"/>
                      <w:szCs w:val="18"/>
                    </w:rPr>
                  </w:pPr>
                  <w:r>
                    <w:rPr>
                      <w:rFonts w:hint="eastAsia"/>
                      <w:sz w:val="18"/>
                      <w:szCs w:val="18"/>
                    </w:rPr>
                    <w:t>预测范围</w:t>
                  </w:r>
                </w:p>
              </w:tc>
              <w:tc>
                <w:tcPr>
                  <w:tcW w:w="6622" w:type="dxa"/>
                  <w:gridSpan w:val="10"/>
                  <w:vAlign w:val="center"/>
                </w:tcPr>
                <w:p>
                  <w:pPr>
                    <w:spacing w:line="0" w:lineRule="atLeast"/>
                    <w:ind w:firstLine="0" w:firstLineChars="0"/>
                    <w:jc w:val="center"/>
                    <w:rPr>
                      <w:sz w:val="18"/>
                      <w:szCs w:val="18"/>
                    </w:rPr>
                  </w:pPr>
                  <w:r>
                    <w:rPr>
                      <w:rFonts w:hint="eastAsia"/>
                      <w:sz w:val="18"/>
                      <w:szCs w:val="18"/>
                    </w:rPr>
                    <w:t>河流：长度（</w:t>
                  </w:r>
                  <w:r>
                    <w:rPr>
                      <w:sz w:val="18"/>
                      <w:szCs w:val="18"/>
                    </w:rPr>
                    <w:t xml:space="preserve"> </w:t>
                  </w:r>
                  <w:r>
                    <w:rPr>
                      <w:rFonts w:hint="eastAsia"/>
                      <w:sz w:val="18"/>
                      <w:szCs w:val="18"/>
                    </w:rPr>
                    <w:t>）km；湖库、河口及近岸海域：面积（</w:t>
                  </w:r>
                  <w:r>
                    <w:rPr>
                      <w:sz w:val="18"/>
                      <w:szCs w:val="18"/>
                    </w:rPr>
                    <w:t xml:space="preserve"> </w:t>
                  </w:r>
                  <w:r>
                    <w:rPr>
                      <w:rFonts w:hint="eastAsia"/>
                      <w:sz w:val="18"/>
                      <w:szCs w:val="18"/>
                    </w:rPr>
                    <w:t>）km</w:t>
                  </w:r>
                  <w:r>
                    <w:rPr>
                      <w:rFonts w:hint="eastAsia"/>
                      <w:sz w:val="18"/>
                      <w:szCs w:val="18"/>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Align w:val="center"/>
                </w:tcPr>
                <w:p>
                  <w:pPr>
                    <w:spacing w:line="0" w:lineRule="atLeast"/>
                    <w:ind w:firstLine="0" w:firstLineChars="0"/>
                    <w:jc w:val="center"/>
                    <w:rPr>
                      <w:sz w:val="18"/>
                      <w:szCs w:val="18"/>
                    </w:rPr>
                  </w:pPr>
                  <w:r>
                    <w:rPr>
                      <w:rFonts w:hint="eastAsia"/>
                      <w:sz w:val="18"/>
                      <w:szCs w:val="18"/>
                    </w:rPr>
                    <w:t>预测因子</w:t>
                  </w:r>
                </w:p>
              </w:tc>
              <w:tc>
                <w:tcPr>
                  <w:tcW w:w="6622" w:type="dxa"/>
                  <w:gridSpan w:val="10"/>
                  <w:vAlign w:val="center"/>
                </w:tcPr>
                <w:p>
                  <w:pPr>
                    <w:spacing w:line="0" w:lineRule="atLeast"/>
                    <w:ind w:firstLine="0" w:firstLineChars="0"/>
                    <w:jc w:val="center"/>
                    <w:rPr>
                      <w:sz w:val="18"/>
                      <w:szCs w:val="18"/>
                    </w:rPr>
                  </w:pPr>
                  <w:r>
                    <w:rPr>
                      <w:rFonts w:hint="eastAsia"/>
                      <w:sz w:val="18"/>
                      <w:szCs w:val="18"/>
                    </w:rPr>
                    <w:t>（</w:t>
                  </w:r>
                  <w:r>
                    <w:rPr>
                      <w:sz w:val="18"/>
                      <w:szCs w:val="18"/>
                    </w:rPr>
                    <w:t xml:space="preserve"> </w:t>
                  </w:r>
                  <w:r>
                    <w:rPr>
                      <w:rFonts w:hint="eastAsia"/>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Align w:val="center"/>
                </w:tcPr>
                <w:p>
                  <w:pPr>
                    <w:spacing w:line="0" w:lineRule="atLeast"/>
                    <w:ind w:firstLine="0" w:firstLineChars="0"/>
                    <w:jc w:val="center"/>
                    <w:rPr>
                      <w:sz w:val="18"/>
                      <w:szCs w:val="18"/>
                    </w:rPr>
                  </w:pPr>
                  <w:r>
                    <w:rPr>
                      <w:rFonts w:hint="eastAsia"/>
                      <w:sz w:val="18"/>
                      <w:szCs w:val="18"/>
                    </w:rPr>
                    <w:t>预测时期</w:t>
                  </w:r>
                </w:p>
              </w:tc>
              <w:tc>
                <w:tcPr>
                  <w:tcW w:w="6622" w:type="dxa"/>
                  <w:gridSpan w:val="10"/>
                  <w:vAlign w:val="center"/>
                </w:tcPr>
                <w:p>
                  <w:pPr>
                    <w:spacing w:line="0" w:lineRule="atLeast"/>
                    <w:ind w:firstLine="0" w:firstLineChars="0"/>
                    <w:jc w:val="center"/>
                    <w:rPr>
                      <w:sz w:val="18"/>
                      <w:szCs w:val="18"/>
                    </w:rPr>
                  </w:pPr>
                  <w:r>
                    <w:rPr>
                      <w:rFonts w:hint="eastAsia"/>
                      <w:sz w:val="18"/>
                      <w:szCs w:val="18"/>
                    </w:rPr>
                    <w:t>丰水期 □；平水期 □；枯水期 □；冰封期 □</w:t>
                  </w:r>
                </w:p>
                <w:p>
                  <w:pPr>
                    <w:spacing w:line="0" w:lineRule="atLeast"/>
                    <w:ind w:firstLine="0" w:firstLineChars="0"/>
                    <w:jc w:val="center"/>
                    <w:rPr>
                      <w:sz w:val="18"/>
                      <w:szCs w:val="18"/>
                    </w:rPr>
                  </w:pPr>
                  <w:r>
                    <w:rPr>
                      <w:rFonts w:hint="eastAsia"/>
                      <w:sz w:val="18"/>
                      <w:szCs w:val="18"/>
                    </w:rPr>
                    <w:t xml:space="preserve">春季 □；夏季 □；秋季 □；冬季 □ </w:t>
                  </w:r>
                </w:p>
                <w:p>
                  <w:pPr>
                    <w:spacing w:line="0" w:lineRule="atLeast"/>
                    <w:ind w:firstLine="0" w:firstLineChars="0"/>
                    <w:jc w:val="center"/>
                    <w:rPr>
                      <w:sz w:val="18"/>
                      <w:szCs w:val="18"/>
                    </w:rPr>
                  </w:pPr>
                  <w:r>
                    <w:rPr>
                      <w:rFonts w:hint="eastAsia"/>
                      <w:sz w:val="18"/>
                      <w:szCs w:val="18"/>
                    </w:rPr>
                    <w:t>设计水文条件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Align w:val="center"/>
                </w:tcPr>
                <w:p>
                  <w:pPr>
                    <w:spacing w:line="0" w:lineRule="atLeast"/>
                    <w:ind w:firstLine="0" w:firstLineChars="0"/>
                    <w:jc w:val="center"/>
                    <w:rPr>
                      <w:sz w:val="18"/>
                      <w:szCs w:val="18"/>
                    </w:rPr>
                  </w:pPr>
                  <w:r>
                    <w:rPr>
                      <w:rFonts w:hint="eastAsia"/>
                      <w:sz w:val="18"/>
                      <w:szCs w:val="18"/>
                    </w:rPr>
                    <w:t>预测情景</w:t>
                  </w:r>
                </w:p>
              </w:tc>
              <w:tc>
                <w:tcPr>
                  <w:tcW w:w="6622" w:type="dxa"/>
                  <w:gridSpan w:val="10"/>
                  <w:vAlign w:val="center"/>
                </w:tcPr>
                <w:p>
                  <w:pPr>
                    <w:spacing w:line="0" w:lineRule="atLeast"/>
                    <w:ind w:firstLine="0" w:firstLineChars="0"/>
                    <w:jc w:val="center"/>
                    <w:rPr>
                      <w:sz w:val="18"/>
                      <w:szCs w:val="18"/>
                    </w:rPr>
                  </w:pPr>
                  <w:r>
                    <w:rPr>
                      <w:rFonts w:hint="eastAsia"/>
                      <w:sz w:val="18"/>
                      <w:szCs w:val="18"/>
                    </w:rPr>
                    <w:t xml:space="preserve">建设期 □；生产运行期 □；服务期满后 □ </w:t>
                  </w:r>
                </w:p>
                <w:p>
                  <w:pPr>
                    <w:spacing w:line="0" w:lineRule="atLeast"/>
                    <w:ind w:firstLine="0" w:firstLineChars="0"/>
                    <w:jc w:val="center"/>
                    <w:rPr>
                      <w:sz w:val="18"/>
                      <w:szCs w:val="18"/>
                    </w:rPr>
                  </w:pPr>
                  <w:r>
                    <w:rPr>
                      <w:rFonts w:hint="eastAsia"/>
                      <w:sz w:val="18"/>
                      <w:szCs w:val="18"/>
                    </w:rPr>
                    <w:t xml:space="preserve">正常工况 □；非正常工况 □ </w:t>
                  </w:r>
                </w:p>
                <w:p>
                  <w:pPr>
                    <w:spacing w:line="0" w:lineRule="atLeast"/>
                    <w:ind w:firstLine="0" w:firstLineChars="0"/>
                    <w:jc w:val="center"/>
                    <w:rPr>
                      <w:sz w:val="18"/>
                      <w:szCs w:val="18"/>
                    </w:rPr>
                  </w:pPr>
                  <w:r>
                    <w:rPr>
                      <w:rFonts w:hint="eastAsia"/>
                      <w:sz w:val="18"/>
                      <w:szCs w:val="18"/>
                    </w:rPr>
                    <w:t xml:space="preserve">污染控制和减缓措施方案 □ </w:t>
                  </w:r>
                </w:p>
                <w:p>
                  <w:pPr>
                    <w:spacing w:line="0" w:lineRule="atLeast"/>
                    <w:ind w:firstLine="0" w:firstLineChars="0"/>
                    <w:jc w:val="center"/>
                    <w:rPr>
                      <w:sz w:val="18"/>
                      <w:szCs w:val="18"/>
                    </w:rPr>
                  </w:pPr>
                  <w:r>
                    <w:rPr>
                      <w:rFonts w:hint="eastAsia"/>
                      <w:sz w:val="18"/>
                      <w:szCs w:val="18"/>
                    </w:rPr>
                    <w:t>区（流）域环境质量改善目标要求情景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Align w:val="center"/>
                </w:tcPr>
                <w:p>
                  <w:pPr>
                    <w:spacing w:line="0" w:lineRule="atLeast"/>
                    <w:ind w:firstLine="0" w:firstLineChars="0"/>
                    <w:jc w:val="center"/>
                    <w:rPr>
                      <w:sz w:val="18"/>
                      <w:szCs w:val="18"/>
                    </w:rPr>
                  </w:pPr>
                  <w:r>
                    <w:rPr>
                      <w:rFonts w:hint="eastAsia"/>
                      <w:sz w:val="18"/>
                      <w:szCs w:val="18"/>
                    </w:rPr>
                    <w:t>预测方法</w:t>
                  </w:r>
                </w:p>
              </w:tc>
              <w:tc>
                <w:tcPr>
                  <w:tcW w:w="6622" w:type="dxa"/>
                  <w:gridSpan w:val="10"/>
                  <w:vAlign w:val="center"/>
                </w:tcPr>
                <w:p>
                  <w:pPr>
                    <w:spacing w:line="0" w:lineRule="atLeast"/>
                    <w:ind w:firstLine="0" w:firstLineChars="0"/>
                    <w:jc w:val="center"/>
                    <w:rPr>
                      <w:sz w:val="18"/>
                      <w:szCs w:val="18"/>
                    </w:rPr>
                  </w:pPr>
                  <w:r>
                    <w:rPr>
                      <w:rFonts w:hint="eastAsia"/>
                      <w:sz w:val="18"/>
                      <w:szCs w:val="18"/>
                    </w:rPr>
                    <w:t xml:space="preserve">数值解 □：解析解 □；其他 □ </w:t>
                  </w:r>
                </w:p>
                <w:p>
                  <w:pPr>
                    <w:spacing w:line="0" w:lineRule="atLeast"/>
                    <w:ind w:firstLine="0" w:firstLineChars="0"/>
                    <w:jc w:val="center"/>
                    <w:rPr>
                      <w:sz w:val="18"/>
                      <w:szCs w:val="18"/>
                    </w:rPr>
                  </w:pPr>
                  <w:r>
                    <w:rPr>
                      <w:rFonts w:hint="eastAsia"/>
                      <w:sz w:val="18"/>
                      <w:szCs w:val="18"/>
                    </w:rPr>
                    <w:t>导则推荐模式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restart"/>
                  <w:vAlign w:val="center"/>
                </w:tcPr>
                <w:p>
                  <w:pPr>
                    <w:spacing w:line="0" w:lineRule="atLeast"/>
                    <w:ind w:firstLine="0" w:firstLineChars="0"/>
                    <w:jc w:val="center"/>
                    <w:rPr>
                      <w:sz w:val="18"/>
                      <w:szCs w:val="18"/>
                    </w:rPr>
                  </w:pPr>
                  <w:r>
                    <w:rPr>
                      <w:rFonts w:hint="eastAsia"/>
                      <w:sz w:val="18"/>
                      <w:szCs w:val="18"/>
                    </w:rPr>
                    <w:t>影</w:t>
                  </w:r>
                </w:p>
                <w:p>
                  <w:pPr>
                    <w:spacing w:line="0" w:lineRule="atLeast"/>
                    <w:ind w:firstLine="0" w:firstLineChars="0"/>
                    <w:jc w:val="center"/>
                    <w:rPr>
                      <w:sz w:val="18"/>
                      <w:szCs w:val="18"/>
                    </w:rPr>
                  </w:pPr>
                  <w:r>
                    <w:rPr>
                      <w:rFonts w:hint="eastAsia"/>
                      <w:sz w:val="18"/>
                      <w:szCs w:val="18"/>
                    </w:rPr>
                    <w:t>响</w:t>
                  </w:r>
                </w:p>
                <w:p>
                  <w:pPr>
                    <w:spacing w:line="0" w:lineRule="atLeast"/>
                    <w:ind w:firstLine="0" w:firstLineChars="0"/>
                    <w:jc w:val="center"/>
                    <w:rPr>
                      <w:sz w:val="18"/>
                      <w:szCs w:val="18"/>
                    </w:rPr>
                  </w:pPr>
                  <w:r>
                    <w:rPr>
                      <w:rFonts w:hint="eastAsia"/>
                      <w:sz w:val="18"/>
                      <w:szCs w:val="18"/>
                    </w:rPr>
                    <w:t>评</w:t>
                  </w:r>
                </w:p>
                <w:p>
                  <w:pPr>
                    <w:spacing w:line="0" w:lineRule="atLeast"/>
                    <w:ind w:firstLine="0" w:firstLineChars="0"/>
                    <w:jc w:val="center"/>
                    <w:rPr>
                      <w:sz w:val="18"/>
                      <w:szCs w:val="18"/>
                    </w:rPr>
                  </w:pPr>
                  <w:r>
                    <w:rPr>
                      <w:rFonts w:hint="eastAsia"/>
                      <w:sz w:val="18"/>
                      <w:szCs w:val="18"/>
                    </w:rPr>
                    <w:t>价</w:t>
                  </w:r>
                </w:p>
              </w:tc>
              <w:tc>
                <w:tcPr>
                  <w:tcW w:w="1463" w:type="dxa"/>
                  <w:vAlign w:val="center"/>
                </w:tcPr>
                <w:p>
                  <w:pPr>
                    <w:spacing w:line="0" w:lineRule="atLeast"/>
                    <w:ind w:firstLine="0" w:firstLineChars="0"/>
                    <w:jc w:val="center"/>
                    <w:rPr>
                      <w:sz w:val="18"/>
                      <w:szCs w:val="18"/>
                    </w:rPr>
                  </w:pPr>
                  <w:r>
                    <w:rPr>
                      <w:rFonts w:hint="eastAsia"/>
                      <w:sz w:val="18"/>
                      <w:szCs w:val="18"/>
                    </w:rPr>
                    <w:t>水污染控制和水环境影响减缓措施有效性评价</w:t>
                  </w:r>
                </w:p>
              </w:tc>
              <w:tc>
                <w:tcPr>
                  <w:tcW w:w="6622" w:type="dxa"/>
                  <w:gridSpan w:val="10"/>
                  <w:vAlign w:val="center"/>
                </w:tcPr>
                <w:p>
                  <w:pPr>
                    <w:spacing w:line="0" w:lineRule="atLeast"/>
                    <w:ind w:firstLine="0" w:firstLineChars="0"/>
                    <w:jc w:val="center"/>
                    <w:rPr>
                      <w:sz w:val="18"/>
                      <w:szCs w:val="18"/>
                    </w:rPr>
                  </w:pPr>
                  <w:r>
                    <w:rPr>
                      <w:rFonts w:hint="eastAsia"/>
                      <w:sz w:val="18"/>
                      <w:szCs w:val="18"/>
                    </w:rPr>
                    <w:t xml:space="preserve">区（流）域水环境质量改善目标 □；替代削减源 □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Align w:val="center"/>
                </w:tcPr>
                <w:p>
                  <w:pPr>
                    <w:spacing w:line="0" w:lineRule="atLeast"/>
                    <w:ind w:firstLine="0" w:firstLineChars="0"/>
                    <w:jc w:val="center"/>
                    <w:rPr>
                      <w:sz w:val="18"/>
                      <w:szCs w:val="18"/>
                    </w:rPr>
                  </w:pPr>
                  <w:r>
                    <w:rPr>
                      <w:rFonts w:hint="eastAsia"/>
                      <w:sz w:val="18"/>
                      <w:szCs w:val="18"/>
                    </w:rPr>
                    <w:t>水环境影响评价</w:t>
                  </w:r>
                </w:p>
              </w:tc>
              <w:tc>
                <w:tcPr>
                  <w:tcW w:w="6622" w:type="dxa"/>
                  <w:gridSpan w:val="10"/>
                  <w:vAlign w:val="center"/>
                </w:tcPr>
                <w:p>
                  <w:pPr>
                    <w:spacing w:line="0" w:lineRule="atLeast"/>
                    <w:ind w:firstLine="0" w:firstLineChars="0"/>
                    <w:jc w:val="center"/>
                    <w:rPr>
                      <w:sz w:val="18"/>
                      <w:szCs w:val="18"/>
                    </w:rPr>
                  </w:pPr>
                  <w:r>
                    <w:rPr>
                      <w:rFonts w:hint="eastAsia"/>
                      <w:sz w:val="18"/>
                      <w:szCs w:val="18"/>
                    </w:rPr>
                    <w:t xml:space="preserve">排放口混合区外满足水环境管理要求 □ </w:t>
                  </w:r>
                </w:p>
                <w:p>
                  <w:pPr>
                    <w:spacing w:line="0" w:lineRule="atLeast"/>
                    <w:ind w:firstLine="0" w:firstLineChars="0"/>
                    <w:jc w:val="center"/>
                    <w:rPr>
                      <w:sz w:val="18"/>
                      <w:szCs w:val="18"/>
                    </w:rPr>
                  </w:pPr>
                  <w:r>
                    <w:rPr>
                      <w:rFonts w:hint="eastAsia"/>
                      <w:sz w:val="18"/>
                      <w:szCs w:val="18"/>
                    </w:rPr>
                    <w:t xml:space="preserve">水环境功能区或水功能区、近岸海域环境功能区水质达标 □ </w:t>
                  </w:r>
                </w:p>
                <w:p>
                  <w:pPr>
                    <w:spacing w:line="0" w:lineRule="atLeast"/>
                    <w:ind w:firstLine="0" w:firstLineChars="0"/>
                    <w:jc w:val="center"/>
                    <w:rPr>
                      <w:sz w:val="18"/>
                      <w:szCs w:val="18"/>
                    </w:rPr>
                  </w:pPr>
                  <w:r>
                    <w:rPr>
                      <w:rFonts w:hint="eastAsia"/>
                      <w:sz w:val="18"/>
                      <w:szCs w:val="18"/>
                    </w:rPr>
                    <w:t xml:space="preserve">满足水环境保护目标水域水环境质量要求 □ </w:t>
                  </w:r>
                </w:p>
                <w:p>
                  <w:pPr>
                    <w:spacing w:line="0" w:lineRule="atLeast"/>
                    <w:ind w:firstLine="0" w:firstLineChars="0"/>
                    <w:jc w:val="center"/>
                    <w:rPr>
                      <w:sz w:val="18"/>
                      <w:szCs w:val="18"/>
                    </w:rPr>
                  </w:pPr>
                  <w:r>
                    <w:rPr>
                      <w:rFonts w:hint="eastAsia"/>
                      <w:sz w:val="18"/>
                      <w:szCs w:val="18"/>
                    </w:rPr>
                    <w:t xml:space="preserve">水环境控制单元或断面水质达标 □ </w:t>
                  </w:r>
                </w:p>
                <w:p>
                  <w:pPr>
                    <w:spacing w:line="0" w:lineRule="atLeast"/>
                    <w:ind w:firstLine="0" w:firstLineChars="0"/>
                    <w:jc w:val="center"/>
                    <w:rPr>
                      <w:sz w:val="18"/>
                      <w:szCs w:val="18"/>
                    </w:rPr>
                  </w:pPr>
                  <w:r>
                    <w:rPr>
                      <w:rFonts w:hint="eastAsia"/>
                      <w:sz w:val="18"/>
                      <w:szCs w:val="18"/>
                    </w:rPr>
                    <w:t xml:space="preserve">满足重点水污染物排放总量控制指标要求，重点行业建设项目， 主要污染物排放满足等量或减量替代要求 □ </w:t>
                  </w:r>
                </w:p>
                <w:p>
                  <w:pPr>
                    <w:spacing w:line="0" w:lineRule="atLeast"/>
                    <w:ind w:firstLine="0" w:firstLineChars="0"/>
                    <w:jc w:val="center"/>
                    <w:rPr>
                      <w:sz w:val="18"/>
                      <w:szCs w:val="18"/>
                    </w:rPr>
                  </w:pPr>
                  <w:r>
                    <w:rPr>
                      <w:rFonts w:hint="eastAsia"/>
                      <w:sz w:val="18"/>
                      <w:szCs w:val="18"/>
                    </w:rPr>
                    <w:t xml:space="preserve">满足区（流）域水环境质量改善目标要求 □ </w:t>
                  </w:r>
                </w:p>
                <w:p>
                  <w:pPr>
                    <w:spacing w:line="0" w:lineRule="atLeast"/>
                    <w:ind w:firstLine="0" w:firstLineChars="0"/>
                    <w:jc w:val="center"/>
                    <w:rPr>
                      <w:sz w:val="18"/>
                      <w:szCs w:val="18"/>
                    </w:rPr>
                  </w:pPr>
                  <w:r>
                    <w:rPr>
                      <w:rFonts w:hint="eastAsia"/>
                      <w:sz w:val="18"/>
                      <w:szCs w:val="18"/>
                    </w:rPr>
                    <w:t xml:space="preserve">水文要素影响型建设项目同时应包括水文情势变化评价、主要水文特征值影响评价、生态流量符合性评价 □ </w:t>
                  </w:r>
                </w:p>
                <w:p>
                  <w:pPr>
                    <w:spacing w:line="0" w:lineRule="atLeast"/>
                    <w:ind w:firstLine="0" w:firstLineChars="0"/>
                    <w:jc w:val="center"/>
                    <w:rPr>
                      <w:sz w:val="18"/>
                      <w:szCs w:val="18"/>
                    </w:rPr>
                  </w:pPr>
                  <w:r>
                    <w:rPr>
                      <w:rFonts w:hint="eastAsia"/>
                      <w:sz w:val="18"/>
                      <w:szCs w:val="18"/>
                    </w:rPr>
                    <w:t xml:space="preserve">对于新设或调整入河（湖库、近岸海域）排放口的建设项目，应包括排放口设置的环境合理性评价 □ </w:t>
                  </w:r>
                </w:p>
                <w:p>
                  <w:pPr>
                    <w:spacing w:line="0" w:lineRule="atLeast"/>
                    <w:ind w:firstLine="0" w:firstLineChars="0"/>
                    <w:jc w:val="center"/>
                    <w:rPr>
                      <w:sz w:val="18"/>
                      <w:szCs w:val="18"/>
                    </w:rPr>
                  </w:pPr>
                  <w:r>
                    <w:rPr>
                      <w:rFonts w:hint="eastAsia"/>
                      <w:sz w:val="18"/>
                      <w:szCs w:val="18"/>
                    </w:rPr>
                    <w:t>满足生态保护红线、水环境质量底线、资源利用上线和环境准入清单管理要求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Merge w:val="restart"/>
                  <w:vAlign w:val="center"/>
                </w:tcPr>
                <w:p>
                  <w:pPr>
                    <w:spacing w:line="0" w:lineRule="atLeast"/>
                    <w:ind w:firstLine="0" w:firstLineChars="0"/>
                    <w:jc w:val="center"/>
                    <w:rPr>
                      <w:sz w:val="18"/>
                      <w:szCs w:val="18"/>
                    </w:rPr>
                  </w:pPr>
                  <w:r>
                    <w:rPr>
                      <w:rFonts w:hint="eastAsia"/>
                      <w:sz w:val="18"/>
                      <w:szCs w:val="18"/>
                    </w:rPr>
                    <w:t>污染源排放量核算</w:t>
                  </w:r>
                </w:p>
              </w:tc>
              <w:tc>
                <w:tcPr>
                  <w:tcW w:w="2445" w:type="dxa"/>
                  <w:gridSpan w:val="3"/>
                  <w:vAlign w:val="center"/>
                </w:tcPr>
                <w:p>
                  <w:pPr>
                    <w:spacing w:line="0" w:lineRule="atLeast"/>
                    <w:ind w:firstLine="0" w:firstLineChars="0"/>
                    <w:jc w:val="center"/>
                    <w:rPr>
                      <w:sz w:val="18"/>
                      <w:szCs w:val="18"/>
                    </w:rPr>
                  </w:pPr>
                  <w:r>
                    <w:rPr>
                      <w:rFonts w:hint="eastAsia"/>
                      <w:sz w:val="18"/>
                      <w:szCs w:val="18"/>
                    </w:rPr>
                    <w:t>污染物名称</w:t>
                  </w:r>
                </w:p>
              </w:tc>
              <w:tc>
                <w:tcPr>
                  <w:tcW w:w="2691" w:type="dxa"/>
                  <w:gridSpan w:val="5"/>
                  <w:vAlign w:val="center"/>
                </w:tcPr>
                <w:p>
                  <w:pPr>
                    <w:spacing w:line="0" w:lineRule="atLeast"/>
                    <w:ind w:firstLine="0" w:firstLineChars="0"/>
                    <w:jc w:val="center"/>
                    <w:rPr>
                      <w:sz w:val="18"/>
                      <w:szCs w:val="18"/>
                    </w:rPr>
                  </w:pPr>
                  <w:r>
                    <w:rPr>
                      <w:rFonts w:hint="eastAsia"/>
                      <w:sz w:val="18"/>
                      <w:szCs w:val="18"/>
                    </w:rPr>
                    <w:t>排放量/（t/a）</w:t>
                  </w:r>
                </w:p>
              </w:tc>
              <w:tc>
                <w:tcPr>
                  <w:tcW w:w="1486" w:type="dxa"/>
                  <w:gridSpan w:val="2"/>
                  <w:vAlign w:val="center"/>
                </w:tcPr>
                <w:p>
                  <w:pPr>
                    <w:spacing w:line="0" w:lineRule="atLeast"/>
                    <w:ind w:firstLine="0" w:firstLineChars="0"/>
                    <w:jc w:val="center"/>
                    <w:rPr>
                      <w:sz w:val="18"/>
                      <w:szCs w:val="18"/>
                    </w:rPr>
                  </w:pPr>
                  <w:r>
                    <w:rPr>
                      <w:rFonts w:hint="eastAsia"/>
                      <w:sz w:val="18"/>
                      <w:szCs w:val="18"/>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Merge w:val="continue"/>
                  <w:vAlign w:val="center"/>
                </w:tcPr>
                <w:p>
                  <w:pPr>
                    <w:spacing w:line="0" w:lineRule="atLeast"/>
                    <w:ind w:firstLine="0" w:firstLineChars="0"/>
                    <w:jc w:val="center"/>
                    <w:rPr>
                      <w:sz w:val="18"/>
                      <w:szCs w:val="18"/>
                    </w:rPr>
                  </w:pPr>
                </w:p>
              </w:tc>
              <w:tc>
                <w:tcPr>
                  <w:tcW w:w="2445" w:type="dxa"/>
                  <w:gridSpan w:val="3"/>
                  <w:vAlign w:val="center"/>
                </w:tcPr>
                <w:p>
                  <w:pPr>
                    <w:spacing w:line="0" w:lineRule="atLeast"/>
                    <w:ind w:firstLine="0" w:firstLineChars="0"/>
                    <w:jc w:val="center"/>
                    <w:rPr>
                      <w:sz w:val="18"/>
                      <w:szCs w:val="18"/>
                    </w:rPr>
                  </w:pPr>
                  <w:r>
                    <w:rPr>
                      <w:rFonts w:hint="eastAsia"/>
                      <w:sz w:val="18"/>
                      <w:szCs w:val="18"/>
                    </w:rPr>
                    <w:t>（</w:t>
                  </w:r>
                  <w:r>
                    <w:rPr>
                      <w:sz w:val="18"/>
                      <w:szCs w:val="18"/>
                    </w:rPr>
                    <w:t xml:space="preserve"> </w:t>
                  </w:r>
                  <w:r>
                    <w:rPr>
                      <w:rFonts w:hint="eastAsia"/>
                      <w:sz w:val="18"/>
                      <w:szCs w:val="18"/>
                    </w:rPr>
                    <w:t>）</w:t>
                  </w:r>
                </w:p>
              </w:tc>
              <w:tc>
                <w:tcPr>
                  <w:tcW w:w="2691" w:type="dxa"/>
                  <w:gridSpan w:val="5"/>
                  <w:vAlign w:val="center"/>
                </w:tcPr>
                <w:p>
                  <w:pPr>
                    <w:spacing w:line="0" w:lineRule="atLeast"/>
                    <w:ind w:firstLine="0" w:firstLineChars="0"/>
                    <w:jc w:val="center"/>
                    <w:rPr>
                      <w:sz w:val="18"/>
                      <w:szCs w:val="18"/>
                    </w:rPr>
                  </w:pPr>
                  <w:r>
                    <w:rPr>
                      <w:rFonts w:hint="eastAsia"/>
                      <w:sz w:val="18"/>
                      <w:szCs w:val="18"/>
                    </w:rPr>
                    <w:t>（</w:t>
                  </w:r>
                  <w:r>
                    <w:rPr>
                      <w:sz w:val="18"/>
                      <w:szCs w:val="18"/>
                    </w:rPr>
                    <w:t xml:space="preserve"> </w:t>
                  </w:r>
                  <w:r>
                    <w:rPr>
                      <w:rFonts w:hint="eastAsia"/>
                      <w:sz w:val="18"/>
                      <w:szCs w:val="18"/>
                    </w:rPr>
                    <w:t>）</w:t>
                  </w:r>
                </w:p>
              </w:tc>
              <w:tc>
                <w:tcPr>
                  <w:tcW w:w="1486" w:type="dxa"/>
                  <w:gridSpan w:val="2"/>
                  <w:vAlign w:val="center"/>
                </w:tcPr>
                <w:p>
                  <w:pPr>
                    <w:spacing w:line="0" w:lineRule="atLeast"/>
                    <w:ind w:firstLine="0" w:firstLineChars="0"/>
                    <w:jc w:val="center"/>
                    <w:rPr>
                      <w:sz w:val="18"/>
                      <w:szCs w:val="18"/>
                    </w:rPr>
                  </w:pPr>
                  <w:r>
                    <w:rPr>
                      <w:rFonts w:hint="eastAsia"/>
                      <w:sz w:val="18"/>
                      <w:szCs w:val="18"/>
                    </w:rPr>
                    <w:t>（</w:t>
                  </w:r>
                  <w:r>
                    <w:rPr>
                      <w:sz w:val="18"/>
                      <w:szCs w:val="18"/>
                    </w:rPr>
                    <w:t xml:space="preserve"> </w:t>
                  </w:r>
                  <w:r>
                    <w:rPr>
                      <w:rFonts w:hint="eastAsia"/>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Merge w:val="restart"/>
                  <w:vAlign w:val="center"/>
                </w:tcPr>
                <w:p>
                  <w:pPr>
                    <w:spacing w:line="0" w:lineRule="atLeast"/>
                    <w:ind w:firstLine="0" w:firstLineChars="0"/>
                    <w:jc w:val="center"/>
                    <w:rPr>
                      <w:sz w:val="18"/>
                      <w:szCs w:val="18"/>
                    </w:rPr>
                  </w:pPr>
                  <w:r>
                    <w:rPr>
                      <w:rFonts w:hint="eastAsia"/>
                      <w:sz w:val="18"/>
                      <w:szCs w:val="18"/>
                    </w:rPr>
                    <w:t>替代源排放情况</w:t>
                  </w:r>
                </w:p>
              </w:tc>
              <w:tc>
                <w:tcPr>
                  <w:tcW w:w="1510" w:type="dxa"/>
                  <w:vAlign w:val="center"/>
                </w:tcPr>
                <w:p>
                  <w:pPr>
                    <w:spacing w:line="0" w:lineRule="atLeast"/>
                    <w:ind w:firstLine="0" w:firstLineChars="0"/>
                    <w:jc w:val="center"/>
                    <w:rPr>
                      <w:sz w:val="18"/>
                      <w:szCs w:val="18"/>
                    </w:rPr>
                  </w:pPr>
                  <w:r>
                    <w:rPr>
                      <w:rFonts w:hint="eastAsia"/>
                      <w:sz w:val="18"/>
                      <w:szCs w:val="18"/>
                    </w:rPr>
                    <w:t>污染源名称</w:t>
                  </w:r>
                </w:p>
              </w:tc>
              <w:tc>
                <w:tcPr>
                  <w:tcW w:w="1327" w:type="dxa"/>
                  <w:gridSpan w:val="3"/>
                  <w:vAlign w:val="center"/>
                </w:tcPr>
                <w:p>
                  <w:pPr>
                    <w:spacing w:line="0" w:lineRule="atLeast"/>
                    <w:ind w:firstLine="0" w:firstLineChars="0"/>
                    <w:jc w:val="center"/>
                    <w:rPr>
                      <w:spacing w:val="-10"/>
                      <w:sz w:val="18"/>
                      <w:szCs w:val="18"/>
                    </w:rPr>
                  </w:pPr>
                  <w:r>
                    <w:rPr>
                      <w:rFonts w:hint="eastAsia"/>
                      <w:spacing w:val="-10"/>
                      <w:sz w:val="18"/>
                      <w:szCs w:val="18"/>
                    </w:rPr>
                    <w:t>排污许可证编号</w:t>
                  </w:r>
                </w:p>
              </w:tc>
              <w:tc>
                <w:tcPr>
                  <w:tcW w:w="1141" w:type="dxa"/>
                  <w:gridSpan w:val="2"/>
                  <w:vAlign w:val="center"/>
                </w:tcPr>
                <w:p>
                  <w:pPr>
                    <w:spacing w:line="0" w:lineRule="atLeast"/>
                    <w:ind w:firstLine="0" w:firstLineChars="0"/>
                    <w:jc w:val="center"/>
                    <w:rPr>
                      <w:sz w:val="18"/>
                      <w:szCs w:val="18"/>
                    </w:rPr>
                  </w:pPr>
                  <w:r>
                    <w:rPr>
                      <w:rFonts w:hint="eastAsia"/>
                      <w:sz w:val="18"/>
                      <w:szCs w:val="18"/>
                    </w:rPr>
                    <w:t>污染物名称</w:t>
                  </w:r>
                </w:p>
              </w:tc>
              <w:tc>
                <w:tcPr>
                  <w:tcW w:w="1158" w:type="dxa"/>
                  <w:gridSpan w:val="2"/>
                  <w:vAlign w:val="center"/>
                </w:tcPr>
                <w:p>
                  <w:pPr>
                    <w:spacing w:line="0" w:lineRule="atLeast"/>
                    <w:ind w:firstLine="0" w:firstLineChars="0"/>
                    <w:jc w:val="center"/>
                    <w:rPr>
                      <w:sz w:val="18"/>
                      <w:szCs w:val="18"/>
                    </w:rPr>
                  </w:pPr>
                  <w:r>
                    <w:rPr>
                      <w:rFonts w:hint="eastAsia"/>
                      <w:sz w:val="18"/>
                      <w:szCs w:val="18"/>
                    </w:rPr>
                    <w:t>排放量/（t/a）</w:t>
                  </w:r>
                </w:p>
              </w:tc>
              <w:tc>
                <w:tcPr>
                  <w:tcW w:w="1486" w:type="dxa"/>
                  <w:gridSpan w:val="2"/>
                  <w:vAlign w:val="center"/>
                </w:tcPr>
                <w:p>
                  <w:pPr>
                    <w:spacing w:line="0" w:lineRule="atLeast"/>
                    <w:ind w:firstLine="0" w:firstLineChars="0"/>
                    <w:jc w:val="center"/>
                    <w:rPr>
                      <w:sz w:val="18"/>
                      <w:szCs w:val="18"/>
                    </w:rPr>
                  </w:pPr>
                  <w:r>
                    <w:rPr>
                      <w:rFonts w:hint="eastAsia"/>
                      <w:sz w:val="18"/>
                      <w:szCs w:val="18"/>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Merge w:val="continue"/>
                  <w:vAlign w:val="center"/>
                </w:tcPr>
                <w:p>
                  <w:pPr>
                    <w:spacing w:line="0" w:lineRule="atLeast"/>
                    <w:ind w:firstLine="0" w:firstLineChars="0"/>
                    <w:jc w:val="center"/>
                    <w:rPr>
                      <w:sz w:val="18"/>
                      <w:szCs w:val="18"/>
                    </w:rPr>
                  </w:pPr>
                </w:p>
              </w:tc>
              <w:tc>
                <w:tcPr>
                  <w:tcW w:w="1510" w:type="dxa"/>
                </w:tcPr>
                <w:p>
                  <w:pPr>
                    <w:spacing w:line="0" w:lineRule="atLeast"/>
                    <w:ind w:firstLine="0" w:firstLineChars="0"/>
                    <w:jc w:val="center"/>
                  </w:pPr>
                  <w:r>
                    <w:rPr>
                      <w:rFonts w:hint="eastAsia"/>
                      <w:sz w:val="18"/>
                      <w:szCs w:val="18"/>
                    </w:rPr>
                    <w:t>（</w:t>
                  </w:r>
                  <w:r>
                    <w:rPr>
                      <w:sz w:val="18"/>
                      <w:szCs w:val="18"/>
                    </w:rPr>
                    <w:t xml:space="preserve"> </w:t>
                  </w:r>
                  <w:r>
                    <w:rPr>
                      <w:rFonts w:hint="eastAsia"/>
                      <w:sz w:val="18"/>
                      <w:szCs w:val="18"/>
                    </w:rPr>
                    <w:t>）</w:t>
                  </w:r>
                </w:p>
              </w:tc>
              <w:tc>
                <w:tcPr>
                  <w:tcW w:w="1327" w:type="dxa"/>
                  <w:gridSpan w:val="3"/>
                </w:tcPr>
                <w:p>
                  <w:pPr>
                    <w:spacing w:line="0" w:lineRule="atLeast"/>
                    <w:ind w:firstLine="0" w:firstLineChars="0"/>
                    <w:jc w:val="center"/>
                  </w:pPr>
                  <w:r>
                    <w:rPr>
                      <w:rFonts w:hint="eastAsia"/>
                      <w:sz w:val="18"/>
                      <w:szCs w:val="18"/>
                    </w:rPr>
                    <w:t>（</w:t>
                  </w:r>
                  <w:r>
                    <w:rPr>
                      <w:sz w:val="18"/>
                      <w:szCs w:val="18"/>
                    </w:rPr>
                    <w:t xml:space="preserve"> </w:t>
                  </w:r>
                  <w:r>
                    <w:rPr>
                      <w:rFonts w:hint="eastAsia"/>
                      <w:sz w:val="18"/>
                      <w:szCs w:val="18"/>
                    </w:rPr>
                    <w:t>）</w:t>
                  </w:r>
                </w:p>
              </w:tc>
              <w:tc>
                <w:tcPr>
                  <w:tcW w:w="1141" w:type="dxa"/>
                  <w:gridSpan w:val="2"/>
                </w:tcPr>
                <w:p>
                  <w:pPr>
                    <w:spacing w:line="0" w:lineRule="atLeast"/>
                    <w:ind w:firstLine="0" w:firstLineChars="0"/>
                    <w:jc w:val="center"/>
                  </w:pPr>
                  <w:r>
                    <w:rPr>
                      <w:rFonts w:hint="eastAsia"/>
                      <w:sz w:val="18"/>
                      <w:szCs w:val="18"/>
                    </w:rPr>
                    <w:t>（</w:t>
                  </w:r>
                  <w:r>
                    <w:rPr>
                      <w:sz w:val="18"/>
                      <w:szCs w:val="18"/>
                    </w:rPr>
                    <w:t xml:space="preserve"> </w:t>
                  </w:r>
                  <w:r>
                    <w:rPr>
                      <w:rFonts w:hint="eastAsia"/>
                      <w:sz w:val="18"/>
                      <w:szCs w:val="18"/>
                    </w:rPr>
                    <w:t>）</w:t>
                  </w:r>
                </w:p>
              </w:tc>
              <w:tc>
                <w:tcPr>
                  <w:tcW w:w="1158" w:type="dxa"/>
                  <w:gridSpan w:val="2"/>
                </w:tcPr>
                <w:p>
                  <w:pPr>
                    <w:spacing w:line="0" w:lineRule="atLeast"/>
                    <w:ind w:firstLine="0" w:firstLineChars="0"/>
                    <w:jc w:val="center"/>
                  </w:pPr>
                  <w:r>
                    <w:rPr>
                      <w:rFonts w:hint="eastAsia"/>
                      <w:sz w:val="18"/>
                      <w:szCs w:val="18"/>
                    </w:rPr>
                    <w:t>（</w:t>
                  </w:r>
                  <w:r>
                    <w:rPr>
                      <w:sz w:val="18"/>
                      <w:szCs w:val="18"/>
                    </w:rPr>
                    <w:t xml:space="preserve"> </w:t>
                  </w:r>
                  <w:r>
                    <w:rPr>
                      <w:rFonts w:hint="eastAsia"/>
                      <w:sz w:val="18"/>
                      <w:szCs w:val="18"/>
                    </w:rPr>
                    <w:t>）</w:t>
                  </w:r>
                </w:p>
              </w:tc>
              <w:tc>
                <w:tcPr>
                  <w:tcW w:w="1486" w:type="dxa"/>
                  <w:gridSpan w:val="2"/>
                </w:tcPr>
                <w:p>
                  <w:pPr>
                    <w:spacing w:line="0" w:lineRule="atLeast"/>
                    <w:ind w:firstLine="0" w:firstLineChars="0"/>
                    <w:jc w:val="center"/>
                  </w:pPr>
                  <w:r>
                    <w:rPr>
                      <w:rFonts w:hint="eastAsia"/>
                      <w:sz w:val="18"/>
                      <w:szCs w:val="18"/>
                    </w:rPr>
                    <w:t>（</w:t>
                  </w:r>
                  <w:r>
                    <w:rPr>
                      <w:sz w:val="18"/>
                      <w:szCs w:val="18"/>
                    </w:rPr>
                    <w:t xml:space="preserve"> </w:t>
                  </w:r>
                  <w:r>
                    <w:rPr>
                      <w:rFonts w:hint="eastAsia"/>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Align w:val="center"/>
                </w:tcPr>
                <w:p>
                  <w:pPr>
                    <w:spacing w:line="0" w:lineRule="atLeast"/>
                    <w:ind w:firstLine="0" w:firstLineChars="0"/>
                    <w:jc w:val="center"/>
                    <w:rPr>
                      <w:sz w:val="18"/>
                      <w:szCs w:val="18"/>
                    </w:rPr>
                  </w:pPr>
                  <w:r>
                    <w:rPr>
                      <w:rFonts w:hint="eastAsia"/>
                      <w:sz w:val="18"/>
                      <w:szCs w:val="18"/>
                    </w:rPr>
                    <w:t>生态流量确定</w:t>
                  </w:r>
                </w:p>
              </w:tc>
              <w:tc>
                <w:tcPr>
                  <w:tcW w:w="6622" w:type="dxa"/>
                  <w:gridSpan w:val="10"/>
                  <w:vAlign w:val="center"/>
                </w:tcPr>
                <w:p>
                  <w:pPr>
                    <w:spacing w:line="0" w:lineRule="atLeast"/>
                    <w:ind w:firstLine="0" w:firstLineChars="0"/>
                    <w:jc w:val="center"/>
                    <w:rPr>
                      <w:sz w:val="18"/>
                      <w:szCs w:val="18"/>
                    </w:rPr>
                  </w:pPr>
                  <w:r>
                    <w:rPr>
                      <w:rFonts w:hint="eastAsia"/>
                      <w:sz w:val="18"/>
                      <w:szCs w:val="18"/>
                    </w:rPr>
                    <w:t>生态流量：一般水期（ ）m</w:t>
                  </w:r>
                  <w:r>
                    <w:rPr>
                      <w:rFonts w:hint="eastAsia"/>
                      <w:sz w:val="18"/>
                      <w:szCs w:val="18"/>
                      <w:vertAlign w:val="superscript"/>
                    </w:rPr>
                    <w:t>3</w:t>
                  </w:r>
                  <w:r>
                    <w:rPr>
                      <w:rFonts w:hint="eastAsia"/>
                      <w:sz w:val="18"/>
                      <w:szCs w:val="18"/>
                    </w:rPr>
                    <w:t>/s；鱼类繁殖期（ ）m</w:t>
                  </w:r>
                  <w:r>
                    <w:rPr>
                      <w:rFonts w:hint="eastAsia"/>
                      <w:sz w:val="18"/>
                      <w:szCs w:val="18"/>
                      <w:vertAlign w:val="superscript"/>
                    </w:rPr>
                    <w:t>3</w:t>
                  </w:r>
                  <w:r>
                    <w:rPr>
                      <w:rFonts w:hint="eastAsia"/>
                      <w:sz w:val="18"/>
                      <w:szCs w:val="18"/>
                    </w:rPr>
                    <w:t>/s；其他（ ）m</w:t>
                  </w:r>
                  <w:r>
                    <w:rPr>
                      <w:rFonts w:hint="eastAsia"/>
                      <w:sz w:val="18"/>
                      <w:szCs w:val="18"/>
                      <w:vertAlign w:val="superscript"/>
                    </w:rPr>
                    <w:t>3</w:t>
                  </w:r>
                  <w:r>
                    <w:rPr>
                      <w:rFonts w:hint="eastAsia"/>
                      <w:sz w:val="18"/>
                      <w:szCs w:val="18"/>
                    </w:rPr>
                    <w:t xml:space="preserve">/s </w:t>
                  </w:r>
                </w:p>
                <w:p>
                  <w:pPr>
                    <w:spacing w:line="0" w:lineRule="atLeast"/>
                    <w:ind w:firstLine="0" w:firstLineChars="0"/>
                    <w:jc w:val="center"/>
                    <w:rPr>
                      <w:sz w:val="18"/>
                      <w:szCs w:val="18"/>
                    </w:rPr>
                  </w:pPr>
                  <w:r>
                    <w:rPr>
                      <w:rFonts w:hint="eastAsia"/>
                      <w:sz w:val="18"/>
                      <w:szCs w:val="18"/>
                    </w:rPr>
                    <w:t>生态水位：一般水期（ ）m；鱼类繁殖期（ ）m；其他（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restart"/>
                  <w:vAlign w:val="center"/>
                </w:tcPr>
                <w:p>
                  <w:pPr>
                    <w:spacing w:line="0" w:lineRule="atLeast"/>
                    <w:ind w:firstLine="0" w:firstLineChars="0"/>
                    <w:jc w:val="center"/>
                    <w:rPr>
                      <w:sz w:val="18"/>
                      <w:szCs w:val="18"/>
                    </w:rPr>
                  </w:pPr>
                  <w:r>
                    <w:rPr>
                      <w:rFonts w:hint="eastAsia"/>
                      <w:sz w:val="18"/>
                      <w:szCs w:val="18"/>
                    </w:rPr>
                    <w:t>防</w:t>
                  </w:r>
                </w:p>
                <w:p>
                  <w:pPr>
                    <w:spacing w:line="0" w:lineRule="atLeast"/>
                    <w:ind w:firstLine="0" w:firstLineChars="0"/>
                    <w:jc w:val="center"/>
                    <w:rPr>
                      <w:sz w:val="18"/>
                      <w:szCs w:val="18"/>
                    </w:rPr>
                  </w:pPr>
                  <w:r>
                    <w:rPr>
                      <w:rFonts w:hint="eastAsia"/>
                      <w:sz w:val="18"/>
                      <w:szCs w:val="18"/>
                    </w:rPr>
                    <w:t>治</w:t>
                  </w:r>
                </w:p>
                <w:p>
                  <w:pPr>
                    <w:spacing w:line="0" w:lineRule="atLeast"/>
                    <w:ind w:firstLine="0" w:firstLineChars="0"/>
                    <w:jc w:val="center"/>
                    <w:rPr>
                      <w:sz w:val="18"/>
                      <w:szCs w:val="18"/>
                    </w:rPr>
                  </w:pPr>
                  <w:r>
                    <w:rPr>
                      <w:rFonts w:hint="eastAsia"/>
                      <w:sz w:val="18"/>
                      <w:szCs w:val="18"/>
                    </w:rPr>
                    <w:t>措</w:t>
                  </w:r>
                </w:p>
                <w:p>
                  <w:pPr>
                    <w:spacing w:line="0" w:lineRule="atLeast"/>
                    <w:ind w:firstLine="0" w:firstLineChars="0"/>
                    <w:jc w:val="center"/>
                    <w:rPr>
                      <w:sz w:val="18"/>
                      <w:szCs w:val="18"/>
                    </w:rPr>
                  </w:pPr>
                  <w:r>
                    <w:rPr>
                      <w:rFonts w:hint="eastAsia"/>
                      <w:sz w:val="18"/>
                      <w:szCs w:val="18"/>
                    </w:rPr>
                    <w:t>施</w:t>
                  </w:r>
                </w:p>
              </w:tc>
              <w:tc>
                <w:tcPr>
                  <w:tcW w:w="1463" w:type="dxa"/>
                  <w:vAlign w:val="center"/>
                </w:tcPr>
                <w:p>
                  <w:pPr>
                    <w:spacing w:line="0" w:lineRule="atLeast"/>
                    <w:ind w:firstLine="0" w:firstLineChars="0"/>
                    <w:jc w:val="center"/>
                    <w:rPr>
                      <w:sz w:val="18"/>
                      <w:szCs w:val="18"/>
                    </w:rPr>
                  </w:pPr>
                  <w:r>
                    <w:rPr>
                      <w:rFonts w:hint="eastAsia"/>
                      <w:sz w:val="18"/>
                      <w:szCs w:val="18"/>
                    </w:rPr>
                    <w:t>环保措施</w:t>
                  </w:r>
                </w:p>
              </w:tc>
              <w:tc>
                <w:tcPr>
                  <w:tcW w:w="6622" w:type="dxa"/>
                  <w:gridSpan w:val="10"/>
                  <w:vAlign w:val="center"/>
                </w:tcPr>
                <w:p>
                  <w:pPr>
                    <w:spacing w:line="0" w:lineRule="atLeast"/>
                    <w:ind w:firstLine="0" w:firstLineChars="0"/>
                    <w:jc w:val="center"/>
                    <w:rPr>
                      <w:sz w:val="18"/>
                      <w:szCs w:val="18"/>
                    </w:rPr>
                  </w:pPr>
                  <w:r>
                    <w:rPr>
                      <w:rFonts w:hint="eastAsia"/>
                      <w:sz w:val="18"/>
                      <w:szCs w:val="18"/>
                    </w:rPr>
                    <w:t xml:space="preserve">污水处理设施 </w:t>
                  </w:r>
                  <w:r>
                    <w:rPr>
                      <w:rFonts w:hint="eastAsia"/>
                      <w:sz w:val="18"/>
                      <w:szCs w:val="18"/>
                    </w:rPr>
                    <w:sym w:font="Wingdings 2" w:char="0052"/>
                  </w:r>
                  <w:r>
                    <w:rPr>
                      <w:rFonts w:hint="eastAsia"/>
                      <w:sz w:val="18"/>
                      <w:szCs w:val="18"/>
                    </w:rPr>
                    <w:t xml:space="preserve">；水文减缓设施 □；生态流量保障设施 □；区域削减 □；依托其他工程措施 □；其他 □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636" w:type="dxa"/>
                  <w:vMerge w:val="continue"/>
                  <w:vAlign w:val="center"/>
                </w:tcPr>
                <w:p>
                  <w:pPr>
                    <w:spacing w:line="0" w:lineRule="atLeast"/>
                    <w:ind w:firstLine="0" w:firstLineChars="0"/>
                    <w:jc w:val="center"/>
                    <w:rPr>
                      <w:sz w:val="18"/>
                      <w:szCs w:val="18"/>
                    </w:rPr>
                  </w:pPr>
                </w:p>
              </w:tc>
              <w:tc>
                <w:tcPr>
                  <w:tcW w:w="1463" w:type="dxa"/>
                  <w:vMerge w:val="restart"/>
                  <w:vAlign w:val="center"/>
                </w:tcPr>
                <w:p>
                  <w:pPr>
                    <w:spacing w:line="0" w:lineRule="atLeast"/>
                    <w:ind w:firstLine="0" w:firstLineChars="0"/>
                    <w:jc w:val="center"/>
                    <w:rPr>
                      <w:sz w:val="18"/>
                      <w:szCs w:val="18"/>
                    </w:rPr>
                  </w:pPr>
                  <w:r>
                    <w:rPr>
                      <w:rFonts w:hint="eastAsia"/>
                      <w:sz w:val="18"/>
                      <w:szCs w:val="18"/>
                    </w:rPr>
                    <w:t>监测计划</w:t>
                  </w:r>
                </w:p>
              </w:tc>
              <w:tc>
                <w:tcPr>
                  <w:tcW w:w="1510" w:type="dxa"/>
                  <w:vAlign w:val="center"/>
                </w:tcPr>
                <w:p>
                  <w:pPr>
                    <w:spacing w:line="0" w:lineRule="atLeast"/>
                    <w:ind w:firstLine="0" w:firstLineChars="0"/>
                    <w:jc w:val="center"/>
                    <w:rPr>
                      <w:sz w:val="18"/>
                      <w:szCs w:val="18"/>
                    </w:rPr>
                  </w:pPr>
                </w:p>
              </w:tc>
              <w:tc>
                <w:tcPr>
                  <w:tcW w:w="2468" w:type="dxa"/>
                  <w:gridSpan w:val="5"/>
                  <w:vAlign w:val="center"/>
                </w:tcPr>
                <w:p>
                  <w:pPr>
                    <w:spacing w:line="0" w:lineRule="atLeast"/>
                    <w:ind w:firstLine="0" w:firstLineChars="0"/>
                    <w:jc w:val="center"/>
                    <w:rPr>
                      <w:sz w:val="18"/>
                      <w:szCs w:val="18"/>
                    </w:rPr>
                  </w:pPr>
                  <w:r>
                    <w:rPr>
                      <w:rFonts w:hint="eastAsia"/>
                      <w:sz w:val="18"/>
                      <w:szCs w:val="18"/>
                    </w:rPr>
                    <w:t>环境质量</w:t>
                  </w:r>
                </w:p>
              </w:tc>
              <w:tc>
                <w:tcPr>
                  <w:tcW w:w="2644" w:type="dxa"/>
                  <w:gridSpan w:val="4"/>
                  <w:vAlign w:val="center"/>
                </w:tcPr>
                <w:p>
                  <w:pPr>
                    <w:spacing w:line="0" w:lineRule="atLeast"/>
                    <w:ind w:firstLine="0" w:firstLineChars="0"/>
                    <w:jc w:val="center"/>
                    <w:rPr>
                      <w:sz w:val="18"/>
                      <w:szCs w:val="18"/>
                    </w:rPr>
                  </w:pPr>
                  <w:r>
                    <w:rPr>
                      <w:rFonts w:hint="eastAsia"/>
                      <w:sz w:val="18"/>
                      <w:szCs w:val="18"/>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Merge w:val="continue"/>
                  <w:vAlign w:val="center"/>
                </w:tcPr>
                <w:p>
                  <w:pPr>
                    <w:spacing w:line="0" w:lineRule="atLeast"/>
                    <w:ind w:firstLine="0" w:firstLineChars="0"/>
                    <w:jc w:val="center"/>
                    <w:rPr>
                      <w:sz w:val="18"/>
                      <w:szCs w:val="18"/>
                    </w:rPr>
                  </w:pPr>
                </w:p>
              </w:tc>
              <w:tc>
                <w:tcPr>
                  <w:tcW w:w="1510" w:type="dxa"/>
                  <w:vAlign w:val="center"/>
                </w:tcPr>
                <w:p>
                  <w:pPr>
                    <w:spacing w:line="0" w:lineRule="atLeast"/>
                    <w:ind w:firstLine="0" w:firstLineChars="0"/>
                    <w:jc w:val="center"/>
                    <w:rPr>
                      <w:sz w:val="18"/>
                      <w:szCs w:val="18"/>
                    </w:rPr>
                  </w:pPr>
                  <w:r>
                    <w:rPr>
                      <w:rFonts w:hint="eastAsia"/>
                      <w:sz w:val="18"/>
                      <w:szCs w:val="18"/>
                    </w:rPr>
                    <w:t>监测方式</w:t>
                  </w:r>
                </w:p>
              </w:tc>
              <w:tc>
                <w:tcPr>
                  <w:tcW w:w="2726" w:type="dxa"/>
                  <w:gridSpan w:val="6"/>
                  <w:vAlign w:val="center"/>
                </w:tcPr>
                <w:p>
                  <w:pPr>
                    <w:spacing w:line="0" w:lineRule="atLeast"/>
                    <w:ind w:firstLine="0" w:firstLineChars="0"/>
                    <w:jc w:val="center"/>
                    <w:rPr>
                      <w:sz w:val="18"/>
                      <w:szCs w:val="18"/>
                    </w:rPr>
                  </w:pPr>
                  <w:r>
                    <w:rPr>
                      <w:rFonts w:hint="eastAsia"/>
                      <w:sz w:val="18"/>
                      <w:szCs w:val="18"/>
                    </w:rPr>
                    <w:t>手动 □；自动 □；无监测 □</w:t>
                  </w:r>
                </w:p>
              </w:tc>
              <w:tc>
                <w:tcPr>
                  <w:tcW w:w="2386" w:type="dxa"/>
                  <w:gridSpan w:val="3"/>
                  <w:vAlign w:val="center"/>
                </w:tcPr>
                <w:p>
                  <w:pPr>
                    <w:spacing w:line="0" w:lineRule="atLeast"/>
                    <w:ind w:firstLine="0" w:firstLineChars="0"/>
                    <w:jc w:val="center"/>
                    <w:rPr>
                      <w:sz w:val="18"/>
                      <w:szCs w:val="18"/>
                    </w:rPr>
                  </w:pPr>
                  <w:r>
                    <w:rPr>
                      <w:rFonts w:hint="eastAsia"/>
                      <w:sz w:val="18"/>
                      <w:szCs w:val="18"/>
                    </w:rPr>
                    <w:t>手动 □；自动 □；无监测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Merge w:val="continue"/>
                  <w:vAlign w:val="center"/>
                </w:tcPr>
                <w:p>
                  <w:pPr>
                    <w:spacing w:line="0" w:lineRule="atLeast"/>
                    <w:ind w:firstLine="0" w:firstLineChars="0"/>
                    <w:jc w:val="center"/>
                    <w:rPr>
                      <w:sz w:val="18"/>
                      <w:szCs w:val="18"/>
                    </w:rPr>
                  </w:pPr>
                </w:p>
              </w:tc>
              <w:tc>
                <w:tcPr>
                  <w:tcW w:w="1510" w:type="dxa"/>
                  <w:vAlign w:val="center"/>
                </w:tcPr>
                <w:p>
                  <w:pPr>
                    <w:spacing w:line="0" w:lineRule="atLeast"/>
                    <w:ind w:firstLine="0" w:firstLineChars="0"/>
                    <w:jc w:val="center"/>
                    <w:rPr>
                      <w:sz w:val="18"/>
                      <w:szCs w:val="18"/>
                    </w:rPr>
                  </w:pPr>
                  <w:r>
                    <w:rPr>
                      <w:rFonts w:hint="eastAsia"/>
                      <w:sz w:val="18"/>
                      <w:szCs w:val="18"/>
                    </w:rPr>
                    <w:t>监测点位</w:t>
                  </w:r>
                </w:p>
              </w:tc>
              <w:tc>
                <w:tcPr>
                  <w:tcW w:w="2726" w:type="dxa"/>
                  <w:gridSpan w:val="6"/>
                  <w:vAlign w:val="center"/>
                </w:tcPr>
                <w:p>
                  <w:pPr>
                    <w:spacing w:line="0" w:lineRule="atLeast"/>
                    <w:ind w:firstLine="0" w:firstLineChars="0"/>
                    <w:jc w:val="center"/>
                    <w:rPr>
                      <w:sz w:val="18"/>
                      <w:szCs w:val="18"/>
                    </w:rPr>
                  </w:pPr>
                  <w:r>
                    <w:rPr>
                      <w:rFonts w:hint="eastAsia"/>
                      <w:sz w:val="18"/>
                      <w:szCs w:val="18"/>
                    </w:rPr>
                    <w:t>（</w:t>
                  </w:r>
                  <w:r>
                    <w:rPr>
                      <w:sz w:val="18"/>
                      <w:szCs w:val="18"/>
                    </w:rPr>
                    <w:t xml:space="preserve"> </w:t>
                  </w:r>
                  <w:r>
                    <w:rPr>
                      <w:rFonts w:hint="eastAsia"/>
                      <w:sz w:val="18"/>
                      <w:szCs w:val="18"/>
                    </w:rPr>
                    <w:t>）</w:t>
                  </w:r>
                </w:p>
              </w:tc>
              <w:tc>
                <w:tcPr>
                  <w:tcW w:w="2386" w:type="dxa"/>
                  <w:gridSpan w:val="3"/>
                  <w:vAlign w:val="center"/>
                </w:tcPr>
                <w:p>
                  <w:pPr>
                    <w:spacing w:line="0" w:lineRule="atLeast"/>
                    <w:ind w:firstLine="0" w:firstLineChars="0"/>
                    <w:jc w:val="center"/>
                    <w:rPr>
                      <w:sz w:val="18"/>
                      <w:szCs w:val="18"/>
                    </w:rPr>
                  </w:pPr>
                  <w:r>
                    <w:rPr>
                      <w:rFonts w:hint="eastAsia"/>
                      <w:sz w:val="18"/>
                      <w:szCs w:val="18"/>
                    </w:rPr>
                    <w:t>（</w:t>
                  </w:r>
                  <w:r>
                    <w:rPr>
                      <w:sz w:val="18"/>
                      <w:szCs w:val="18"/>
                    </w:rPr>
                    <w:t xml:space="preserve"> </w:t>
                  </w:r>
                  <w:r>
                    <w:rPr>
                      <w:rFonts w:hint="eastAsia"/>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Merge w:val="continue"/>
                  <w:vAlign w:val="center"/>
                </w:tcPr>
                <w:p>
                  <w:pPr>
                    <w:spacing w:line="0" w:lineRule="atLeast"/>
                    <w:ind w:firstLine="0" w:firstLineChars="0"/>
                    <w:jc w:val="center"/>
                    <w:rPr>
                      <w:sz w:val="18"/>
                      <w:szCs w:val="18"/>
                    </w:rPr>
                  </w:pPr>
                </w:p>
              </w:tc>
              <w:tc>
                <w:tcPr>
                  <w:tcW w:w="1510" w:type="dxa"/>
                  <w:vAlign w:val="center"/>
                </w:tcPr>
                <w:p>
                  <w:pPr>
                    <w:spacing w:line="0" w:lineRule="atLeast"/>
                    <w:ind w:firstLine="0" w:firstLineChars="0"/>
                    <w:jc w:val="center"/>
                    <w:rPr>
                      <w:sz w:val="18"/>
                      <w:szCs w:val="18"/>
                    </w:rPr>
                  </w:pPr>
                  <w:r>
                    <w:rPr>
                      <w:rFonts w:hint="eastAsia"/>
                      <w:sz w:val="18"/>
                      <w:szCs w:val="18"/>
                    </w:rPr>
                    <w:t>监测因子</w:t>
                  </w:r>
                </w:p>
              </w:tc>
              <w:tc>
                <w:tcPr>
                  <w:tcW w:w="2726" w:type="dxa"/>
                  <w:gridSpan w:val="6"/>
                  <w:vAlign w:val="center"/>
                </w:tcPr>
                <w:p>
                  <w:pPr>
                    <w:spacing w:line="0" w:lineRule="atLeast"/>
                    <w:ind w:firstLine="0" w:firstLineChars="0"/>
                    <w:jc w:val="center"/>
                    <w:rPr>
                      <w:sz w:val="18"/>
                      <w:szCs w:val="18"/>
                    </w:rPr>
                  </w:pPr>
                  <w:r>
                    <w:rPr>
                      <w:rFonts w:hint="eastAsia"/>
                      <w:sz w:val="18"/>
                      <w:szCs w:val="18"/>
                    </w:rPr>
                    <w:t>（</w:t>
                  </w:r>
                  <w:r>
                    <w:rPr>
                      <w:sz w:val="18"/>
                      <w:szCs w:val="18"/>
                    </w:rPr>
                    <w:t xml:space="preserve"> </w:t>
                  </w:r>
                  <w:r>
                    <w:rPr>
                      <w:rFonts w:hint="eastAsia"/>
                      <w:sz w:val="18"/>
                      <w:szCs w:val="18"/>
                    </w:rPr>
                    <w:t>）</w:t>
                  </w:r>
                </w:p>
              </w:tc>
              <w:tc>
                <w:tcPr>
                  <w:tcW w:w="2386" w:type="dxa"/>
                  <w:gridSpan w:val="3"/>
                  <w:vAlign w:val="center"/>
                </w:tcPr>
                <w:p>
                  <w:pPr>
                    <w:spacing w:line="0" w:lineRule="atLeast"/>
                    <w:ind w:firstLine="0" w:firstLineChars="0"/>
                    <w:jc w:val="center"/>
                    <w:rPr>
                      <w:sz w:val="18"/>
                      <w:szCs w:val="18"/>
                    </w:rPr>
                  </w:pPr>
                  <w:r>
                    <w:rPr>
                      <w:rFonts w:hint="eastAsia"/>
                      <w:sz w:val="18"/>
                      <w:szCs w:val="18"/>
                    </w:rPr>
                    <w:t>（</w:t>
                  </w:r>
                  <w:r>
                    <w:rPr>
                      <w:sz w:val="18"/>
                      <w:szCs w:val="18"/>
                    </w:rPr>
                    <w:t xml:space="preserve"> </w:t>
                  </w:r>
                  <w:r>
                    <w:rPr>
                      <w:rFonts w:hint="eastAsia"/>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vMerge w:val="continue"/>
                  <w:vAlign w:val="center"/>
                </w:tcPr>
                <w:p>
                  <w:pPr>
                    <w:spacing w:line="0" w:lineRule="atLeast"/>
                    <w:ind w:firstLine="0" w:firstLineChars="0"/>
                    <w:jc w:val="center"/>
                    <w:rPr>
                      <w:sz w:val="18"/>
                      <w:szCs w:val="18"/>
                    </w:rPr>
                  </w:pPr>
                </w:p>
              </w:tc>
              <w:tc>
                <w:tcPr>
                  <w:tcW w:w="1463" w:type="dxa"/>
                  <w:vAlign w:val="center"/>
                </w:tcPr>
                <w:p>
                  <w:pPr>
                    <w:spacing w:line="0" w:lineRule="atLeast"/>
                    <w:ind w:firstLine="0" w:firstLineChars="0"/>
                    <w:jc w:val="center"/>
                    <w:rPr>
                      <w:sz w:val="18"/>
                      <w:szCs w:val="18"/>
                    </w:rPr>
                  </w:pPr>
                  <w:r>
                    <w:rPr>
                      <w:rFonts w:hint="eastAsia"/>
                      <w:sz w:val="18"/>
                      <w:szCs w:val="18"/>
                    </w:rPr>
                    <w:t>污染物排放清单</w:t>
                  </w:r>
                </w:p>
              </w:tc>
              <w:tc>
                <w:tcPr>
                  <w:tcW w:w="6622" w:type="dxa"/>
                  <w:gridSpan w:val="10"/>
                  <w:vAlign w:val="center"/>
                </w:tcPr>
                <w:p>
                  <w:pPr>
                    <w:spacing w:line="0" w:lineRule="atLeast"/>
                    <w:ind w:firstLine="0" w:firstLineChars="0"/>
                    <w:jc w:val="center"/>
                    <w:rPr>
                      <w:sz w:val="18"/>
                      <w:szCs w:val="18"/>
                    </w:rPr>
                  </w:pPr>
                  <w:r>
                    <w:rPr>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99" w:type="dxa"/>
                  <w:gridSpan w:val="2"/>
                  <w:vAlign w:val="center"/>
                </w:tcPr>
                <w:p>
                  <w:pPr>
                    <w:spacing w:line="0" w:lineRule="atLeast"/>
                    <w:ind w:firstLine="0" w:firstLineChars="0"/>
                    <w:jc w:val="center"/>
                    <w:rPr>
                      <w:sz w:val="18"/>
                      <w:szCs w:val="18"/>
                    </w:rPr>
                  </w:pPr>
                  <w:r>
                    <w:rPr>
                      <w:rFonts w:hint="eastAsia"/>
                      <w:sz w:val="18"/>
                      <w:szCs w:val="18"/>
                    </w:rPr>
                    <w:t>评价结论</w:t>
                  </w:r>
                </w:p>
              </w:tc>
              <w:tc>
                <w:tcPr>
                  <w:tcW w:w="6622" w:type="dxa"/>
                  <w:gridSpan w:val="10"/>
                  <w:vAlign w:val="center"/>
                </w:tcPr>
                <w:p>
                  <w:pPr>
                    <w:spacing w:line="0" w:lineRule="atLeast"/>
                    <w:ind w:firstLine="0" w:firstLineChars="0"/>
                    <w:jc w:val="center"/>
                    <w:rPr>
                      <w:sz w:val="18"/>
                      <w:szCs w:val="18"/>
                    </w:rPr>
                  </w:pPr>
                  <w:r>
                    <w:rPr>
                      <w:rFonts w:hint="eastAsia"/>
                      <w:sz w:val="18"/>
                      <w:szCs w:val="18"/>
                    </w:rPr>
                    <w:t xml:space="preserve">可以接受 </w:t>
                  </w:r>
                  <w:r>
                    <w:rPr>
                      <w:sz w:val="18"/>
                      <w:szCs w:val="18"/>
                    </w:rPr>
                    <w:sym w:font="Wingdings 2" w:char="0052"/>
                  </w:r>
                  <w:r>
                    <w:rPr>
                      <w:rFonts w:hint="eastAsia"/>
                      <w:sz w:val="18"/>
                      <w:szCs w:val="18"/>
                    </w:rPr>
                    <w:t>；不可以接受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1" w:type="dxa"/>
                  <w:gridSpan w:val="12"/>
                  <w:vAlign w:val="center"/>
                </w:tcPr>
                <w:p>
                  <w:pPr>
                    <w:spacing w:line="0" w:lineRule="atLeast"/>
                    <w:ind w:firstLine="0" w:firstLineChars="0"/>
                    <w:jc w:val="center"/>
                    <w:rPr>
                      <w:sz w:val="18"/>
                      <w:szCs w:val="18"/>
                    </w:rPr>
                  </w:pPr>
                  <w:r>
                    <w:rPr>
                      <w:rFonts w:hint="eastAsia"/>
                      <w:sz w:val="18"/>
                      <w:szCs w:val="18"/>
                    </w:rPr>
                    <w:t xml:space="preserve">注：“□”为勾选项，可√；“（ ）”为内容填写项；“备注”为其他补充内容。 </w:t>
                  </w:r>
                </w:p>
              </w:tc>
            </w:tr>
          </w:tbl>
          <w:p>
            <w:pPr>
              <w:pStyle w:val="172"/>
              <w:ind w:firstLine="0"/>
              <w:rPr>
                <w:rFonts w:ascii="Times New Roman" w:hAnsi="Times New Roman" w:eastAsia="宋体"/>
                <w:b/>
              </w:rPr>
            </w:pPr>
            <w:r>
              <w:rPr>
                <w:rFonts w:ascii="Times New Roman" w:hAnsi="宋体" w:eastAsia="宋体"/>
                <w:b/>
              </w:rPr>
              <w:t>三、固体废物影响分析</w:t>
            </w:r>
          </w:p>
          <w:p>
            <w:pPr>
              <w:pStyle w:val="172"/>
              <w:jc w:val="both"/>
              <w:rPr>
                <w:rFonts w:ascii="Times New Roman" w:hAnsi="宋体" w:eastAsia="宋体"/>
              </w:rPr>
            </w:pPr>
            <w:bookmarkStart w:id="18" w:name="_Hlk14970598"/>
            <w:r>
              <w:rPr>
                <w:rFonts w:ascii="Times New Roman" w:hAnsi="宋体" w:eastAsia="宋体"/>
              </w:rPr>
              <w:t>本项目运营期产生的固体废物主要为</w:t>
            </w:r>
            <w:r>
              <w:rPr>
                <w:rFonts w:hint="eastAsia" w:ascii="Times New Roman" w:hAnsi="宋体" w:eastAsia="宋体"/>
              </w:rPr>
              <w:t>除铁器收集的废矿石、除尘器收集的集尘灰、设备维护产生的废矿物油，</w:t>
            </w:r>
            <w:r>
              <w:rPr>
                <w:rFonts w:ascii="Times New Roman" w:hAnsi="宋体" w:eastAsia="宋体"/>
              </w:rPr>
              <w:t>以及职工产生的生活垃圾等。</w:t>
            </w:r>
            <w:bookmarkEnd w:id="18"/>
          </w:p>
          <w:p>
            <w:pPr>
              <w:pStyle w:val="172"/>
              <w:ind w:firstLine="0"/>
              <w:rPr>
                <w:rFonts w:ascii="Times New Roman" w:hAnsi="Times New Roman" w:eastAsia="宋体"/>
                <w:b/>
              </w:rPr>
            </w:pPr>
            <w:r>
              <w:rPr>
                <w:rFonts w:ascii="Times New Roman" w:hAnsi="Times New Roman" w:eastAsia="宋体"/>
                <w:b/>
              </w:rPr>
              <w:t>S</w:t>
            </w:r>
            <w:r>
              <w:rPr>
                <w:rFonts w:ascii="Times New Roman" w:hAnsi="Times New Roman" w:eastAsia="宋体"/>
                <w:b/>
                <w:vertAlign w:val="subscript"/>
              </w:rPr>
              <w:t>1</w:t>
            </w:r>
            <w:r>
              <w:rPr>
                <w:rFonts w:ascii="Times New Roman" w:hAnsi="宋体" w:eastAsia="宋体"/>
                <w:b/>
              </w:rPr>
              <w:t>：</w:t>
            </w:r>
            <w:r>
              <w:rPr>
                <w:rFonts w:hint="eastAsia" w:ascii="Times New Roman" w:hAnsi="宋体" w:eastAsia="宋体"/>
                <w:b/>
              </w:rPr>
              <w:t>除铁器收集的废矿石</w:t>
            </w:r>
          </w:p>
          <w:p>
            <w:pPr>
              <w:pStyle w:val="172"/>
              <w:ind w:firstLine="480" w:firstLineChars="200"/>
              <w:jc w:val="both"/>
              <w:rPr>
                <w:rFonts w:ascii="Times New Roman" w:hAnsi="Times New Roman" w:eastAsia="宋体"/>
                <w:b/>
              </w:rPr>
            </w:pPr>
            <w:r>
              <w:rPr>
                <w:rFonts w:ascii="Times New Roman" w:hAnsi="宋体" w:eastAsia="宋体"/>
              </w:rPr>
              <w:t>本项目</w:t>
            </w:r>
            <w:r>
              <w:rPr>
                <w:rFonts w:hint="eastAsia" w:ascii="Times New Roman" w:hAnsi="宋体" w:eastAsia="宋体"/>
              </w:rPr>
              <w:t>原料破碎过程中进行了除铁，除铁工序产生的废</w:t>
            </w:r>
            <w:r>
              <w:rPr>
                <w:rFonts w:ascii="Times New Roman" w:hAnsi="宋体" w:eastAsia="宋体"/>
              </w:rPr>
              <w:t>矿石产生量按原料的</w:t>
            </w:r>
            <w:r>
              <w:rPr>
                <w:rFonts w:ascii="Times New Roman" w:hAnsi="Times New Roman" w:eastAsia="宋体"/>
              </w:rPr>
              <w:t>0.5%</w:t>
            </w:r>
            <w:r>
              <w:rPr>
                <w:rFonts w:ascii="Times New Roman" w:hAnsi="宋体" w:eastAsia="宋体"/>
              </w:rPr>
              <w:t>计算，则废矿石量约为</w:t>
            </w:r>
            <w:r>
              <w:rPr>
                <w:rFonts w:ascii="Times New Roman" w:hAnsi="Times New Roman" w:eastAsia="宋体"/>
              </w:rPr>
              <w:t>2000t/a</w:t>
            </w:r>
            <w:r>
              <w:rPr>
                <w:rFonts w:ascii="Times New Roman" w:hAnsi="宋体" w:eastAsia="宋体"/>
              </w:rPr>
              <w:t>；该部分废矿石可外售于</w:t>
            </w:r>
            <w:r>
              <w:rPr>
                <w:rFonts w:hint="eastAsia" w:ascii="Times New Roman" w:hAnsi="宋体" w:eastAsia="宋体"/>
              </w:rPr>
              <w:t>铁</w:t>
            </w:r>
            <w:r>
              <w:rPr>
                <w:rFonts w:ascii="Times New Roman" w:hAnsi="宋体" w:eastAsia="宋体"/>
              </w:rPr>
              <w:t>厂综合利用。</w:t>
            </w:r>
          </w:p>
          <w:p>
            <w:pPr>
              <w:pStyle w:val="172"/>
              <w:ind w:firstLine="0"/>
              <w:rPr>
                <w:rFonts w:ascii="Times New Roman" w:hAnsi="Times New Roman" w:eastAsia="宋体"/>
                <w:b/>
              </w:rPr>
            </w:pPr>
            <w:r>
              <w:rPr>
                <w:rFonts w:ascii="Times New Roman" w:hAnsi="Times New Roman" w:eastAsia="宋体"/>
                <w:b/>
              </w:rPr>
              <w:t>S</w:t>
            </w:r>
            <w:r>
              <w:rPr>
                <w:rFonts w:ascii="Times New Roman" w:hAnsi="Times New Roman" w:eastAsia="宋体"/>
                <w:b/>
                <w:vertAlign w:val="subscript"/>
              </w:rPr>
              <w:t>2</w:t>
            </w:r>
            <w:r>
              <w:rPr>
                <w:rFonts w:ascii="Times New Roman" w:hAnsi="宋体" w:eastAsia="宋体"/>
                <w:b/>
              </w:rPr>
              <w:t>：除尘器收集的集尘灰</w:t>
            </w:r>
          </w:p>
          <w:p>
            <w:pPr>
              <w:pStyle w:val="172"/>
              <w:jc w:val="both"/>
              <w:rPr>
                <w:rFonts w:ascii="Times New Roman" w:hAnsi="Times New Roman" w:eastAsia="宋体"/>
              </w:rPr>
            </w:pPr>
            <w:r>
              <w:rPr>
                <w:rFonts w:ascii="Times New Roman" w:hAnsi="宋体" w:eastAsia="宋体"/>
              </w:rPr>
              <w:t>本项目</w:t>
            </w:r>
            <w:r>
              <w:rPr>
                <w:rFonts w:hint="eastAsia" w:ascii="Times New Roman" w:hAnsi="宋体" w:eastAsia="宋体"/>
              </w:rPr>
              <w:t>建筑骨料生产线、微粉生产线</w:t>
            </w:r>
            <w:r>
              <w:rPr>
                <w:rFonts w:ascii="Times New Roman" w:hAnsi="宋体" w:eastAsia="宋体"/>
              </w:rPr>
              <w:t>配套</w:t>
            </w:r>
            <w:r>
              <w:rPr>
                <w:rFonts w:hint="eastAsia" w:ascii="Times New Roman" w:hAnsi="宋体" w:eastAsia="宋体"/>
              </w:rPr>
              <w:t>布袋</w:t>
            </w:r>
            <w:r>
              <w:rPr>
                <w:rFonts w:ascii="Times New Roman" w:hAnsi="宋体" w:eastAsia="宋体"/>
              </w:rPr>
              <w:t>除尘器收集的集尘灰产生量约</w:t>
            </w:r>
            <w:r>
              <w:rPr>
                <w:rFonts w:ascii="Times New Roman" w:hAnsi="Times New Roman" w:eastAsia="宋体"/>
              </w:rPr>
              <w:t>573/a</w:t>
            </w:r>
            <w:r>
              <w:rPr>
                <w:rFonts w:ascii="Times New Roman" w:hAnsi="宋体" w:eastAsia="宋体"/>
              </w:rPr>
              <w:t>，集尘灰经收集后</w:t>
            </w:r>
            <w:r>
              <w:rPr>
                <w:rFonts w:hint="eastAsia" w:ascii="Times New Roman" w:hAnsi="宋体" w:eastAsia="宋体"/>
              </w:rPr>
              <w:t>可作为产品外售</w:t>
            </w:r>
            <w:r>
              <w:rPr>
                <w:rFonts w:ascii="Times New Roman" w:hAnsi="宋体" w:eastAsia="宋体"/>
              </w:rPr>
              <w:t>。</w:t>
            </w:r>
          </w:p>
          <w:p>
            <w:pPr>
              <w:pStyle w:val="172"/>
              <w:ind w:firstLine="0"/>
              <w:rPr>
                <w:rFonts w:ascii="Times New Roman" w:hAnsi="Times New Roman" w:eastAsia="宋体"/>
                <w:b/>
              </w:rPr>
            </w:pPr>
            <w:r>
              <w:rPr>
                <w:rFonts w:ascii="Times New Roman" w:hAnsi="Times New Roman" w:eastAsia="宋体"/>
                <w:b/>
              </w:rPr>
              <w:t>S</w:t>
            </w:r>
            <w:r>
              <w:rPr>
                <w:rFonts w:ascii="Times New Roman" w:hAnsi="Times New Roman" w:eastAsia="宋体"/>
                <w:b/>
                <w:vertAlign w:val="subscript"/>
              </w:rPr>
              <w:t>3</w:t>
            </w:r>
            <w:r>
              <w:rPr>
                <w:rFonts w:ascii="Times New Roman" w:hAnsi="宋体" w:eastAsia="宋体"/>
                <w:b/>
              </w:rPr>
              <w:t>：</w:t>
            </w:r>
            <w:r>
              <w:rPr>
                <w:rFonts w:hint="eastAsia" w:ascii="Times New Roman" w:hAnsi="宋体" w:eastAsia="宋体"/>
                <w:b/>
              </w:rPr>
              <w:t>设备维护产生的废矿物油</w:t>
            </w:r>
          </w:p>
          <w:p>
            <w:pPr>
              <w:pStyle w:val="172"/>
              <w:jc w:val="both"/>
              <w:rPr>
                <w:rFonts w:ascii="Times New Roman" w:hAnsi="宋体" w:eastAsia="宋体"/>
              </w:rPr>
            </w:pPr>
            <w:r>
              <w:rPr>
                <w:rFonts w:hint="eastAsia" w:ascii="Times New Roman" w:hAnsi="Times New Roman" w:eastAsia="宋体"/>
              </w:rPr>
              <w:t>设备维护过程中产生的废机油属于</w:t>
            </w:r>
            <w:r>
              <w:rPr>
                <w:rFonts w:hint="eastAsia" w:ascii="Times New Roman" w:hAnsi="宋体" w:eastAsia="宋体"/>
              </w:rPr>
              <w:t>《国家危险废物名录》（2016）中HW08废矿物油与含矿物油废物，车辆、机械维修和拆解过程中产生的废发动机油、制动器油、自动变速器油、齿轮油等废润滑油（900-214-08）；产生量约为</w:t>
            </w:r>
            <w:r>
              <w:rPr>
                <w:rFonts w:ascii="Times New Roman" w:hAnsi="宋体" w:eastAsia="宋体"/>
              </w:rPr>
              <w:t>0.6</w:t>
            </w:r>
            <w:r>
              <w:rPr>
                <w:rFonts w:hint="eastAsia" w:ascii="Times New Roman" w:hAnsi="宋体" w:eastAsia="宋体"/>
              </w:rPr>
              <w:t>t/a；废矿物油储存于特定容器中，暂存于危废库内，委托有相关处理资质的单位定期外协处置。</w:t>
            </w:r>
          </w:p>
          <w:p>
            <w:pPr>
              <w:pStyle w:val="172"/>
              <w:jc w:val="both"/>
              <w:rPr>
                <w:rFonts w:ascii="Times New Roman" w:hAnsi="宋体" w:eastAsia="宋体"/>
              </w:rPr>
            </w:pPr>
            <w:r>
              <w:rPr>
                <w:rFonts w:hint="eastAsia" w:ascii="Times New Roman" w:hAnsi="宋体" w:eastAsia="宋体"/>
                <w:szCs w:val="20"/>
              </w:rPr>
              <w:t>本项目危险废物产生情况见下表。</w:t>
            </w:r>
          </w:p>
          <w:p>
            <w:pPr>
              <w:ind w:firstLine="0" w:firstLineChars="0"/>
              <w:jc w:val="center"/>
              <w:rPr>
                <w:rFonts w:ascii="黑体" w:hAnsi="黑体" w:eastAsia="黑体"/>
              </w:rPr>
            </w:pPr>
            <w:r>
              <w:rPr>
                <w:rFonts w:hint="eastAsia" w:ascii="黑体" w:hAnsi="黑体" w:eastAsia="黑体"/>
              </w:rPr>
              <w:t>表</w:t>
            </w:r>
            <w:r>
              <w:rPr>
                <w:rFonts w:ascii="黑体" w:hAnsi="黑体" w:eastAsia="黑体"/>
              </w:rPr>
              <w:t>47</w:t>
            </w:r>
            <w:r>
              <w:rPr>
                <w:rFonts w:hint="eastAsia" w:ascii="黑体" w:hAnsi="黑体" w:eastAsia="黑体"/>
              </w:rPr>
              <w:t xml:space="preserve">  危险废物汇总表</w:t>
            </w:r>
          </w:p>
          <w:tbl>
            <w:tblPr>
              <w:tblStyle w:val="7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83"/>
              <w:gridCol w:w="836"/>
              <w:gridCol w:w="835"/>
              <w:gridCol w:w="1390"/>
              <w:gridCol w:w="1007"/>
              <w:gridCol w:w="1081"/>
              <w:gridCol w:w="645"/>
              <w:gridCol w:w="1092"/>
              <w:gridCol w:w="876"/>
              <w:gridCol w:w="80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267" w:type="pct"/>
                  <w:tcBorders>
                    <w:top w:val="single" w:color="auto" w:sz="8" w:space="0"/>
                    <w:left w:val="single" w:color="auto" w:sz="8" w:space="0"/>
                    <w:bottom w:val="single" w:color="auto" w:sz="4" w:space="0"/>
                    <w:right w:val="single" w:color="auto" w:sz="4" w:space="0"/>
                  </w:tcBorders>
                  <w:shd w:val="clear" w:color="auto" w:fill="auto"/>
                  <w:vAlign w:val="center"/>
                </w:tcPr>
                <w:p>
                  <w:pPr>
                    <w:pStyle w:val="207"/>
                    <w:widowControl/>
                    <w:snapToGrid/>
                    <w:spacing w:line="240" w:lineRule="auto"/>
                    <w:ind w:firstLine="0" w:firstLineChars="0"/>
                    <w:rPr>
                      <w:color w:val="auto"/>
                      <w:sz w:val="21"/>
                      <w:szCs w:val="21"/>
                    </w:rPr>
                  </w:pPr>
                  <w:r>
                    <w:rPr>
                      <w:color w:val="auto"/>
                      <w:sz w:val="21"/>
                      <w:szCs w:val="21"/>
                    </w:rPr>
                    <w:t>序号</w:t>
                  </w:r>
                </w:p>
              </w:tc>
              <w:tc>
                <w:tcPr>
                  <w:tcW w:w="462"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07"/>
                    <w:widowControl/>
                    <w:snapToGrid/>
                    <w:spacing w:line="240" w:lineRule="auto"/>
                    <w:ind w:firstLine="0" w:firstLineChars="0"/>
                    <w:rPr>
                      <w:color w:val="auto"/>
                      <w:sz w:val="21"/>
                      <w:szCs w:val="21"/>
                    </w:rPr>
                  </w:pPr>
                  <w:r>
                    <w:rPr>
                      <w:color w:val="auto"/>
                      <w:sz w:val="21"/>
                      <w:szCs w:val="21"/>
                    </w:rPr>
                    <w:t>危险废物名称</w:t>
                  </w:r>
                </w:p>
              </w:tc>
              <w:tc>
                <w:tcPr>
                  <w:tcW w:w="461"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07"/>
                    <w:widowControl/>
                    <w:snapToGrid/>
                    <w:spacing w:line="240" w:lineRule="auto"/>
                    <w:ind w:firstLine="0" w:firstLineChars="0"/>
                    <w:rPr>
                      <w:color w:val="auto"/>
                      <w:sz w:val="21"/>
                      <w:szCs w:val="21"/>
                    </w:rPr>
                  </w:pPr>
                  <w:r>
                    <w:rPr>
                      <w:color w:val="auto"/>
                      <w:sz w:val="21"/>
                      <w:szCs w:val="21"/>
                    </w:rPr>
                    <w:t>危险废物类别</w:t>
                  </w:r>
                </w:p>
              </w:tc>
              <w:tc>
                <w:tcPr>
                  <w:tcW w:w="768"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07"/>
                    <w:widowControl/>
                    <w:snapToGrid/>
                    <w:spacing w:line="240" w:lineRule="auto"/>
                    <w:ind w:firstLine="0" w:firstLineChars="0"/>
                    <w:rPr>
                      <w:color w:val="auto"/>
                      <w:sz w:val="21"/>
                      <w:szCs w:val="21"/>
                    </w:rPr>
                  </w:pPr>
                  <w:r>
                    <w:rPr>
                      <w:color w:val="auto"/>
                      <w:sz w:val="21"/>
                      <w:szCs w:val="21"/>
                    </w:rPr>
                    <w:t>危险废物代码</w:t>
                  </w:r>
                </w:p>
              </w:tc>
              <w:tc>
                <w:tcPr>
                  <w:tcW w:w="556"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07"/>
                    <w:widowControl/>
                    <w:snapToGrid/>
                    <w:spacing w:line="240" w:lineRule="auto"/>
                    <w:ind w:firstLine="0" w:firstLineChars="0"/>
                    <w:rPr>
                      <w:color w:val="auto"/>
                      <w:sz w:val="21"/>
                      <w:szCs w:val="21"/>
                    </w:rPr>
                  </w:pPr>
                  <w:r>
                    <w:rPr>
                      <w:color w:val="auto"/>
                      <w:sz w:val="21"/>
                      <w:szCs w:val="21"/>
                    </w:rPr>
                    <w:t>产生量(吨/年)</w:t>
                  </w:r>
                </w:p>
              </w:tc>
              <w:tc>
                <w:tcPr>
                  <w:tcW w:w="597"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07"/>
                    <w:widowControl/>
                    <w:snapToGrid/>
                    <w:spacing w:line="240" w:lineRule="auto"/>
                    <w:ind w:firstLine="0" w:firstLineChars="0"/>
                    <w:rPr>
                      <w:color w:val="auto"/>
                      <w:sz w:val="21"/>
                      <w:szCs w:val="21"/>
                    </w:rPr>
                  </w:pPr>
                  <w:r>
                    <w:rPr>
                      <w:color w:val="auto"/>
                      <w:sz w:val="21"/>
                      <w:szCs w:val="21"/>
                    </w:rPr>
                    <w:t>产生工序及装置</w:t>
                  </w:r>
                </w:p>
              </w:tc>
              <w:tc>
                <w:tcPr>
                  <w:tcW w:w="356"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07"/>
                    <w:widowControl/>
                    <w:snapToGrid/>
                    <w:spacing w:line="240" w:lineRule="auto"/>
                    <w:ind w:firstLine="0" w:firstLineChars="0"/>
                    <w:rPr>
                      <w:color w:val="auto"/>
                      <w:sz w:val="21"/>
                      <w:szCs w:val="21"/>
                    </w:rPr>
                  </w:pPr>
                  <w:r>
                    <w:rPr>
                      <w:color w:val="auto"/>
                      <w:sz w:val="21"/>
                      <w:szCs w:val="21"/>
                    </w:rPr>
                    <w:t>形态</w:t>
                  </w:r>
                </w:p>
              </w:tc>
              <w:tc>
                <w:tcPr>
                  <w:tcW w:w="603"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07"/>
                    <w:widowControl/>
                    <w:snapToGrid/>
                    <w:spacing w:line="240" w:lineRule="auto"/>
                    <w:ind w:firstLine="0" w:firstLineChars="0"/>
                    <w:rPr>
                      <w:color w:val="auto"/>
                      <w:sz w:val="21"/>
                      <w:szCs w:val="21"/>
                    </w:rPr>
                  </w:pPr>
                  <w:r>
                    <w:rPr>
                      <w:color w:val="auto"/>
                      <w:sz w:val="21"/>
                      <w:szCs w:val="21"/>
                    </w:rPr>
                    <w:t>主要成分</w:t>
                  </w:r>
                </w:p>
                <w:p>
                  <w:pPr>
                    <w:pStyle w:val="207"/>
                    <w:widowControl/>
                    <w:snapToGrid/>
                    <w:spacing w:line="240" w:lineRule="auto"/>
                    <w:ind w:firstLine="0" w:firstLineChars="0"/>
                    <w:rPr>
                      <w:color w:val="auto"/>
                      <w:sz w:val="21"/>
                      <w:szCs w:val="21"/>
                    </w:rPr>
                  </w:pPr>
                  <w:r>
                    <w:rPr>
                      <w:color w:val="auto"/>
                      <w:sz w:val="21"/>
                      <w:szCs w:val="21"/>
                    </w:rPr>
                    <w:t>有害成分</w:t>
                  </w:r>
                </w:p>
              </w:tc>
              <w:tc>
                <w:tcPr>
                  <w:tcW w:w="484"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07"/>
                    <w:widowControl/>
                    <w:snapToGrid/>
                    <w:spacing w:line="240" w:lineRule="auto"/>
                    <w:ind w:firstLine="0" w:firstLineChars="0"/>
                    <w:rPr>
                      <w:color w:val="auto"/>
                      <w:sz w:val="21"/>
                      <w:szCs w:val="21"/>
                    </w:rPr>
                  </w:pPr>
                  <w:r>
                    <w:rPr>
                      <w:color w:val="auto"/>
                      <w:sz w:val="21"/>
                      <w:szCs w:val="21"/>
                    </w:rPr>
                    <w:t>产废周期</w:t>
                  </w:r>
                </w:p>
              </w:tc>
              <w:tc>
                <w:tcPr>
                  <w:tcW w:w="446"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07"/>
                    <w:widowControl/>
                    <w:snapToGrid/>
                    <w:spacing w:line="240" w:lineRule="auto"/>
                    <w:ind w:firstLine="0" w:firstLineChars="0"/>
                    <w:rPr>
                      <w:color w:val="auto"/>
                      <w:sz w:val="21"/>
                      <w:szCs w:val="21"/>
                    </w:rPr>
                  </w:pPr>
                  <w:r>
                    <w:rPr>
                      <w:color w:val="auto"/>
                      <w:sz w:val="21"/>
                      <w:szCs w:val="21"/>
                    </w:rPr>
                    <w:t>危险</w:t>
                  </w:r>
                </w:p>
                <w:p>
                  <w:pPr>
                    <w:pStyle w:val="207"/>
                    <w:widowControl/>
                    <w:snapToGrid/>
                    <w:spacing w:line="240" w:lineRule="auto"/>
                    <w:ind w:firstLine="0" w:firstLineChars="0"/>
                    <w:rPr>
                      <w:color w:val="auto"/>
                      <w:sz w:val="21"/>
                      <w:szCs w:val="21"/>
                    </w:rPr>
                  </w:pPr>
                  <w:r>
                    <w:rPr>
                      <w:color w:val="auto"/>
                      <w:sz w:val="21"/>
                      <w:szCs w:val="21"/>
                    </w:rPr>
                    <w:t>特性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29" w:hRule="atLeast"/>
                <w:jc w:val="center"/>
              </w:trPr>
              <w:tc>
                <w:tcPr>
                  <w:tcW w:w="267" w:type="pct"/>
                  <w:tcBorders>
                    <w:top w:val="single" w:color="auto" w:sz="8" w:space="0"/>
                    <w:left w:val="single" w:color="auto" w:sz="8" w:space="0"/>
                    <w:bottom w:val="single" w:color="auto" w:sz="4" w:space="0"/>
                    <w:right w:val="single" w:color="auto" w:sz="4" w:space="0"/>
                  </w:tcBorders>
                  <w:shd w:val="clear" w:color="auto" w:fill="auto"/>
                  <w:vAlign w:val="center"/>
                </w:tcPr>
                <w:p>
                  <w:pPr>
                    <w:pStyle w:val="207"/>
                    <w:widowControl/>
                    <w:snapToGrid/>
                    <w:spacing w:line="240" w:lineRule="auto"/>
                    <w:ind w:firstLine="0" w:firstLineChars="0"/>
                    <w:rPr>
                      <w:color w:val="auto"/>
                      <w:sz w:val="21"/>
                      <w:szCs w:val="21"/>
                    </w:rPr>
                  </w:pPr>
                  <w:r>
                    <w:rPr>
                      <w:color w:val="auto"/>
                      <w:sz w:val="21"/>
                      <w:szCs w:val="21"/>
                    </w:rPr>
                    <w:t>1</w:t>
                  </w:r>
                </w:p>
              </w:tc>
              <w:tc>
                <w:tcPr>
                  <w:tcW w:w="462"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07"/>
                    <w:widowControl/>
                    <w:snapToGrid/>
                    <w:spacing w:line="240" w:lineRule="auto"/>
                    <w:ind w:firstLine="0" w:firstLineChars="0"/>
                    <w:rPr>
                      <w:color w:val="auto"/>
                      <w:sz w:val="21"/>
                      <w:szCs w:val="21"/>
                    </w:rPr>
                  </w:pPr>
                  <w:r>
                    <w:rPr>
                      <w:color w:val="auto"/>
                      <w:sz w:val="21"/>
                      <w:szCs w:val="21"/>
                    </w:rPr>
                    <w:t>废</w:t>
                  </w:r>
                  <w:r>
                    <w:rPr>
                      <w:rFonts w:hint="eastAsia"/>
                      <w:color w:val="auto"/>
                      <w:sz w:val="21"/>
                      <w:szCs w:val="21"/>
                    </w:rPr>
                    <w:t>矿物油</w:t>
                  </w:r>
                </w:p>
              </w:tc>
              <w:tc>
                <w:tcPr>
                  <w:tcW w:w="461"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07"/>
                    <w:widowControl/>
                    <w:snapToGrid/>
                    <w:spacing w:line="240" w:lineRule="auto"/>
                    <w:ind w:firstLine="0" w:firstLineChars="0"/>
                    <w:rPr>
                      <w:color w:val="auto"/>
                      <w:sz w:val="21"/>
                      <w:szCs w:val="21"/>
                    </w:rPr>
                  </w:pPr>
                  <w:r>
                    <w:rPr>
                      <w:color w:val="auto"/>
                      <w:sz w:val="21"/>
                      <w:szCs w:val="21"/>
                    </w:rPr>
                    <w:t>HW08</w:t>
                  </w:r>
                </w:p>
              </w:tc>
              <w:tc>
                <w:tcPr>
                  <w:tcW w:w="768"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07"/>
                    <w:widowControl/>
                    <w:snapToGrid/>
                    <w:spacing w:line="240" w:lineRule="auto"/>
                    <w:ind w:firstLine="0" w:firstLineChars="0"/>
                    <w:rPr>
                      <w:color w:val="auto"/>
                      <w:sz w:val="21"/>
                      <w:szCs w:val="21"/>
                    </w:rPr>
                  </w:pPr>
                  <w:r>
                    <w:rPr>
                      <w:color w:val="auto"/>
                      <w:sz w:val="21"/>
                      <w:szCs w:val="21"/>
                    </w:rPr>
                    <w:t>900-218-08</w:t>
                  </w:r>
                </w:p>
              </w:tc>
              <w:tc>
                <w:tcPr>
                  <w:tcW w:w="556" w:type="pct"/>
                  <w:tcBorders>
                    <w:top w:val="single" w:color="auto" w:sz="8" w:space="0"/>
                    <w:left w:val="single" w:color="auto" w:sz="4" w:space="0"/>
                    <w:bottom w:val="single" w:color="auto" w:sz="4" w:space="0"/>
                    <w:right w:val="single" w:color="auto" w:sz="4" w:space="0"/>
                  </w:tcBorders>
                  <w:shd w:val="clear" w:color="auto" w:fill="auto"/>
                  <w:vAlign w:val="center"/>
                </w:tcPr>
                <w:p>
                  <w:pPr>
                    <w:pStyle w:val="65"/>
                    <w:autoSpaceDE w:val="0"/>
                    <w:autoSpaceDN w:val="0"/>
                    <w:adjustRightInd w:val="0"/>
                    <w:spacing w:before="0" w:beforeAutospacing="0" w:after="0" w:afterAutospacing="0" w:line="240" w:lineRule="auto"/>
                    <w:ind w:firstLine="0" w:firstLineChars="0"/>
                    <w:jc w:val="center"/>
                    <w:rPr>
                      <w:rFonts w:ascii="Times New Roman" w:hAnsi="Times New Roman" w:cs="Times New Roman"/>
                      <w:kern w:val="32"/>
                      <w:sz w:val="21"/>
                      <w:szCs w:val="21"/>
                    </w:rPr>
                  </w:pPr>
                  <w:r>
                    <w:rPr>
                      <w:rFonts w:ascii="Times New Roman" w:hAnsi="Times New Roman" w:cs="Times New Roman"/>
                      <w:kern w:val="32"/>
                      <w:sz w:val="21"/>
                      <w:szCs w:val="21"/>
                    </w:rPr>
                    <w:t>0.6</w:t>
                  </w:r>
                </w:p>
              </w:tc>
              <w:tc>
                <w:tcPr>
                  <w:tcW w:w="597" w:type="pct"/>
                  <w:tcBorders>
                    <w:top w:val="single" w:color="auto" w:sz="8" w:space="0"/>
                    <w:left w:val="single" w:color="auto" w:sz="4" w:space="0"/>
                    <w:right w:val="single" w:color="auto" w:sz="4" w:space="0"/>
                  </w:tcBorders>
                  <w:shd w:val="clear" w:color="auto" w:fill="auto"/>
                  <w:vAlign w:val="center"/>
                </w:tcPr>
                <w:p>
                  <w:pPr>
                    <w:pStyle w:val="207"/>
                    <w:snapToGrid/>
                    <w:spacing w:line="240" w:lineRule="auto"/>
                    <w:ind w:firstLine="0" w:firstLineChars="0"/>
                    <w:rPr>
                      <w:color w:val="auto"/>
                      <w:sz w:val="21"/>
                      <w:szCs w:val="21"/>
                    </w:rPr>
                  </w:pPr>
                  <w:r>
                    <w:rPr>
                      <w:rFonts w:hint="eastAsia"/>
                      <w:color w:val="auto"/>
                      <w:sz w:val="21"/>
                      <w:szCs w:val="21"/>
                    </w:rPr>
                    <w:t>设备维修</w:t>
                  </w:r>
                </w:p>
              </w:tc>
              <w:tc>
                <w:tcPr>
                  <w:tcW w:w="356"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07"/>
                    <w:widowControl/>
                    <w:snapToGrid/>
                    <w:spacing w:line="240" w:lineRule="auto"/>
                    <w:ind w:firstLine="0" w:firstLineChars="0"/>
                    <w:rPr>
                      <w:color w:val="auto"/>
                      <w:sz w:val="21"/>
                      <w:szCs w:val="21"/>
                    </w:rPr>
                  </w:pPr>
                  <w:r>
                    <w:rPr>
                      <w:rFonts w:hint="eastAsia"/>
                      <w:color w:val="auto"/>
                      <w:sz w:val="21"/>
                      <w:szCs w:val="21"/>
                    </w:rPr>
                    <w:t>液态</w:t>
                  </w:r>
                </w:p>
              </w:tc>
              <w:tc>
                <w:tcPr>
                  <w:tcW w:w="603"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07"/>
                    <w:widowControl/>
                    <w:snapToGrid/>
                    <w:spacing w:line="240" w:lineRule="auto"/>
                    <w:ind w:firstLine="0" w:firstLineChars="0"/>
                    <w:rPr>
                      <w:color w:val="auto"/>
                      <w:sz w:val="21"/>
                      <w:szCs w:val="21"/>
                    </w:rPr>
                  </w:pPr>
                  <w:r>
                    <w:rPr>
                      <w:color w:val="auto"/>
                      <w:sz w:val="21"/>
                      <w:szCs w:val="21"/>
                    </w:rPr>
                    <w:t>有机物</w:t>
                  </w:r>
                </w:p>
              </w:tc>
              <w:tc>
                <w:tcPr>
                  <w:tcW w:w="484"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07"/>
                    <w:widowControl/>
                    <w:snapToGrid/>
                    <w:spacing w:line="240" w:lineRule="auto"/>
                    <w:ind w:firstLine="0" w:firstLineChars="0"/>
                    <w:rPr>
                      <w:color w:val="auto"/>
                      <w:sz w:val="21"/>
                      <w:szCs w:val="21"/>
                    </w:rPr>
                  </w:pPr>
                  <w:r>
                    <w:rPr>
                      <w:color w:val="auto"/>
                      <w:sz w:val="21"/>
                      <w:szCs w:val="21"/>
                    </w:rPr>
                    <w:t>间歇</w:t>
                  </w:r>
                </w:p>
              </w:tc>
              <w:tc>
                <w:tcPr>
                  <w:tcW w:w="446" w:type="pct"/>
                  <w:tcBorders>
                    <w:top w:val="single" w:color="auto" w:sz="8" w:space="0"/>
                    <w:left w:val="single" w:color="auto" w:sz="4" w:space="0"/>
                    <w:bottom w:val="single" w:color="auto" w:sz="4" w:space="0"/>
                    <w:right w:val="single" w:color="auto" w:sz="4" w:space="0"/>
                  </w:tcBorders>
                  <w:shd w:val="clear" w:color="auto" w:fill="auto"/>
                  <w:vAlign w:val="center"/>
                </w:tcPr>
                <w:p>
                  <w:pPr>
                    <w:pStyle w:val="207"/>
                    <w:widowControl/>
                    <w:snapToGrid/>
                    <w:spacing w:line="240" w:lineRule="auto"/>
                    <w:ind w:firstLine="0" w:firstLineChars="0"/>
                    <w:rPr>
                      <w:color w:val="auto"/>
                      <w:sz w:val="21"/>
                      <w:szCs w:val="21"/>
                    </w:rPr>
                  </w:pPr>
                  <w:r>
                    <w:rPr>
                      <w:color w:val="auto"/>
                      <w:sz w:val="21"/>
                      <w:szCs w:val="21"/>
                    </w:rPr>
                    <w:t>有毒</w:t>
                  </w:r>
                </w:p>
              </w:tc>
            </w:tr>
          </w:tbl>
          <w:p>
            <w:pPr>
              <w:ind w:firstLine="496"/>
              <w:rPr>
                <w:szCs w:val="24"/>
              </w:rPr>
            </w:pPr>
            <w:r>
              <w:rPr>
                <w:rFonts w:hint="eastAsia" w:hAnsi="宋体"/>
                <w:spacing w:val="4"/>
                <w:szCs w:val="24"/>
              </w:rPr>
              <w:t>环评要求建设单位</w:t>
            </w:r>
            <w:r>
              <w:rPr>
                <w:szCs w:val="24"/>
              </w:rPr>
              <w:t>按照《危险废物贮存和污染控制标准》建造危险废物贮存设施</w:t>
            </w:r>
            <w:r>
              <w:rPr>
                <w:rFonts w:hint="eastAsia"/>
                <w:szCs w:val="24"/>
              </w:rPr>
              <w:t>，</w:t>
            </w:r>
            <w:r>
              <w:rPr>
                <w:szCs w:val="24"/>
              </w:rPr>
              <w:t>建成具有防水、防渗、防流失的专用危险废物贮存设施贮存危险废物。贮存设施必须防渗，基础必须防渗，防渗层为至少1米厚粘土层（渗透系数≤10</w:t>
            </w:r>
            <w:r>
              <w:rPr>
                <w:szCs w:val="24"/>
                <w:vertAlign w:val="superscript"/>
              </w:rPr>
              <w:t>-7</w:t>
            </w:r>
            <w:r>
              <w:rPr>
                <w:szCs w:val="24"/>
              </w:rPr>
              <w:t>厘米/秒），或2毫米厚高密度聚乙烯，或至少2毫米厚的其它人工材料，渗透系数≤10</w:t>
            </w:r>
            <w:r>
              <w:rPr>
                <w:szCs w:val="24"/>
                <w:vertAlign w:val="superscript"/>
              </w:rPr>
              <w:t>-10</w:t>
            </w:r>
            <w:r>
              <w:rPr>
                <w:szCs w:val="24"/>
              </w:rPr>
              <w:t>厘米/秒。有足够地面承载能力，并能确保雨水不会流至贮存设施内，贮存设施应封闭，以防风、防雨、防日晒；贮存设施内应有安全照明设施及安全防护设施。</w:t>
            </w:r>
          </w:p>
          <w:p>
            <w:pPr>
              <w:pStyle w:val="263"/>
              <w:spacing w:line="480" w:lineRule="exact"/>
              <w:ind w:firstLine="496" w:firstLineChars="200"/>
              <w:rPr>
                <w:spacing w:val="4"/>
                <w:sz w:val="24"/>
              </w:rPr>
            </w:pPr>
            <w:r>
              <w:rPr>
                <w:spacing w:val="4"/>
                <w:sz w:val="24"/>
              </w:rPr>
              <w:t>根据《危险废物贮存污染控制标准》（GB18597-2001）及《危险废物转移联单管理办法》（国家环境保护总局令第5号）的要求，本报告对项目产生的危险废物的贮存、管理提出如下要求：</w:t>
            </w:r>
          </w:p>
          <w:p>
            <w:pPr>
              <w:pStyle w:val="263"/>
              <w:spacing w:line="480" w:lineRule="exact"/>
              <w:ind w:firstLine="496" w:firstLineChars="200"/>
              <w:rPr>
                <w:spacing w:val="4"/>
                <w:sz w:val="24"/>
              </w:rPr>
            </w:pPr>
            <w:r>
              <w:rPr>
                <w:rFonts w:hint="eastAsia"/>
                <w:spacing w:val="4"/>
                <w:sz w:val="24"/>
              </w:rPr>
              <w:t>①暂存要求：</w:t>
            </w:r>
          </w:p>
          <w:p>
            <w:pPr>
              <w:pStyle w:val="263"/>
              <w:spacing w:line="480" w:lineRule="exact"/>
              <w:ind w:firstLine="496" w:firstLineChars="200"/>
              <w:rPr>
                <w:spacing w:val="4"/>
                <w:sz w:val="24"/>
              </w:rPr>
            </w:pPr>
            <w:r>
              <w:rPr>
                <w:rFonts w:hint="eastAsia"/>
                <w:spacing w:val="4"/>
                <w:sz w:val="24"/>
              </w:rPr>
              <w:t>A</w:t>
            </w:r>
            <w:r>
              <w:rPr>
                <w:spacing w:val="4"/>
                <w:sz w:val="24"/>
              </w:rPr>
              <w:t>根据本项目的工序特点，</w:t>
            </w:r>
            <w:r>
              <w:rPr>
                <w:rFonts w:hint="eastAsia"/>
                <w:spacing w:val="4"/>
                <w:sz w:val="24"/>
              </w:rPr>
              <w:t>建设单位拟在生产车间内设一个危废暂存间</w:t>
            </w:r>
            <w:r>
              <w:rPr>
                <w:spacing w:val="4"/>
                <w:sz w:val="24"/>
              </w:rPr>
              <w:t>。</w:t>
            </w:r>
          </w:p>
          <w:p>
            <w:pPr>
              <w:pStyle w:val="263"/>
              <w:spacing w:line="240" w:lineRule="auto"/>
              <w:ind w:firstLine="0"/>
              <w:rPr>
                <w:bCs/>
              </w:rPr>
            </w:pPr>
            <w:r>
              <w:drawing>
                <wp:inline distT="0" distB="0" distL="0" distR="0">
                  <wp:extent cx="5544185" cy="220472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544185" cy="2204720"/>
                          </a:xfrm>
                          <a:prstGeom prst="rect">
                            <a:avLst/>
                          </a:prstGeom>
                          <a:noFill/>
                          <a:ln>
                            <a:noFill/>
                          </a:ln>
                        </pic:spPr>
                      </pic:pic>
                    </a:graphicData>
                  </a:graphic>
                </wp:inline>
              </w:drawing>
            </w:r>
          </w:p>
          <w:p>
            <w:pPr>
              <w:pStyle w:val="263"/>
              <w:spacing w:line="480" w:lineRule="exact"/>
              <w:ind w:firstLine="0"/>
              <w:jc w:val="center"/>
              <w:rPr>
                <w:rFonts w:ascii="黑体" w:hAnsi="黑体" w:eastAsia="黑体"/>
                <w:bCs/>
                <w:spacing w:val="4"/>
                <w:sz w:val="24"/>
              </w:rPr>
            </w:pPr>
            <w:r>
              <w:rPr>
                <w:rFonts w:hint="eastAsia" w:ascii="黑体" w:hAnsi="黑体" w:eastAsia="黑体"/>
                <w:bCs/>
                <w:spacing w:val="4"/>
                <w:sz w:val="24"/>
              </w:rPr>
              <w:t>图</w:t>
            </w:r>
            <w:r>
              <w:rPr>
                <w:rFonts w:ascii="黑体" w:hAnsi="黑体" w:eastAsia="黑体"/>
                <w:bCs/>
                <w:spacing w:val="4"/>
                <w:sz w:val="24"/>
              </w:rPr>
              <w:t>7</w:t>
            </w:r>
            <w:r>
              <w:rPr>
                <w:rFonts w:hint="eastAsia" w:ascii="黑体" w:hAnsi="黑体" w:eastAsia="黑体"/>
                <w:bCs/>
                <w:spacing w:val="4"/>
                <w:sz w:val="24"/>
              </w:rPr>
              <w:t xml:space="preserve"> </w:t>
            </w:r>
            <w:r>
              <w:rPr>
                <w:rFonts w:ascii="黑体" w:hAnsi="黑体" w:eastAsia="黑体"/>
                <w:bCs/>
                <w:spacing w:val="4"/>
                <w:sz w:val="24"/>
              </w:rPr>
              <w:t xml:space="preserve"> </w:t>
            </w:r>
            <w:r>
              <w:rPr>
                <w:rFonts w:hint="eastAsia" w:ascii="黑体" w:hAnsi="黑体" w:eastAsia="黑体"/>
                <w:bCs/>
                <w:spacing w:val="4"/>
                <w:sz w:val="24"/>
              </w:rPr>
              <w:t>危险废物标识</w:t>
            </w:r>
          </w:p>
          <w:p>
            <w:pPr>
              <w:pStyle w:val="263"/>
              <w:spacing w:line="480" w:lineRule="exact"/>
              <w:ind w:firstLine="496" w:firstLineChars="200"/>
              <w:rPr>
                <w:spacing w:val="4"/>
                <w:sz w:val="24"/>
              </w:rPr>
            </w:pPr>
            <w:r>
              <w:rPr>
                <w:rFonts w:hint="eastAsia"/>
                <w:spacing w:val="4"/>
                <w:sz w:val="24"/>
              </w:rPr>
              <w:t>B</w:t>
            </w:r>
            <w:r>
              <w:rPr>
                <w:spacing w:val="4"/>
                <w:sz w:val="24"/>
              </w:rPr>
              <w:t>盛装危险废物的容器上必须粘贴符合《危险废物贮存污染控制标准》（GB18597-2001）附录A所示的标签，具体如图4。</w:t>
            </w:r>
          </w:p>
          <w:p>
            <w:pPr>
              <w:pStyle w:val="263"/>
              <w:spacing w:line="480" w:lineRule="exact"/>
              <w:ind w:firstLine="496" w:firstLineChars="200"/>
              <w:rPr>
                <w:spacing w:val="4"/>
                <w:sz w:val="24"/>
              </w:rPr>
            </w:pPr>
            <w:r>
              <w:rPr>
                <w:spacing w:val="4"/>
                <w:sz w:val="24"/>
              </w:rPr>
              <w:t>C危险废物暂存库房不得接收未粘贴上述规定的标签或标签填写不规范的危险废物；</w:t>
            </w:r>
          </w:p>
          <w:p>
            <w:pPr>
              <w:pStyle w:val="263"/>
              <w:spacing w:line="480" w:lineRule="exact"/>
              <w:ind w:firstLine="496" w:firstLineChars="200"/>
              <w:rPr>
                <w:spacing w:val="4"/>
                <w:sz w:val="24"/>
              </w:rPr>
            </w:pPr>
            <w:r>
              <w:rPr>
                <w:spacing w:val="4"/>
                <w:sz w:val="24"/>
              </w:rPr>
              <w:t xml:space="preserve">D必须作好危险废物记录，记录上须注明危险废物的名称、来源、数量、特性和包装容器的类别、入库日期、存放库位、废物出库日期及接收单位名称； </w:t>
            </w:r>
          </w:p>
          <w:p>
            <w:pPr>
              <w:pStyle w:val="263"/>
              <w:spacing w:line="480" w:lineRule="exact"/>
              <w:ind w:firstLine="496" w:firstLineChars="200"/>
              <w:rPr>
                <w:spacing w:val="4"/>
                <w:sz w:val="24"/>
              </w:rPr>
            </w:pPr>
            <w:r>
              <w:rPr>
                <w:spacing w:val="4"/>
                <w:sz w:val="24"/>
              </w:rPr>
              <w:t>危险废物的记录和货单在危险废物回取后应继续保留三年；所有危险废物在厂内暂存不得超过一年。</w:t>
            </w:r>
          </w:p>
          <w:p>
            <w:pPr>
              <w:pStyle w:val="263"/>
              <w:spacing w:line="480" w:lineRule="exact"/>
              <w:ind w:firstLine="496" w:firstLineChars="200"/>
              <w:rPr>
                <w:spacing w:val="4"/>
                <w:sz w:val="24"/>
              </w:rPr>
            </w:pPr>
            <w:r>
              <w:rPr>
                <w:spacing w:val="4"/>
                <w:sz w:val="24"/>
              </w:rPr>
              <w:t>E必须定期对所贮存的危险废物包装容器及贮存设施进行检查，发现破损，应及时采取措施清理更换；</w:t>
            </w:r>
          </w:p>
          <w:p>
            <w:pPr>
              <w:pStyle w:val="263"/>
              <w:spacing w:line="480" w:lineRule="exact"/>
              <w:ind w:firstLine="496" w:firstLineChars="200"/>
              <w:rPr>
                <w:spacing w:val="4"/>
                <w:sz w:val="24"/>
              </w:rPr>
            </w:pPr>
            <w:r>
              <w:rPr>
                <w:spacing w:val="4"/>
                <w:sz w:val="24"/>
              </w:rPr>
              <w:t xml:space="preserve">F危险废物贮存库房设置灭火器等防火设备，做好火灾的预防工作。 </w:t>
            </w:r>
          </w:p>
          <w:p>
            <w:pPr>
              <w:pStyle w:val="263"/>
              <w:spacing w:line="480" w:lineRule="exact"/>
              <w:ind w:firstLine="496" w:firstLineChars="200"/>
              <w:rPr>
                <w:spacing w:val="4"/>
                <w:sz w:val="24"/>
              </w:rPr>
            </w:pPr>
            <w:r>
              <w:rPr>
                <w:spacing w:val="4"/>
                <w:sz w:val="24"/>
              </w:rPr>
              <w:t>G危废暂存库必须做好防渗措施。目前设计的方案为基础防渗，评价要求防渗层为至少1m厚粘土层(渗透系数≤10</w:t>
            </w:r>
            <w:r>
              <w:rPr>
                <w:spacing w:val="4"/>
                <w:sz w:val="24"/>
                <w:vertAlign w:val="superscript"/>
              </w:rPr>
              <w:t>-7</w:t>
            </w:r>
            <w:r>
              <w:rPr>
                <w:spacing w:val="4"/>
                <w:sz w:val="24"/>
              </w:rPr>
              <w:t>cm/s)，或至少2mm厚高密度聚乙烯(HDPE)，渗透系数≤10</w:t>
            </w:r>
            <w:r>
              <w:rPr>
                <w:spacing w:val="4"/>
                <w:sz w:val="24"/>
                <w:vertAlign w:val="superscript"/>
              </w:rPr>
              <w:t>-7</w:t>
            </w:r>
            <w:r>
              <w:rPr>
                <w:spacing w:val="4"/>
                <w:sz w:val="24"/>
              </w:rPr>
              <w:t>cm/s。</w:t>
            </w:r>
          </w:p>
          <w:p>
            <w:pPr>
              <w:pStyle w:val="263"/>
              <w:spacing w:line="480" w:lineRule="exact"/>
              <w:ind w:firstLine="496" w:firstLineChars="200"/>
              <w:rPr>
                <w:spacing w:val="4"/>
                <w:sz w:val="24"/>
              </w:rPr>
            </w:pPr>
            <w:r>
              <w:rPr>
                <w:spacing w:val="4"/>
                <w:sz w:val="24"/>
              </w:rPr>
              <w:fldChar w:fldCharType="begin"/>
            </w:r>
            <w:r>
              <w:rPr>
                <w:spacing w:val="4"/>
                <w:sz w:val="24"/>
              </w:rPr>
              <w:instrText xml:space="preserve"> = 2 \* GB3 </w:instrText>
            </w:r>
            <w:r>
              <w:rPr>
                <w:spacing w:val="4"/>
                <w:sz w:val="24"/>
              </w:rPr>
              <w:fldChar w:fldCharType="separate"/>
            </w:r>
            <w:r>
              <w:rPr>
                <w:rFonts w:hint="eastAsia" w:ascii="宋体" w:hAnsi="宋体" w:cs="宋体"/>
                <w:spacing w:val="4"/>
                <w:sz w:val="24"/>
                <w:lang w:val="zh-CN"/>
              </w:rPr>
              <w:t>②</w:t>
            </w:r>
            <w:r>
              <w:rPr>
                <w:spacing w:val="4"/>
                <w:sz w:val="24"/>
              </w:rPr>
              <w:fldChar w:fldCharType="end"/>
            </w:r>
            <w:r>
              <w:rPr>
                <w:spacing w:val="4"/>
                <w:sz w:val="24"/>
              </w:rPr>
              <w:t>转移要求：</w:t>
            </w:r>
          </w:p>
          <w:p>
            <w:pPr>
              <w:pStyle w:val="263"/>
              <w:spacing w:line="480" w:lineRule="exact"/>
              <w:ind w:firstLine="496" w:firstLineChars="200"/>
              <w:rPr>
                <w:spacing w:val="4"/>
                <w:sz w:val="24"/>
              </w:rPr>
            </w:pPr>
            <w:r>
              <w:rPr>
                <w:spacing w:val="4"/>
                <w:sz w:val="24"/>
              </w:rPr>
              <w:t xml:space="preserve">A在转移危险废物前，建设单位须按照国家有关规定报批危险废物转移计划；经批准后，产生单位应当向当地环境保护行政主管部门申请领取国务院环境保护行政主管部门统一制定的联单。并在危险废物转移前三日内报告当地环境保护行政主管部门，并同时将预期到达时间报告接受地环境保护行政主管部门。 </w:t>
            </w:r>
          </w:p>
          <w:p>
            <w:pPr>
              <w:pStyle w:val="263"/>
              <w:spacing w:line="480" w:lineRule="exact"/>
              <w:ind w:firstLine="496" w:firstLineChars="200"/>
              <w:rPr>
                <w:spacing w:val="4"/>
                <w:sz w:val="24"/>
              </w:rPr>
            </w:pPr>
            <w:r>
              <w:rPr>
                <w:spacing w:val="4"/>
                <w:sz w:val="24"/>
              </w:rPr>
              <w:t>B建设单位必须如实填写联单中产生单位栏目，并加盖公章，经交付危险废物运输单位核实验收签字后，将联单第一联副联自留存档，将联单第二联交当地环境保护“行政主管部门，联单第一联正联及其余各联交付运输单位随危险废物转移运行。</w:t>
            </w:r>
          </w:p>
          <w:p>
            <w:pPr>
              <w:pStyle w:val="263"/>
              <w:spacing w:line="480" w:lineRule="exact"/>
              <w:ind w:firstLine="496" w:firstLineChars="200"/>
              <w:rPr>
                <w:spacing w:val="4"/>
                <w:sz w:val="24"/>
              </w:rPr>
            </w:pPr>
            <w:r>
              <w:rPr>
                <w:spacing w:val="4"/>
                <w:sz w:val="24"/>
              </w:rPr>
              <w:t>B联单保存期限为五年；贮存危险废物的，其联单保存期限与危险废物贮存期限相同。</w:t>
            </w:r>
          </w:p>
          <w:p>
            <w:pPr>
              <w:pStyle w:val="263"/>
              <w:spacing w:line="480" w:lineRule="exact"/>
              <w:ind w:firstLine="496" w:firstLineChars="200"/>
              <w:rPr>
                <w:spacing w:val="4"/>
                <w:sz w:val="24"/>
              </w:rPr>
            </w:pPr>
            <w:r>
              <w:rPr>
                <w:rFonts w:hint="eastAsia" w:ascii="宋体" w:hAnsi="宋体" w:cs="宋体"/>
                <w:spacing w:val="4"/>
                <w:sz w:val="24"/>
              </w:rPr>
              <w:t>③</w:t>
            </w:r>
            <w:r>
              <w:rPr>
                <w:spacing w:val="4"/>
                <w:sz w:val="24"/>
              </w:rPr>
              <w:t>处置要求：</w:t>
            </w:r>
          </w:p>
          <w:p>
            <w:pPr>
              <w:pStyle w:val="172"/>
              <w:snapToGrid/>
              <w:ind w:firstLine="496" w:firstLineChars="200"/>
              <w:jc w:val="both"/>
              <w:rPr>
                <w:rFonts w:ascii="Times New Roman" w:hAnsi="宋体" w:eastAsia="宋体"/>
              </w:rPr>
            </w:pPr>
            <w:r>
              <w:rPr>
                <w:rFonts w:ascii="Times New Roman" w:hAnsi="Times New Roman" w:eastAsia="宋体"/>
                <w:spacing w:val="4"/>
              </w:rPr>
              <w:t>建设单位拟委托有资质单位对项目运行期间产生的危险废物进行处置。</w:t>
            </w:r>
          </w:p>
          <w:p>
            <w:pPr>
              <w:pStyle w:val="172"/>
              <w:snapToGrid/>
              <w:ind w:firstLine="0"/>
              <w:rPr>
                <w:rFonts w:ascii="Times New Roman" w:hAnsi="Times New Roman" w:eastAsia="宋体"/>
                <w:b/>
              </w:rPr>
            </w:pPr>
            <w:bookmarkStart w:id="19" w:name="_Hlk14970666"/>
            <w:r>
              <w:rPr>
                <w:rFonts w:ascii="Times New Roman" w:hAnsi="Times New Roman" w:eastAsia="宋体"/>
                <w:b/>
              </w:rPr>
              <w:t>S</w:t>
            </w:r>
            <w:r>
              <w:rPr>
                <w:rFonts w:ascii="Times New Roman" w:hAnsi="Times New Roman" w:eastAsia="宋体"/>
                <w:b/>
                <w:vertAlign w:val="subscript"/>
              </w:rPr>
              <w:t>4</w:t>
            </w:r>
            <w:r>
              <w:rPr>
                <w:rFonts w:ascii="Times New Roman" w:hAnsi="宋体" w:eastAsia="宋体"/>
                <w:b/>
              </w:rPr>
              <w:t>：生活垃圾</w:t>
            </w:r>
          </w:p>
          <w:p>
            <w:pPr>
              <w:pStyle w:val="172"/>
              <w:snapToGrid/>
              <w:ind w:firstLine="480" w:firstLineChars="200"/>
              <w:jc w:val="both"/>
              <w:rPr>
                <w:rFonts w:ascii="Times New Roman" w:hAnsi="Times New Roman" w:eastAsia="宋体"/>
              </w:rPr>
            </w:pPr>
            <w:r>
              <w:rPr>
                <w:rFonts w:ascii="Times New Roman" w:hAnsi="宋体" w:eastAsia="宋体"/>
              </w:rPr>
              <w:t>本项目运营期间的生活垃圾产生系数为按</w:t>
            </w:r>
            <w:r>
              <w:rPr>
                <w:rFonts w:ascii="Times New Roman" w:hAnsi="Times New Roman" w:eastAsia="宋体"/>
              </w:rPr>
              <w:t>0.5kg/</w:t>
            </w:r>
            <w:r>
              <w:rPr>
                <w:rFonts w:ascii="Times New Roman" w:hAnsi="宋体" w:eastAsia="宋体"/>
              </w:rPr>
              <w:t>（</w:t>
            </w:r>
            <w:r>
              <w:rPr>
                <w:rFonts w:ascii="Times New Roman" w:hAnsi="Times New Roman" w:eastAsia="宋体"/>
              </w:rPr>
              <w:t>d•</w:t>
            </w:r>
            <w:r>
              <w:rPr>
                <w:rFonts w:ascii="Times New Roman" w:hAnsi="宋体" w:eastAsia="宋体"/>
              </w:rPr>
              <w:t>人）计，劳动定员</w:t>
            </w:r>
            <w:r>
              <w:rPr>
                <w:rFonts w:ascii="Times New Roman" w:hAnsi="Times New Roman" w:eastAsia="宋体"/>
              </w:rPr>
              <w:t>20</w:t>
            </w:r>
            <w:r>
              <w:rPr>
                <w:rFonts w:ascii="Times New Roman" w:hAnsi="宋体" w:eastAsia="宋体"/>
              </w:rPr>
              <w:t>人，则生活垃圾产生量为</w:t>
            </w:r>
            <w:r>
              <w:rPr>
                <w:rFonts w:ascii="Times New Roman" w:hAnsi="Times New Roman" w:eastAsia="宋体"/>
              </w:rPr>
              <w:t>3t/a</w:t>
            </w:r>
            <w:r>
              <w:rPr>
                <w:rFonts w:ascii="Times New Roman" w:hAnsi="宋体" w:eastAsia="宋体"/>
              </w:rPr>
              <w:t>。本项目在车间内、办公区均设置垃圾筒，垃圾经收集后运至市政指定的地点外协处理，如由生活垃圾发电厂处理。垃圾在运输过程中应注意遮盖、封闭，防止造成二次污染。</w:t>
            </w:r>
            <w:bookmarkEnd w:id="19"/>
          </w:p>
          <w:p>
            <w:pPr>
              <w:pStyle w:val="172"/>
              <w:snapToGrid/>
              <w:rPr>
                <w:rFonts w:ascii="Times New Roman" w:hAnsi="宋体" w:eastAsia="宋体"/>
              </w:rPr>
            </w:pPr>
            <w:bookmarkStart w:id="20" w:name="_Hlk14970688"/>
            <w:r>
              <w:rPr>
                <w:rFonts w:ascii="Times New Roman" w:hAnsi="宋体" w:eastAsia="宋体"/>
              </w:rPr>
              <w:t>本项目</w:t>
            </w:r>
            <w:r>
              <w:rPr>
                <w:rFonts w:hint="eastAsia" w:ascii="Times New Roman" w:hAnsi="宋体" w:eastAsia="宋体"/>
              </w:rPr>
              <w:t>固废</w:t>
            </w:r>
            <w:r>
              <w:rPr>
                <w:rFonts w:ascii="Times New Roman" w:hAnsi="宋体" w:eastAsia="宋体"/>
              </w:rPr>
              <w:t>污染物汇总见</w:t>
            </w:r>
            <w:r>
              <w:rPr>
                <w:rFonts w:hint="eastAsia" w:ascii="Times New Roman" w:hAnsi="宋体" w:eastAsia="宋体"/>
              </w:rPr>
              <w:t>下</w:t>
            </w:r>
            <w:r>
              <w:rPr>
                <w:rFonts w:ascii="Times New Roman" w:hAnsi="宋体" w:eastAsia="宋体"/>
              </w:rPr>
              <w:t>表。</w:t>
            </w:r>
          </w:p>
          <w:p>
            <w:pPr>
              <w:autoSpaceDE w:val="0"/>
              <w:autoSpaceDN w:val="0"/>
              <w:adjustRightInd w:val="0"/>
              <w:ind w:firstLine="0" w:firstLineChars="0"/>
              <w:jc w:val="center"/>
              <w:rPr>
                <w:rFonts w:ascii="黑体" w:hAnsi="黑体" w:eastAsia="黑体"/>
              </w:rPr>
            </w:pPr>
            <w:r>
              <w:rPr>
                <w:rFonts w:hint="eastAsia" w:ascii="黑体" w:hAnsi="黑体" w:eastAsia="黑体"/>
              </w:rPr>
              <w:t>表</w:t>
            </w:r>
            <w:r>
              <w:rPr>
                <w:rFonts w:ascii="黑体" w:hAnsi="黑体" w:eastAsia="黑体"/>
              </w:rPr>
              <w:t xml:space="preserve">48 </w:t>
            </w:r>
            <w:r>
              <w:rPr>
                <w:rFonts w:hint="eastAsia" w:ascii="黑体" w:hAnsi="黑体" w:eastAsia="黑体"/>
              </w:rPr>
              <w:t xml:space="preserve"> </w:t>
            </w:r>
            <w:r>
              <w:rPr>
                <w:rFonts w:ascii="黑体" w:hAnsi="黑体" w:eastAsia="黑体"/>
              </w:rPr>
              <w:t>本项目</w:t>
            </w:r>
            <w:r>
              <w:rPr>
                <w:rFonts w:hint="eastAsia" w:ascii="黑体" w:hAnsi="黑体" w:eastAsia="黑体"/>
              </w:rPr>
              <w:t>固体</w:t>
            </w:r>
            <w:r>
              <w:rPr>
                <w:rFonts w:ascii="黑体" w:hAnsi="黑体" w:eastAsia="黑体"/>
              </w:rPr>
              <w:t>污染物汇总表</w:t>
            </w:r>
          </w:p>
          <w:tbl>
            <w:tblPr>
              <w:tblStyle w:val="7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17"/>
              <w:gridCol w:w="1162"/>
              <w:gridCol w:w="3434"/>
              <w:gridCol w:w="12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75"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Ansi="宋体"/>
                      <w:sz w:val="21"/>
                      <w:szCs w:val="21"/>
                    </w:rPr>
                    <w:t>项目</w:t>
                  </w:r>
                </w:p>
              </w:tc>
              <w:tc>
                <w:tcPr>
                  <w:tcW w:w="641"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Ansi="宋体"/>
                      <w:sz w:val="21"/>
                      <w:szCs w:val="21"/>
                    </w:rPr>
                    <w:t>产生量</w:t>
                  </w:r>
                  <w:r>
                    <w:rPr>
                      <w:sz w:val="21"/>
                      <w:szCs w:val="21"/>
                    </w:rPr>
                    <w:t>t/a</w:t>
                  </w:r>
                </w:p>
              </w:tc>
              <w:tc>
                <w:tcPr>
                  <w:tcW w:w="1895"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Ansi="宋体"/>
                      <w:sz w:val="21"/>
                      <w:szCs w:val="21"/>
                    </w:rPr>
                    <w:t>处理方式</w:t>
                  </w:r>
                </w:p>
              </w:tc>
              <w:tc>
                <w:tcPr>
                  <w:tcW w:w="689"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Ansi="宋体"/>
                      <w:sz w:val="21"/>
                      <w:szCs w:val="21"/>
                    </w:rPr>
                    <w:t>排放量</w:t>
                  </w:r>
                  <w:r>
                    <w:rPr>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75"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rFonts w:hAnsi="宋体"/>
                      <w:sz w:val="21"/>
                      <w:szCs w:val="21"/>
                    </w:rPr>
                  </w:pPr>
                  <w:r>
                    <w:rPr>
                      <w:rFonts w:hint="eastAsia" w:hAnsi="宋体"/>
                      <w:sz w:val="21"/>
                      <w:szCs w:val="21"/>
                    </w:rPr>
                    <w:t>除铁器收集的废矿石</w:t>
                  </w:r>
                </w:p>
              </w:tc>
              <w:tc>
                <w:tcPr>
                  <w:tcW w:w="641"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int="eastAsia"/>
                      <w:sz w:val="21"/>
                      <w:szCs w:val="21"/>
                    </w:rPr>
                    <w:t>2</w:t>
                  </w:r>
                  <w:r>
                    <w:rPr>
                      <w:sz w:val="21"/>
                      <w:szCs w:val="21"/>
                    </w:rPr>
                    <w:t>000</w:t>
                  </w:r>
                </w:p>
              </w:tc>
              <w:tc>
                <w:tcPr>
                  <w:tcW w:w="1895"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sz w:val="21"/>
                      <w:szCs w:val="21"/>
                    </w:rPr>
                  </w:pPr>
                  <w:r>
                    <w:rPr>
                      <w:rFonts w:hint="eastAsia"/>
                      <w:sz w:val="21"/>
                      <w:szCs w:val="21"/>
                    </w:rPr>
                    <w:t>外售于铁厂综合利用</w:t>
                  </w:r>
                </w:p>
              </w:tc>
              <w:tc>
                <w:tcPr>
                  <w:tcW w:w="689"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int="eastAsia"/>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75"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rFonts w:hAnsi="宋体"/>
                      <w:sz w:val="21"/>
                      <w:szCs w:val="21"/>
                    </w:rPr>
                  </w:pPr>
                  <w:r>
                    <w:rPr>
                      <w:rFonts w:hint="eastAsia" w:hAnsi="宋体"/>
                      <w:sz w:val="21"/>
                      <w:szCs w:val="21"/>
                    </w:rPr>
                    <w:t>除尘器收集的集尘灰</w:t>
                  </w:r>
                </w:p>
              </w:tc>
              <w:tc>
                <w:tcPr>
                  <w:tcW w:w="641"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sz w:val="21"/>
                      <w:szCs w:val="21"/>
                    </w:rPr>
                    <w:t>573</w:t>
                  </w:r>
                </w:p>
              </w:tc>
              <w:tc>
                <w:tcPr>
                  <w:tcW w:w="1895"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sz w:val="21"/>
                      <w:szCs w:val="21"/>
                    </w:rPr>
                  </w:pPr>
                  <w:r>
                    <w:rPr>
                      <w:rFonts w:hint="eastAsia"/>
                      <w:sz w:val="21"/>
                      <w:szCs w:val="21"/>
                    </w:rPr>
                    <w:t>收集后可作为产品外售</w:t>
                  </w:r>
                </w:p>
              </w:tc>
              <w:tc>
                <w:tcPr>
                  <w:tcW w:w="689"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int="eastAsia"/>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75"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rFonts w:hAnsi="宋体"/>
                      <w:sz w:val="21"/>
                      <w:szCs w:val="21"/>
                    </w:rPr>
                  </w:pPr>
                  <w:r>
                    <w:rPr>
                      <w:rFonts w:hint="eastAsia" w:hAnsi="宋体"/>
                      <w:sz w:val="21"/>
                      <w:szCs w:val="21"/>
                    </w:rPr>
                    <w:t>设备维护产生的废矿物油（HW08废矿物油</w:t>
                  </w:r>
                  <w:r>
                    <w:rPr>
                      <w:rFonts w:hAnsi="宋体"/>
                      <w:sz w:val="21"/>
                      <w:szCs w:val="21"/>
                    </w:rPr>
                    <w:t>900-214-08</w:t>
                  </w:r>
                  <w:r>
                    <w:rPr>
                      <w:rFonts w:hint="eastAsia" w:hAnsi="宋体"/>
                      <w:sz w:val="21"/>
                      <w:szCs w:val="21"/>
                    </w:rPr>
                    <w:t>）</w:t>
                  </w:r>
                </w:p>
              </w:tc>
              <w:tc>
                <w:tcPr>
                  <w:tcW w:w="641"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int="eastAsia"/>
                      <w:sz w:val="21"/>
                      <w:szCs w:val="21"/>
                    </w:rPr>
                    <w:t>0</w:t>
                  </w:r>
                  <w:r>
                    <w:rPr>
                      <w:sz w:val="21"/>
                      <w:szCs w:val="21"/>
                    </w:rPr>
                    <w:t>.6</w:t>
                  </w:r>
                </w:p>
              </w:tc>
              <w:tc>
                <w:tcPr>
                  <w:tcW w:w="1895"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rFonts w:hAnsi="宋体"/>
                      <w:sz w:val="21"/>
                      <w:szCs w:val="21"/>
                    </w:rPr>
                  </w:pPr>
                  <w:r>
                    <w:rPr>
                      <w:rFonts w:hint="eastAsia" w:hAnsi="宋体"/>
                      <w:sz w:val="21"/>
                      <w:szCs w:val="21"/>
                    </w:rPr>
                    <w:t>废矿物油储存于特定容器中，暂存于危废库内，委托有相关处理资质的单位定期外协处置</w:t>
                  </w:r>
                </w:p>
              </w:tc>
              <w:tc>
                <w:tcPr>
                  <w:tcW w:w="689"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int="eastAsia"/>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75"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Ansi="宋体"/>
                      <w:sz w:val="21"/>
                      <w:szCs w:val="21"/>
                    </w:rPr>
                    <w:t>生活垃圾</w:t>
                  </w:r>
                </w:p>
              </w:tc>
              <w:tc>
                <w:tcPr>
                  <w:tcW w:w="641"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int="eastAsia"/>
                      <w:sz w:val="21"/>
                      <w:szCs w:val="21"/>
                    </w:rPr>
                    <w:t>3</w:t>
                  </w:r>
                </w:p>
              </w:tc>
              <w:tc>
                <w:tcPr>
                  <w:tcW w:w="1895"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Ansi="宋体"/>
                      <w:sz w:val="21"/>
                      <w:szCs w:val="21"/>
                    </w:rPr>
                    <w:t>设置垃圾筒，垃圾经收集后运至市政指定的地点外协处理</w:t>
                  </w:r>
                </w:p>
              </w:tc>
              <w:tc>
                <w:tcPr>
                  <w:tcW w:w="689"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sz w:val="21"/>
                      <w:szCs w:val="21"/>
                    </w:rPr>
                    <w:t>0</w:t>
                  </w:r>
                </w:p>
              </w:tc>
            </w:tr>
            <w:bookmarkEnd w:id="20"/>
          </w:tbl>
          <w:p>
            <w:pPr>
              <w:pStyle w:val="172"/>
              <w:ind w:firstLine="480" w:firstLineChars="200"/>
              <w:rPr>
                <w:rFonts w:ascii="Times New Roman" w:hAnsi="宋体" w:eastAsia="宋体"/>
                <w:b/>
              </w:rPr>
            </w:pPr>
            <w:r>
              <w:rPr>
                <w:rFonts w:hint="eastAsia" w:ascii="Times New Roman" w:hAnsi="宋体" w:eastAsia="宋体"/>
              </w:rPr>
              <w:t>综上所述，本项目所产生的固体废物均得到了综合利用或合理处置，对周围环境影响较小。</w:t>
            </w:r>
          </w:p>
          <w:p>
            <w:pPr>
              <w:pStyle w:val="172"/>
              <w:ind w:firstLine="0"/>
              <w:rPr>
                <w:rFonts w:ascii="Times New Roman" w:hAnsi="Times New Roman" w:eastAsia="宋体"/>
                <w:b/>
              </w:rPr>
            </w:pPr>
            <w:r>
              <w:rPr>
                <w:rFonts w:ascii="Times New Roman" w:hAnsi="宋体" w:eastAsia="宋体"/>
                <w:b/>
              </w:rPr>
              <w:t>四、声环境影响分析</w:t>
            </w:r>
          </w:p>
          <w:p>
            <w:pPr>
              <w:pStyle w:val="144"/>
              <w:spacing w:before="0" w:after="0"/>
              <w:ind w:firstLine="480"/>
              <w:rPr>
                <w:rFonts w:hAnsi="宋体"/>
              </w:rPr>
            </w:pPr>
            <w:bookmarkStart w:id="21" w:name="_Hlk14970745"/>
            <w:r>
              <w:rPr>
                <w:rFonts w:hint="eastAsia" w:hAnsi="宋体"/>
              </w:rPr>
              <w:t>（1）噪声源及污染防治措施</w:t>
            </w:r>
          </w:p>
          <w:p>
            <w:pPr>
              <w:pStyle w:val="144"/>
              <w:spacing w:before="0" w:after="0"/>
              <w:ind w:firstLine="480"/>
            </w:pPr>
            <w:r>
              <w:rPr>
                <w:rFonts w:hint="eastAsia" w:hAnsi="宋体"/>
              </w:rPr>
              <w:t>本项目主要噪声源来自破碎机、筛分机、各类风机等设备作业噪声以及运输车辆噪声，根据类比，噪声源强为</w:t>
            </w:r>
            <w:r>
              <w:rPr>
                <w:rFonts w:hAnsi="宋体"/>
              </w:rPr>
              <w:t>70~</w:t>
            </w:r>
            <w:r>
              <w:rPr>
                <w:rFonts w:hint="eastAsia" w:hAnsi="宋体"/>
              </w:rPr>
              <w:t>1</w:t>
            </w:r>
            <w:r>
              <w:rPr>
                <w:rFonts w:hAnsi="宋体"/>
              </w:rPr>
              <w:t>10dB(A)</w:t>
            </w:r>
            <w:r>
              <w:rPr>
                <w:rFonts w:hint="eastAsia" w:hAnsi="宋体"/>
              </w:rPr>
              <w:t>。对各类噪声源采取以下措施：</w:t>
            </w:r>
          </w:p>
          <w:p>
            <w:pPr>
              <w:pStyle w:val="144"/>
              <w:spacing w:before="0" w:after="0"/>
              <w:ind w:firstLine="480"/>
            </w:pPr>
            <w:r>
              <w:rPr>
                <w:rFonts w:hint="eastAsia" w:hAnsi="宋体"/>
              </w:rPr>
              <w:t>（</w:t>
            </w:r>
            <w:r>
              <w:t>1</w:t>
            </w:r>
            <w:r>
              <w:rPr>
                <w:rFonts w:hint="eastAsia" w:hAnsi="宋体"/>
              </w:rPr>
              <w:t>）在设备选型时，类比同行业先进设备，尽量选用噪声小的设备；</w:t>
            </w:r>
          </w:p>
          <w:p>
            <w:pPr>
              <w:pStyle w:val="144"/>
              <w:spacing w:before="0" w:after="0"/>
              <w:ind w:firstLine="480"/>
            </w:pPr>
            <w:r>
              <w:rPr>
                <w:rFonts w:hint="eastAsia" w:hAnsi="宋体"/>
              </w:rPr>
              <w:t>（</w:t>
            </w:r>
            <w:r>
              <w:t>2</w:t>
            </w:r>
            <w:r>
              <w:rPr>
                <w:rFonts w:hint="eastAsia" w:hAnsi="宋体"/>
              </w:rPr>
              <w:t>）各产躁设备进行基础减振、室内安装，将高噪声设备布置在生产车间内；</w:t>
            </w:r>
          </w:p>
          <w:p>
            <w:pPr>
              <w:pStyle w:val="144"/>
              <w:spacing w:before="0" w:after="0"/>
              <w:ind w:firstLine="480"/>
            </w:pPr>
            <w:r>
              <w:rPr>
                <w:rFonts w:hint="eastAsia" w:hAnsi="宋体"/>
              </w:rPr>
              <w:t>（</w:t>
            </w:r>
            <w:r>
              <w:t>3</w:t>
            </w:r>
            <w:r>
              <w:rPr>
                <w:rFonts w:hint="eastAsia" w:hAnsi="宋体"/>
              </w:rPr>
              <w:t>）进入厂区的车辆要限速行驶，禁止鸣笛；夜间尽量减少运输车辆进出；</w:t>
            </w:r>
          </w:p>
          <w:p>
            <w:pPr>
              <w:pStyle w:val="144"/>
              <w:spacing w:before="0" w:after="0"/>
              <w:ind w:firstLine="480"/>
              <w:rPr>
                <w:rFonts w:hAnsi="宋体"/>
              </w:rPr>
            </w:pPr>
            <w:r>
              <w:rPr>
                <w:rFonts w:hint="eastAsia" w:hAnsi="宋体"/>
              </w:rPr>
              <w:t>（</w:t>
            </w:r>
            <w:r>
              <w:t>4</w:t>
            </w:r>
            <w:r>
              <w:rPr>
                <w:rFonts w:hint="eastAsia" w:hAnsi="宋体"/>
              </w:rPr>
              <w:t>）操作人员配备防噪劳动保护用具，减少噪声对操作人员的影响。</w:t>
            </w:r>
          </w:p>
          <w:p>
            <w:pPr>
              <w:pStyle w:val="144"/>
              <w:spacing w:before="0" w:after="0"/>
              <w:ind w:firstLine="480"/>
            </w:pPr>
            <w:r>
              <w:rPr>
                <w:rFonts w:hint="eastAsia"/>
              </w:rPr>
              <w:t>本项目主要噪声源见下表。</w:t>
            </w:r>
          </w:p>
          <w:p>
            <w:pPr>
              <w:pStyle w:val="144"/>
              <w:spacing w:before="0" w:after="0"/>
              <w:ind w:firstLine="0" w:firstLineChars="0"/>
              <w:jc w:val="center"/>
              <w:rPr>
                <w:rFonts w:ascii="黑体" w:hAnsi="黑体" w:eastAsia="黑体"/>
              </w:rPr>
            </w:pPr>
            <w:r>
              <w:rPr>
                <w:rFonts w:hint="eastAsia" w:ascii="黑体" w:hAnsi="黑体" w:eastAsia="黑体"/>
              </w:rPr>
              <w:t>表</w:t>
            </w:r>
            <w:r>
              <w:rPr>
                <w:rFonts w:ascii="黑体" w:hAnsi="黑体" w:eastAsia="黑体"/>
              </w:rPr>
              <w:t xml:space="preserve">49  </w:t>
            </w:r>
            <w:r>
              <w:rPr>
                <w:rFonts w:hint="eastAsia" w:ascii="黑体" w:hAnsi="黑体" w:eastAsia="黑体"/>
              </w:rPr>
              <w:t>本项目工程主要噪声源及防治措施一览表</w:t>
            </w:r>
          </w:p>
          <w:tbl>
            <w:tblPr>
              <w:tblStyle w:val="70"/>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28" w:type="dxa"/>
                <w:bottom w:w="0" w:type="dxa"/>
                <w:right w:w="28" w:type="dxa"/>
              </w:tblCellMar>
            </w:tblPr>
            <w:tblGrid>
              <w:gridCol w:w="588"/>
              <w:gridCol w:w="1688"/>
              <w:gridCol w:w="562"/>
              <w:gridCol w:w="986"/>
              <w:gridCol w:w="1266"/>
              <w:gridCol w:w="705"/>
              <w:gridCol w:w="2392"/>
              <w:gridCol w:w="87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325"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序号</w:t>
                  </w:r>
                </w:p>
              </w:tc>
              <w:tc>
                <w:tcPr>
                  <w:tcW w:w="932"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噪声设备名称</w:t>
                  </w:r>
                </w:p>
              </w:tc>
              <w:tc>
                <w:tcPr>
                  <w:tcW w:w="31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运行</w:t>
                  </w:r>
                </w:p>
                <w:p>
                  <w:pPr>
                    <w:spacing w:line="240" w:lineRule="auto"/>
                    <w:ind w:firstLine="0" w:firstLineChars="0"/>
                    <w:jc w:val="center"/>
                    <w:rPr>
                      <w:sz w:val="21"/>
                      <w:szCs w:val="21"/>
                    </w:rPr>
                  </w:pPr>
                  <w:r>
                    <w:rPr>
                      <w:rFonts w:hint="eastAsia"/>
                      <w:sz w:val="21"/>
                      <w:szCs w:val="21"/>
                    </w:rPr>
                    <w:t>台数</w:t>
                  </w:r>
                </w:p>
              </w:tc>
              <w:tc>
                <w:tcPr>
                  <w:tcW w:w="544"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源强声级</w:t>
                  </w:r>
                </w:p>
                <w:p>
                  <w:pPr>
                    <w:spacing w:line="240" w:lineRule="auto"/>
                    <w:ind w:firstLine="0" w:firstLineChars="0"/>
                    <w:jc w:val="center"/>
                    <w:rPr>
                      <w:sz w:val="21"/>
                      <w:szCs w:val="21"/>
                    </w:rPr>
                  </w:pPr>
                  <w:r>
                    <w:rPr>
                      <w:sz w:val="21"/>
                      <w:szCs w:val="21"/>
                    </w:rPr>
                    <w:t>dB (A)</w:t>
                  </w:r>
                </w:p>
              </w:tc>
              <w:tc>
                <w:tcPr>
                  <w:tcW w:w="69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噪声类型</w:t>
                  </w:r>
                </w:p>
              </w:tc>
              <w:tc>
                <w:tcPr>
                  <w:tcW w:w="38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工作</w:t>
                  </w:r>
                </w:p>
                <w:p>
                  <w:pPr>
                    <w:spacing w:line="240" w:lineRule="auto"/>
                    <w:ind w:firstLine="0" w:firstLineChars="0"/>
                    <w:jc w:val="center"/>
                    <w:rPr>
                      <w:sz w:val="21"/>
                      <w:szCs w:val="21"/>
                    </w:rPr>
                  </w:pPr>
                  <w:r>
                    <w:rPr>
                      <w:rFonts w:hint="eastAsia"/>
                      <w:sz w:val="21"/>
                      <w:szCs w:val="21"/>
                    </w:rPr>
                    <w:t>特性</w:t>
                  </w:r>
                </w:p>
              </w:tc>
              <w:tc>
                <w:tcPr>
                  <w:tcW w:w="132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防治措施</w:t>
                  </w:r>
                </w:p>
              </w:tc>
              <w:tc>
                <w:tcPr>
                  <w:tcW w:w="48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kern w:val="0"/>
                      <w:sz w:val="21"/>
                      <w:szCs w:val="21"/>
                    </w:rPr>
                  </w:pPr>
                  <w:r>
                    <w:rPr>
                      <w:rFonts w:hint="eastAsia"/>
                      <w:kern w:val="0"/>
                      <w:sz w:val="21"/>
                      <w:szCs w:val="21"/>
                    </w:rPr>
                    <w:t>治理后</w:t>
                  </w:r>
                </w:p>
                <w:p>
                  <w:pPr>
                    <w:spacing w:line="240" w:lineRule="auto"/>
                    <w:ind w:firstLine="0" w:firstLineChars="0"/>
                    <w:jc w:val="center"/>
                    <w:rPr>
                      <w:sz w:val="21"/>
                      <w:szCs w:val="21"/>
                    </w:rPr>
                  </w:pPr>
                  <w:r>
                    <w:rPr>
                      <w:kern w:val="0"/>
                      <w:sz w:val="21"/>
                      <w:szCs w:val="21"/>
                    </w:rPr>
                    <w:t>dB(A)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325"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1</w:t>
                  </w:r>
                </w:p>
              </w:tc>
              <w:tc>
                <w:tcPr>
                  <w:tcW w:w="932"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反击式破碎机</w:t>
                  </w:r>
                </w:p>
              </w:tc>
              <w:tc>
                <w:tcPr>
                  <w:tcW w:w="31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1</w:t>
                  </w:r>
                </w:p>
              </w:tc>
              <w:tc>
                <w:tcPr>
                  <w:tcW w:w="544"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9</w:t>
                  </w:r>
                  <w:r>
                    <w:rPr>
                      <w:sz w:val="21"/>
                      <w:szCs w:val="21"/>
                    </w:rPr>
                    <w:t>0-110</w:t>
                  </w:r>
                </w:p>
              </w:tc>
              <w:tc>
                <w:tcPr>
                  <w:tcW w:w="69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ascii="Arial" w:hAnsi="Arial" w:cs="Arial"/>
                      <w:sz w:val="21"/>
                      <w:szCs w:val="21"/>
                      <w:shd w:val="clear" w:color="auto" w:fill="FFFFFF"/>
                    </w:rPr>
                    <w:t>机械噪声</w:t>
                  </w:r>
                </w:p>
              </w:tc>
              <w:tc>
                <w:tcPr>
                  <w:tcW w:w="38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连续</w:t>
                  </w:r>
                </w:p>
              </w:tc>
              <w:tc>
                <w:tcPr>
                  <w:tcW w:w="132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基础减振</w:t>
                  </w:r>
                </w:p>
              </w:tc>
              <w:tc>
                <w:tcPr>
                  <w:tcW w:w="48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60</w:t>
                  </w:r>
                  <w:r>
                    <w:rPr>
                      <w:rFonts w:hint="eastAsia"/>
                      <w:sz w:val="21"/>
                      <w:szCs w:val="21"/>
                    </w:rPr>
                    <w:t>～</w:t>
                  </w:r>
                  <w:r>
                    <w:rPr>
                      <w:sz w:val="21"/>
                      <w:szCs w:val="21"/>
                    </w:rPr>
                    <w:t>70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325"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2</w:t>
                  </w:r>
                </w:p>
              </w:tc>
              <w:tc>
                <w:tcPr>
                  <w:tcW w:w="932"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颚式破碎机</w:t>
                  </w:r>
                </w:p>
              </w:tc>
              <w:tc>
                <w:tcPr>
                  <w:tcW w:w="31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4</w:t>
                  </w:r>
                </w:p>
              </w:tc>
              <w:tc>
                <w:tcPr>
                  <w:tcW w:w="544"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9</w:t>
                  </w:r>
                  <w:r>
                    <w:rPr>
                      <w:sz w:val="21"/>
                      <w:szCs w:val="21"/>
                    </w:rPr>
                    <w:t>0-110</w:t>
                  </w:r>
                </w:p>
              </w:tc>
              <w:tc>
                <w:tcPr>
                  <w:tcW w:w="69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机械噪声</w:t>
                  </w:r>
                </w:p>
              </w:tc>
              <w:tc>
                <w:tcPr>
                  <w:tcW w:w="38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连续</w:t>
                  </w:r>
                </w:p>
              </w:tc>
              <w:tc>
                <w:tcPr>
                  <w:tcW w:w="132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基础减振、车间隔声</w:t>
                  </w:r>
                </w:p>
              </w:tc>
              <w:tc>
                <w:tcPr>
                  <w:tcW w:w="48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kern w:val="0"/>
                      <w:sz w:val="21"/>
                      <w:szCs w:val="21"/>
                    </w:rPr>
                  </w:pPr>
                  <w:r>
                    <w:rPr>
                      <w:sz w:val="21"/>
                      <w:szCs w:val="21"/>
                    </w:rPr>
                    <w:t>75</w:t>
                  </w:r>
                  <w:r>
                    <w:rPr>
                      <w:rFonts w:hint="eastAsia"/>
                      <w:sz w:val="21"/>
                      <w:szCs w:val="21"/>
                    </w:rPr>
                    <w:t>～</w:t>
                  </w:r>
                  <w:r>
                    <w:rPr>
                      <w:sz w:val="21"/>
                      <w:szCs w:val="21"/>
                    </w:rPr>
                    <w:t>85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325"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3</w:t>
                  </w:r>
                </w:p>
              </w:tc>
              <w:tc>
                <w:tcPr>
                  <w:tcW w:w="932"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立式冲击破</w:t>
                  </w:r>
                </w:p>
              </w:tc>
              <w:tc>
                <w:tcPr>
                  <w:tcW w:w="31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1</w:t>
                  </w:r>
                </w:p>
              </w:tc>
              <w:tc>
                <w:tcPr>
                  <w:tcW w:w="544"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9</w:t>
                  </w:r>
                  <w:r>
                    <w:rPr>
                      <w:sz w:val="21"/>
                      <w:szCs w:val="21"/>
                    </w:rPr>
                    <w:t>0-110</w:t>
                  </w:r>
                </w:p>
              </w:tc>
              <w:tc>
                <w:tcPr>
                  <w:tcW w:w="69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机械噪声</w:t>
                  </w:r>
                </w:p>
              </w:tc>
              <w:tc>
                <w:tcPr>
                  <w:tcW w:w="38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连续</w:t>
                  </w:r>
                </w:p>
              </w:tc>
              <w:tc>
                <w:tcPr>
                  <w:tcW w:w="132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基础减振、车间隔声</w:t>
                  </w:r>
                </w:p>
              </w:tc>
              <w:tc>
                <w:tcPr>
                  <w:tcW w:w="48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kern w:val="0"/>
                      <w:sz w:val="21"/>
                      <w:szCs w:val="21"/>
                    </w:rPr>
                  </w:pPr>
                  <w:r>
                    <w:rPr>
                      <w:sz w:val="21"/>
                      <w:szCs w:val="21"/>
                    </w:rPr>
                    <w:t>75</w:t>
                  </w:r>
                  <w:r>
                    <w:rPr>
                      <w:rFonts w:hint="eastAsia"/>
                      <w:sz w:val="21"/>
                      <w:szCs w:val="21"/>
                    </w:rPr>
                    <w:t>～</w:t>
                  </w:r>
                  <w:r>
                    <w:rPr>
                      <w:sz w:val="21"/>
                      <w:szCs w:val="21"/>
                    </w:rPr>
                    <w:t>85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325"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4</w:t>
                  </w:r>
                </w:p>
              </w:tc>
              <w:tc>
                <w:tcPr>
                  <w:tcW w:w="932"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超细破碎机</w:t>
                  </w:r>
                </w:p>
              </w:tc>
              <w:tc>
                <w:tcPr>
                  <w:tcW w:w="31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1</w:t>
                  </w:r>
                </w:p>
              </w:tc>
              <w:tc>
                <w:tcPr>
                  <w:tcW w:w="544"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9</w:t>
                  </w:r>
                  <w:r>
                    <w:rPr>
                      <w:sz w:val="21"/>
                      <w:szCs w:val="21"/>
                    </w:rPr>
                    <w:t>0-110</w:t>
                  </w:r>
                </w:p>
              </w:tc>
              <w:tc>
                <w:tcPr>
                  <w:tcW w:w="69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机械噪声</w:t>
                  </w:r>
                </w:p>
              </w:tc>
              <w:tc>
                <w:tcPr>
                  <w:tcW w:w="38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连续</w:t>
                  </w:r>
                </w:p>
              </w:tc>
              <w:tc>
                <w:tcPr>
                  <w:tcW w:w="132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基础减振、车间隔声</w:t>
                  </w:r>
                </w:p>
              </w:tc>
              <w:tc>
                <w:tcPr>
                  <w:tcW w:w="48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kern w:val="0"/>
                      <w:sz w:val="21"/>
                      <w:szCs w:val="21"/>
                    </w:rPr>
                  </w:pPr>
                  <w:r>
                    <w:rPr>
                      <w:sz w:val="21"/>
                      <w:szCs w:val="21"/>
                    </w:rPr>
                    <w:t>75</w:t>
                  </w:r>
                  <w:r>
                    <w:rPr>
                      <w:rFonts w:hint="eastAsia"/>
                      <w:sz w:val="21"/>
                      <w:szCs w:val="21"/>
                    </w:rPr>
                    <w:t>～</w:t>
                  </w:r>
                  <w:r>
                    <w:rPr>
                      <w:sz w:val="21"/>
                      <w:szCs w:val="21"/>
                    </w:rPr>
                    <w:t>85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325"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5</w:t>
                  </w:r>
                </w:p>
              </w:tc>
              <w:tc>
                <w:tcPr>
                  <w:tcW w:w="932"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振动筛分机</w:t>
                  </w:r>
                </w:p>
              </w:tc>
              <w:tc>
                <w:tcPr>
                  <w:tcW w:w="31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4</w:t>
                  </w:r>
                </w:p>
              </w:tc>
              <w:tc>
                <w:tcPr>
                  <w:tcW w:w="544"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8</w:t>
                  </w:r>
                  <w:r>
                    <w:rPr>
                      <w:sz w:val="21"/>
                      <w:szCs w:val="21"/>
                    </w:rPr>
                    <w:t>5-105</w:t>
                  </w:r>
                </w:p>
              </w:tc>
              <w:tc>
                <w:tcPr>
                  <w:tcW w:w="69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机械噪声</w:t>
                  </w:r>
                </w:p>
              </w:tc>
              <w:tc>
                <w:tcPr>
                  <w:tcW w:w="38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连续</w:t>
                  </w:r>
                </w:p>
              </w:tc>
              <w:tc>
                <w:tcPr>
                  <w:tcW w:w="132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基础减振、车间隔声</w:t>
                  </w:r>
                </w:p>
              </w:tc>
              <w:tc>
                <w:tcPr>
                  <w:tcW w:w="48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kern w:val="0"/>
                      <w:sz w:val="21"/>
                      <w:szCs w:val="21"/>
                    </w:rPr>
                  </w:pPr>
                  <w:r>
                    <w:rPr>
                      <w:sz w:val="21"/>
                      <w:szCs w:val="21"/>
                    </w:rPr>
                    <w:t>75</w:t>
                  </w:r>
                  <w:r>
                    <w:rPr>
                      <w:rFonts w:hint="eastAsia"/>
                      <w:sz w:val="21"/>
                      <w:szCs w:val="21"/>
                    </w:rPr>
                    <w:t>～</w:t>
                  </w:r>
                  <w:r>
                    <w:rPr>
                      <w:sz w:val="21"/>
                      <w:szCs w:val="21"/>
                    </w:rPr>
                    <w:t>85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325"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6</w:t>
                  </w:r>
                </w:p>
              </w:tc>
              <w:tc>
                <w:tcPr>
                  <w:tcW w:w="932"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风机</w:t>
                  </w:r>
                </w:p>
              </w:tc>
              <w:tc>
                <w:tcPr>
                  <w:tcW w:w="31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4</w:t>
                  </w:r>
                </w:p>
              </w:tc>
              <w:tc>
                <w:tcPr>
                  <w:tcW w:w="544"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80</w:t>
                  </w:r>
                  <w:r>
                    <w:rPr>
                      <w:rFonts w:hint="eastAsia"/>
                      <w:sz w:val="21"/>
                      <w:szCs w:val="21"/>
                    </w:rPr>
                    <w:t>～105</w:t>
                  </w:r>
                </w:p>
              </w:tc>
              <w:tc>
                <w:tcPr>
                  <w:tcW w:w="69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ascii="Arial" w:hAnsi="Arial" w:cs="Arial"/>
                      <w:sz w:val="21"/>
                      <w:szCs w:val="21"/>
                      <w:shd w:val="clear" w:color="auto" w:fill="FFFFFF"/>
                    </w:rPr>
                    <w:t>气体动力</w:t>
                  </w:r>
                </w:p>
              </w:tc>
              <w:tc>
                <w:tcPr>
                  <w:tcW w:w="38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连续</w:t>
                  </w:r>
                </w:p>
              </w:tc>
              <w:tc>
                <w:tcPr>
                  <w:tcW w:w="132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基础减振、车间隔声</w:t>
                  </w:r>
                </w:p>
              </w:tc>
              <w:tc>
                <w:tcPr>
                  <w:tcW w:w="48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70</w:t>
                  </w:r>
                  <w:r>
                    <w:rPr>
                      <w:rFonts w:hint="eastAsia"/>
                      <w:sz w:val="21"/>
                      <w:szCs w:val="21"/>
                    </w:rPr>
                    <w:t>～</w:t>
                  </w:r>
                  <w:r>
                    <w:rPr>
                      <w:sz w:val="21"/>
                      <w:szCs w:val="21"/>
                    </w:rPr>
                    <w:t>75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325"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7</w:t>
                  </w:r>
                </w:p>
              </w:tc>
              <w:tc>
                <w:tcPr>
                  <w:tcW w:w="932"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运输车辆</w:t>
                  </w:r>
                </w:p>
              </w:tc>
              <w:tc>
                <w:tcPr>
                  <w:tcW w:w="31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w:t>
                  </w:r>
                </w:p>
              </w:tc>
              <w:tc>
                <w:tcPr>
                  <w:tcW w:w="544"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70</w:t>
                  </w:r>
                  <w:r>
                    <w:rPr>
                      <w:rFonts w:hint="eastAsia"/>
                      <w:sz w:val="21"/>
                      <w:szCs w:val="21"/>
                    </w:rPr>
                    <w:t>～</w:t>
                  </w:r>
                  <w:r>
                    <w:rPr>
                      <w:sz w:val="21"/>
                      <w:szCs w:val="21"/>
                    </w:rPr>
                    <w:t>80</w:t>
                  </w:r>
                </w:p>
              </w:tc>
              <w:tc>
                <w:tcPr>
                  <w:tcW w:w="69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交通噪声</w:t>
                  </w:r>
                </w:p>
              </w:tc>
              <w:tc>
                <w:tcPr>
                  <w:tcW w:w="38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连续</w:t>
                  </w:r>
                </w:p>
              </w:tc>
              <w:tc>
                <w:tcPr>
                  <w:tcW w:w="132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减速行驶，减少鸣笛</w:t>
                  </w:r>
                </w:p>
              </w:tc>
              <w:tc>
                <w:tcPr>
                  <w:tcW w:w="48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65</w:t>
                  </w:r>
                  <w:r>
                    <w:rPr>
                      <w:rFonts w:hint="eastAsia"/>
                      <w:sz w:val="21"/>
                      <w:szCs w:val="21"/>
                    </w:rPr>
                    <w:t>～</w:t>
                  </w:r>
                  <w:r>
                    <w:rPr>
                      <w:sz w:val="21"/>
                      <w:szCs w:val="21"/>
                    </w:rPr>
                    <w:t>70</w:t>
                  </w:r>
                </w:p>
              </w:tc>
            </w:tr>
            <w:bookmarkEnd w:id="21"/>
          </w:tbl>
          <w:p>
            <w:pPr>
              <w:pStyle w:val="144"/>
              <w:snapToGrid/>
              <w:spacing w:before="0" w:after="0"/>
              <w:ind w:firstLine="480"/>
              <w:rPr>
                <w:rFonts w:hAnsi="宋体"/>
              </w:rPr>
            </w:pPr>
            <w:r>
              <w:rPr>
                <w:rFonts w:hint="eastAsia" w:hAnsi="宋体"/>
              </w:rPr>
              <w:t>（2）声环境影响预测</w:t>
            </w:r>
          </w:p>
          <w:p>
            <w:pPr>
              <w:pStyle w:val="144"/>
              <w:snapToGrid/>
              <w:spacing w:before="0" w:after="0"/>
              <w:ind w:firstLine="480"/>
              <w:rPr>
                <w:rFonts w:hAnsi="宋体"/>
              </w:rPr>
            </w:pPr>
            <w:r>
              <w:rPr>
                <w:rFonts w:hint="eastAsia" w:hAnsi="宋体"/>
              </w:rPr>
              <w:t>本次评价采用《环境影响评价技术导则—声环境》（</w:t>
            </w:r>
            <w:r>
              <w:rPr>
                <w:rFonts w:hAnsi="宋体"/>
              </w:rPr>
              <w:t>HJ/T2.4</w:t>
            </w:r>
            <w:r>
              <w:rPr>
                <w:rFonts w:hint="eastAsia" w:hAnsi="宋体"/>
              </w:rPr>
              <w:t>—</w:t>
            </w:r>
            <w:r>
              <w:rPr>
                <w:rFonts w:hAnsi="宋体"/>
              </w:rPr>
              <w:t>2009</w:t>
            </w:r>
            <w:r>
              <w:rPr>
                <w:rFonts w:hint="eastAsia" w:hAnsi="宋体"/>
              </w:rPr>
              <w:t>）中推荐的工业噪声预测计算模式，具体如下：</w:t>
            </w:r>
          </w:p>
          <w:p>
            <w:pPr>
              <w:pStyle w:val="144"/>
              <w:snapToGrid/>
              <w:spacing w:before="0" w:after="0"/>
              <w:ind w:firstLine="480"/>
              <w:rPr>
                <w:rFonts w:hAnsi="宋体"/>
              </w:rPr>
            </w:pPr>
            <w:r>
              <w:rPr>
                <w:rFonts w:hint="eastAsia" w:hAnsi="宋体"/>
              </w:rPr>
              <w:t>①室外点声源在预测点产生的声级计算公式</w:t>
            </w:r>
          </w:p>
          <w:p>
            <w:pPr>
              <w:pStyle w:val="144"/>
              <w:snapToGrid/>
              <w:spacing w:before="0" w:after="0"/>
              <w:ind w:firstLine="480"/>
              <w:rPr>
                <w:rFonts w:hAnsi="宋体"/>
              </w:rPr>
            </w:pPr>
            <w:r>
              <w:rPr>
                <w:rFonts w:hint="eastAsia" w:hAnsi="宋体"/>
              </w:rPr>
              <w:t>已知声源的倍频带声功率级，预测点位置的倍频带声压级</w:t>
            </w:r>
            <w:r>
              <w:rPr>
                <w:rFonts w:hAnsi="宋体"/>
              </w:rPr>
              <w:t>L</w:t>
            </w:r>
            <w:r>
              <w:rPr>
                <w:rFonts w:hAnsi="宋体"/>
                <w:vertAlign w:val="subscript"/>
              </w:rPr>
              <w:t>p</w:t>
            </w:r>
            <w:r>
              <w:rPr>
                <w:rFonts w:hAnsi="宋体"/>
              </w:rPr>
              <w:t>(r)</w:t>
            </w:r>
            <w:r>
              <w:rPr>
                <w:rFonts w:hint="eastAsia" w:hAnsi="宋体"/>
              </w:rPr>
              <w:t>可按下式计算：</w:t>
            </w:r>
          </w:p>
          <w:p>
            <w:pPr>
              <w:pStyle w:val="144"/>
              <w:snapToGrid/>
              <w:spacing w:before="0" w:after="0"/>
              <w:ind w:firstLine="480"/>
              <w:rPr>
                <w:rFonts w:hAnsi="宋体"/>
              </w:rPr>
            </w:pPr>
            <w:r>
              <w:rPr>
                <w:rFonts w:hAnsi="宋体"/>
              </w:rPr>
              <w:t>L</w:t>
            </w:r>
            <w:r>
              <w:rPr>
                <w:rFonts w:hAnsi="宋体"/>
                <w:vertAlign w:val="subscript"/>
              </w:rPr>
              <w:t>p</w:t>
            </w:r>
            <w:r>
              <w:rPr>
                <w:rFonts w:hAnsi="宋体"/>
              </w:rPr>
              <w:t>(r)= L</w:t>
            </w:r>
            <w:r>
              <w:rPr>
                <w:rFonts w:hAnsi="宋体"/>
                <w:vertAlign w:val="subscript"/>
              </w:rPr>
              <w:t xml:space="preserve">w </w:t>
            </w:r>
            <w:r>
              <w:rPr>
                <w:rFonts w:hAnsi="宋体"/>
              </w:rPr>
              <w:t>+ D</w:t>
            </w:r>
            <w:r>
              <w:rPr>
                <w:rFonts w:hAnsi="宋体"/>
                <w:vertAlign w:val="subscript"/>
              </w:rPr>
              <w:t>c</w:t>
            </w:r>
            <w:r>
              <w:rPr>
                <w:rFonts w:hint="eastAsia" w:hAnsi="宋体"/>
              </w:rPr>
              <w:t>－</w:t>
            </w:r>
            <w:r>
              <w:rPr>
                <w:rFonts w:hAnsi="宋体"/>
              </w:rPr>
              <w:t>(A</w:t>
            </w:r>
            <w:r>
              <w:rPr>
                <w:rFonts w:hAnsi="宋体"/>
                <w:vertAlign w:val="subscript"/>
              </w:rPr>
              <w:t>div</w:t>
            </w:r>
            <w:r>
              <w:rPr>
                <w:rFonts w:hAnsi="宋体"/>
              </w:rPr>
              <w:t>+A</w:t>
            </w:r>
            <w:r>
              <w:rPr>
                <w:rFonts w:hAnsi="宋体"/>
                <w:vertAlign w:val="subscript"/>
              </w:rPr>
              <w:t>atm</w:t>
            </w:r>
            <w:r>
              <w:rPr>
                <w:rFonts w:hAnsi="宋体"/>
              </w:rPr>
              <w:t>+A</w:t>
            </w:r>
            <w:r>
              <w:rPr>
                <w:rFonts w:hAnsi="宋体"/>
                <w:vertAlign w:val="subscript"/>
              </w:rPr>
              <w:t>gr</w:t>
            </w:r>
            <w:r>
              <w:rPr>
                <w:rFonts w:hAnsi="宋体"/>
              </w:rPr>
              <w:t>+A</w:t>
            </w:r>
            <w:r>
              <w:rPr>
                <w:rFonts w:hAnsi="宋体"/>
                <w:vertAlign w:val="subscript"/>
              </w:rPr>
              <w:t>bar</w:t>
            </w:r>
            <w:r>
              <w:rPr>
                <w:rFonts w:hAnsi="宋体"/>
              </w:rPr>
              <w:t>+A</w:t>
            </w:r>
            <w:r>
              <w:rPr>
                <w:rFonts w:hAnsi="宋体"/>
                <w:vertAlign w:val="subscript"/>
              </w:rPr>
              <w:t>misc</w:t>
            </w:r>
            <w:r>
              <w:rPr>
                <w:rFonts w:hAnsi="宋体"/>
              </w:rPr>
              <w:t>)</w:t>
            </w:r>
          </w:p>
          <w:p>
            <w:pPr>
              <w:pStyle w:val="144"/>
              <w:snapToGrid/>
              <w:spacing w:before="0" w:after="0"/>
              <w:ind w:firstLine="480"/>
              <w:rPr>
                <w:rFonts w:hAnsi="宋体"/>
              </w:rPr>
            </w:pPr>
            <w:r>
              <w:rPr>
                <w:rFonts w:hAnsi="宋体"/>
              </w:rPr>
              <w:t>A</w:t>
            </w:r>
            <w:r>
              <w:rPr>
                <w:rFonts w:hAnsi="宋体"/>
                <w:vertAlign w:val="subscript"/>
              </w:rPr>
              <w:t>div</w:t>
            </w:r>
            <w:r>
              <w:rPr>
                <w:rFonts w:hint="eastAsia" w:hAnsi="宋体"/>
              </w:rPr>
              <w:t>——几何发散引起的倍频带衰减，</w:t>
            </w:r>
            <w:r>
              <w:rPr>
                <w:rFonts w:hAnsi="宋体"/>
              </w:rPr>
              <w:t>dB</w:t>
            </w:r>
            <w:r>
              <w:rPr>
                <w:rFonts w:hint="eastAsia" w:hAnsi="宋体"/>
              </w:rPr>
              <w:t>；</w:t>
            </w:r>
          </w:p>
          <w:p>
            <w:pPr>
              <w:pStyle w:val="144"/>
              <w:snapToGrid/>
              <w:spacing w:before="0" w:after="0"/>
              <w:ind w:firstLine="480"/>
              <w:rPr>
                <w:rFonts w:hAnsi="宋体"/>
              </w:rPr>
            </w:pPr>
            <w:r>
              <w:rPr>
                <w:rFonts w:hAnsi="宋体"/>
              </w:rPr>
              <w:t>A</w:t>
            </w:r>
            <w:r>
              <w:rPr>
                <w:rFonts w:hAnsi="宋体"/>
                <w:vertAlign w:val="subscript"/>
              </w:rPr>
              <w:t>atm</w:t>
            </w:r>
            <w:r>
              <w:rPr>
                <w:rFonts w:hint="eastAsia" w:hAnsi="宋体"/>
              </w:rPr>
              <w:t>——大气吸收引起的倍频带衰减，</w:t>
            </w:r>
            <w:r>
              <w:rPr>
                <w:rFonts w:hAnsi="宋体"/>
              </w:rPr>
              <w:t>dB</w:t>
            </w:r>
            <w:r>
              <w:rPr>
                <w:rFonts w:hint="eastAsia" w:hAnsi="宋体"/>
              </w:rPr>
              <w:t>；</w:t>
            </w:r>
          </w:p>
          <w:p>
            <w:pPr>
              <w:pStyle w:val="144"/>
              <w:snapToGrid/>
              <w:spacing w:before="0" w:after="0"/>
              <w:ind w:firstLine="480"/>
              <w:rPr>
                <w:rFonts w:hAnsi="宋体"/>
              </w:rPr>
            </w:pPr>
            <w:r>
              <w:rPr>
                <w:rFonts w:hAnsi="宋体"/>
              </w:rPr>
              <w:t>A</w:t>
            </w:r>
            <w:r>
              <w:rPr>
                <w:rFonts w:hAnsi="宋体"/>
                <w:vertAlign w:val="subscript"/>
              </w:rPr>
              <w:t>g</w:t>
            </w:r>
            <w:r>
              <w:rPr>
                <w:rFonts w:hint="eastAsia" w:hAnsi="宋体"/>
              </w:rPr>
              <w:t>——地面效应引起的倍频带衰减，</w:t>
            </w:r>
            <w:r>
              <w:rPr>
                <w:rFonts w:hAnsi="宋体"/>
              </w:rPr>
              <w:t>dB</w:t>
            </w:r>
            <w:r>
              <w:rPr>
                <w:rFonts w:hint="eastAsia" w:hAnsi="宋体"/>
              </w:rPr>
              <w:t>；</w:t>
            </w:r>
          </w:p>
          <w:p>
            <w:pPr>
              <w:pStyle w:val="144"/>
              <w:snapToGrid/>
              <w:spacing w:before="0" w:after="0"/>
              <w:ind w:firstLine="480"/>
              <w:rPr>
                <w:rFonts w:hAnsi="宋体"/>
              </w:rPr>
            </w:pPr>
            <w:r>
              <w:rPr>
                <w:rFonts w:hAnsi="宋体"/>
              </w:rPr>
              <w:t>A</w:t>
            </w:r>
            <w:r>
              <w:rPr>
                <w:rFonts w:hAnsi="宋体"/>
                <w:vertAlign w:val="subscript"/>
              </w:rPr>
              <w:t>bar</w:t>
            </w:r>
            <w:r>
              <w:rPr>
                <w:rFonts w:hint="eastAsia" w:hAnsi="宋体"/>
              </w:rPr>
              <w:t>——声屏障引起的倍频带衰减，</w:t>
            </w:r>
            <w:r>
              <w:rPr>
                <w:rFonts w:hAnsi="宋体"/>
              </w:rPr>
              <w:t>dB</w:t>
            </w:r>
            <w:r>
              <w:rPr>
                <w:rFonts w:hint="eastAsia" w:hAnsi="宋体"/>
              </w:rPr>
              <w:t>；</w:t>
            </w:r>
          </w:p>
          <w:p>
            <w:pPr>
              <w:pStyle w:val="144"/>
              <w:snapToGrid/>
              <w:spacing w:before="0" w:after="0"/>
              <w:ind w:firstLine="480"/>
              <w:rPr>
                <w:rFonts w:hAnsi="宋体"/>
              </w:rPr>
            </w:pPr>
            <w:r>
              <w:rPr>
                <w:rFonts w:hAnsi="宋体"/>
              </w:rPr>
              <w:t>A</w:t>
            </w:r>
            <w:r>
              <w:rPr>
                <w:rFonts w:hAnsi="宋体"/>
                <w:vertAlign w:val="subscript"/>
              </w:rPr>
              <w:t>misc</w:t>
            </w:r>
            <w:r>
              <w:rPr>
                <w:rFonts w:hint="eastAsia" w:hAnsi="宋体"/>
              </w:rPr>
              <w:t>——其他多方面效应引起的倍频带衰减，</w:t>
            </w:r>
            <w:r>
              <w:rPr>
                <w:rFonts w:hAnsi="宋体"/>
              </w:rPr>
              <w:t>dB</w:t>
            </w:r>
            <w:r>
              <w:rPr>
                <w:rFonts w:hint="eastAsia" w:hAnsi="宋体"/>
              </w:rPr>
              <w:t>；</w:t>
            </w:r>
          </w:p>
          <w:p>
            <w:pPr>
              <w:pStyle w:val="144"/>
              <w:snapToGrid/>
              <w:spacing w:before="0" w:after="0"/>
              <w:ind w:firstLine="480"/>
              <w:rPr>
                <w:rFonts w:hAnsi="宋体"/>
              </w:rPr>
            </w:pPr>
            <w:r>
              <w:rPr>
                <w:rFonts w:hint="eastAsia" w:hAnsi="宋体"/>
              </w:rPr>
              <w:t>预测点的</w:t>
            </w:r>
            <w:r>
              <w:rPr>
                <w:rFonts w:hAnsi="宋体"/>
              </w:rPr>
              <w:t>A</w:t>
            </w:r>
            <w:r>
              <w:rPr>
                <w:rFonts w:hint="eastAsia" w:hAnsi="宋体"/>
              </w:rPr>
              <w:t>声级</w:t>
            </w:r>
            <w:r>
              <w:rPr>
                <w:rFonts w:hAnsi="宋体"/>
              </w:rPr>
              <w:t>L</w:t>
            </w:r>
            <w:r>
              <w:rPr>
                <w:rFonts w:hAnsi="宋体"/>
                <w:vertAlign w:val="subscript"/>
              </w:rPr>
              <w:t>A</w:t>
            </w:r>
            <w:r>
              <w:rPr>
                <w:rFonts w:hAnsi="宋体"/>
              </w:rPr>
              <w:t>(r)</w:t>
            </w:r>
            <w:r>
              <w:rPr>
                <w:rFonts w:hint="eastAsia" w:hAnsi="宋体"/>
              </w:rPr>
              <w:t>可利用</w:t>
            </w:r>
            <w:r>
              <w:rPr>
                <w:rFonts w:hAnsi="宋体"/>
              </w:rPr>
              <w:t>8</w:t>
            </w:r>
            <w:r>
              <w:rPr>
                <w:rFonts w:hint="eastAsia" w:hAnsi="宋体"/>
              </w:rPr>
              <w:t>个倍频带的声压级按下式计算：</w:t>
            </w:r>
          </w:p>
          <w:p>
            <w:pPr>
              <w:pStyle w:val="144"/>
              <w:snapToGrid/>
              <w:spacing w:before="0" w:after="0"/>
              <w:ind w:firstLine="480"/>
              <w:rPr>
                <w:rFonts w:hAnsi="宋体"/>
              </w:rPr>
            </w:pPr>
            <w:r>
              <w:rPr>
                <w:rFonts w:hAnsi="宋体"/>
              </w:rPr>
              <w:t>L</w:t>
            </w:r>
            <w:r>
              <w:rPr>
                <w:rFonts w:hAnsi="宋体"/>
                <w:vertAlign w:val="subscript"/>
              </w:rPr>
              <w:t>A</w:t>
            </w:r>
            <w:r>
              <w:rPr>
                <w:rFonts w:hAnsi="宋体"/>
              </w:rPr>
              <w:t>(r)=10lg</w:t>
            </w:r>
            <w:r>
              <w:rPr>
                <w:rFonts w:hint="eastAsia" w:hAnsi="宋体"/>
              </w:rPr>
              <w:t>（∑</w:t>
            </w:r>
            <w:r>
              <w:rPr>
                <w:rFonts w:hAnsi="宋体"/>
              </w:rPr>
              <w:t>10</w:t>
            </w:r>
            <w:r>
              <w:rPr>
                <w:rFonts w:hAnsi="宋体"/>
                <w:vertAlign w:val="superscript"/>
              </w:rPr>
              <w:t>0.1Lpi(r)-</w:t>
            </w:r>
            <w:r>
              <w:rPr>
                <w:rFonts w:hAnsi="宋体"/>
              </w:rPr>
              <w:t xml:space="preserve"> </w:t>
            </w:r>
            <w:r>
              <w:rPr>
                <w:rFonts w:hint="eastAsia" w:ascii="MS Mincho" w:hAnsi="MS Mincho" w:eastAsia="MS Mincho" w:cs="MS Mincho"/>
                <w:vertAlign w:val="superscript"/>
              </w:rPr>
              <w:t>∆</w:t>
            </w:r>
            <w:r>
              <w:rPr>
                <w:rFonts w:hAnsi="宋体"/>
                <w:vertAlign w:val="superscript"/>
              </w:rPr>
              <w:t>Li</w:t>
            </w:r>
            <w:r>
              <w:rPr>
                <w:rFonts w:hint="eastAsia" w:hAnsi="宋体"/>
              </w:rPr>
              <w:t>）</w:t>
            </w:r>
          </w:p>
          <w:p>
            <w:pPr>
              <w:pStyle w:val="144"/>
              <w:snapToGrid/>
              <w:spacing w:before="0" w:after="0"/>
              <w:ind w:firstLine="480"/>
              <w:rPr>
                <w:rFonts w:hAnsi="宋体"/>
              </w:rPr>
            </w:pPr>
            <w:r>
              <w:rPr>
                <w:rFonts w:hint="eastAsia" w:hAnsi="宋体"/>
              </w:rPr>
              <w:t>③噪声贡献值计算</w:t>
            </w:r>
          </w:p>
          <w:p>
            <w:pPr>
              <w:pStyle w:val="144"/>
              <w:snapToGrid/>
              <w:spacing w:before="0" w:after="0"/>
              <w:ind w:firstLine="480"/>
              <w:rPr>
                <w:rFonts w:hAnsi="宋体"/>
              </w:rPr>
            </w:pPr>
            <w:r>
              <w:rPr>
                <w:rFonts w:hint="eastAsia" w:hAnsi="宋体"/>
              </w:rPr>
              <w:t>设第</w:t>
            </w:r>
            <w:r>
              <w:rPr>
                <w:rFonts w:hAnsi="宋体"/>
              </w:rPr>
              <w:t>i</w:t>
            </w:r>
            <w:r>
              <w:rPr>
                <w:rFonts w:hint="eastAsia" w:hAnsi="宋体"/>
              </w:rPr>
              <w:t>个室外声源在预测点产生的</w:t>
            </w:r>
            <w:r>
              <w:rPr>
                <w:rFonts w:hAnsi="宋体"/>
              </w:rPr>
              <w:t>A</w:t>
            </w:r>
            <w:r>
              <w:rPr>
                <w:rFonts w:hint="eastAsia" w:hAnsi="宋体"/>
              </w:rPr>
              <w:t>声级为</w:t>
            </w:r>
            <w:r>
              <w:rPr>
                <w:rFonts w:hAnsi="宋体"/>
              </w:rPr>
              <w:t>L</w:t>
            </w:r>
            <w:r>
              <w:rPr>
                <w:rFonts w:hAnsi="宋体"/>
                <w:vertAlign w:val="subscript"/>
              </w:rPr>
              <w:t>Ai</w:t>
            </w:r>
            <w:r>
              <w:rPr>
                <w:rFonts w:hint="eastAsia" w:hAnsi="宋体"/>
              </w:rPr>
              <w:t>，在</w:t>
            </w:r>
            <w:r>
              <w:rPr>
                <w:rFonts w:hAnsi="宋体"/>
              </w:rPr>
              <w:t>T</w:t>
            </w:r>
            <w:r>
              <w:rPr>
                <w:rFonts w:hint="eastAsia" w:hAnsi="宋体"/>
              </w:rPr>
              <w:t>时间内该声源工作时间为</w:t>
            </w:r>
            <w:r>
              <w:rPr>
                <w:rFonts w:hAnsi="宋体"/>
              </w:rPr>
              <w:t>t</w:t>
            </w:r>
            <w:r>
              <w:rPr>
                <w:rFonts w:hAnsi="宋体"/>
                <w:vertAlign w:val="subscript"/>
              </w:rPr>
              <w:t>i</w:t>
            </w:r>
            <w:r>
              <w:rPr>
                <w:rFonts w:hint="eastAsia" w:hAnsi="宋体"/>
              </w:rPr>
              <w:t>；第</w:t>
            </w:r>
            <w:r>
              <w:rPr>
                <w:rFonts w:hAnsi="宋体"/>
              </w:rPr>
              <w:t>j</w:t>
            </w:r>
            <w:r>
              <w:rPr>
                <w:rFonts w:hint="eastAsia" w:hAnsi="宋体"/>
              </w:rPr>
              <w:t>个等效室外声源在预测点产生的</w:t>
            </w:r>
            <w:r>
              <w:rPr>
                <w:rFonts w:hAnsi="宋体"/>
              </w:rPr>
              <w:t>A</w:t>
            </w:r>
            <w:r>
              <w:rPr>
                <w:rFonts w:hint="eastAsia" w:hAnsi="宋体"/>
              </w:rPr>
              <w:t>声级为</w:t>
            </w:r>
            <w:r>
              <w:rPr>
                <w:rFonts w:hAnsi="宋体"/>
              </w:rPr>
              <w:t>L</w:t>
            </w:r>
            <w:r>
              <w:rPr>
                <w:rFonts w:hAnsi="宋体"/>
                <w:vertAlign w:val="subscript"/>
              </w:rPr>
              <w:t>Aj</w:t>
            </w:r>
            <w:r>
              <w:rPr>
                <w:rFonts w:hint="eastAsia" w:hAnsi="宋体"/>
              </w:rPr>
              <w:t>，在</w:t>
            </w:r>
            <w:r>
              <w:rPr>
                <w:rFonts w:hAnsi="宋体"/>
              </w:rPr>
              <w:t>T</w:t>
            </w:r>
            <w:r>
              <w:rPr>
                <w:rFonts w:hint="eastAsia" w:hAnsi="宋体"/>
              </w:rPr>
              <w:t>时间内该声源工作时间为</w:t>
            </w:r>
            <w:r>
              <w:rPr>
                <w:rFonts w:hAnsi="宋体"/>
              </w:rPr>
              <w:t>t</w:t>
            </w:r>
            <w:r>
              <w:rPr>
                <w:rFonts w:hAnsi="宋体"/>
                <w:vertAlign w:val="subscript"/>
              </w:rPr>
              <w:t>j</w:t>
            </w:r>
            <w:r>
              <w:rPr>
                <w:rFonts w:hint="eastAsia" w:hAnsi="宋体"/>
              </w:rPr>
              <w:t>，则拟建工程声源对预测点产生的贡献值（</w:t>
            </w:r>
            <w:r>
              <w:rPr>
                <w:rFonts w:hAnsi="宋体"/>
              </w:rPr>
              <w:t>L</w:t>
            </w:r>
            <w:r>
              <w:rPr>
                <w:rFonts w:hAnsi="宋体"/>
                <w:vertAlign w:val="subscript"/>
              </w:rPr>
              <w:t>eqg</w:t>
            </w:r>
            <w:r>
              <w:rPr>
                <w:rFonts w:hint="eastAsia" w:hAnsi="宋体"/>
              </w:rPr>
              <w:t>）为：</w:t>
            </w:r>
          </w:p>
          <w:p>
            <w:pPr>
              <w:pStyle w:val="144"/>
              <w:snapToGrid/>
              <w:spacing w:before="0" w:after="0"/>
              <w:ind w:firstLine="480"/>
              <w:rPr>
                <w:rFonts w:hAnsi="宋体"/>
              </w:rPr>
            </w:pPr>
            <w:r>
              <w:rPr>
                <w:rFonts w:hAnsi="宋体"/>
              </w:rPr>
              <w:t>L</w:t>
            </w:r>
            <w:r>
              <w:rPr>
                <w:rFonts w:hAnsi="宋体"/>
                <w:vertAlign w:val="subscript"/>
              </w:rPr>
              <w:t>eqg</w:t>
            </w:r>
            <w:r>
              <w:rPr>
                <w:rFonts w:hAnsi="宋体"/>
              </w:rPr>
              <w:t>=10lg[1/T</w:t>
            </w:r>
            <w:r>
              <w:rPr>
                <w:rFonts w:hint="eastAsia" w:hAnsi="宋体"/>
              </w:rPr>
              <w:t>（∑</w:t>
            </w:r>
            <w:r>
              <w:rPr>
                <w:rFonts w:hAnsi="宋体"/>
              </w:rPr>
              <w:t>t</w:t>
            </w:r>
            <w:r>
              <w:rPr>
                <w:rFonts w:hAnsi="宋体"/>
                <w:vertAlign w:val="subscript"/>
              </w:rPr>
              <w:t>i</w:t>
            </w:r>
            <w:r>
              <w:rPr>
                <w:rFonts w:hAnsi="宋体"/>
              </w:rPr>
              <w:t>10</w:t>
            </w:r>
            <w:r>
              <w:rPr>
                <w:rFonts w:hAnsi="宋体"/>
                <w:vertAlign w:val="superscript"/>
              </w:rPr>
              <w:t>0.1LAi</w:t>
            </w:r>
            <w:r>
              <w:rPr>
                <w:rFonts w:hAnsi="宋体"/>
              </w:rPr>
              <w:t>+</w:t>
            </w:r>
            <w:r>
              <w:rPr>
                <w:rFonts w:hint="eastAsia" w:hAnsi="宋体"/>
              </w:rPr>
              <w:t>∑</w:t>
            </w:r>
            <w:r>
              <w:rPr>
                <w:rFonts w:hAnsi="宋体"/>
              </w:rPr>
              <w:t>t</w:t>
            </w:r>
            <w:r>
              <w:rPr>
                <w:rFonts w:hAnsi="宋体"/>
                <w:vertAlign w:val="subscript"/>
              </w:rPr>
              <w:t>j</w:t>
            </w:r>
            <w:r>
              <w:rPr>
                <w:rFonts w:hAnsi="宋体"/>
              </w:rPr>
              <w:t>10</w:t>
            </w:r>
            <w:r>
              <w:rPr>
                <w:rFonts w:hAnsi="宋体"/>
                <w:vertAlign w:val="superscript"/>
              </w:rPr>
              <w:t>0.1LAj</w:t>
            </w:r>
            <w:r>
              <w:rPr>
                <w:rFonts w:hint="eastAsia" w:hAnsi="宋体"/>
              </w:rPr>
              <w:t>）</w:t>
            </w:r>
            <w:r>
              <w:rPr>
                <w:rFonts w:hAnsi="宋体"/>
              </w:rPr>
              <w:t>]</w:t>
            </w:r>
          </w:p>
          <w:p>
            <w:pPr>
              <w:pStyle w:val="144"/>
              <w:snapToGrid/>
              <w:spacing w:before="0" w:after="0"/>
              <w:ind w:firstLine="480"/>
              <w:rPr>
                <w:rFonts w:hAnsi="宋体"/>
              </w:rPr>
            </w:pPr>
            <w:r>
              <w:rPr>
                <w:rFonts w:hint="eastAsia" w:hAnsi="宋体"/>
              </w:rPr>
              <w:t>式中：</w:t>
            </w:r>
            <w:r>
              <w:rPr>
                <w:rFonts w:hAnsi="宋体"/>
              </w:rPr>
              <w:t>t</w:t>
            </w:r>
            <w:r>
              <w:rPr>
                <w:rFonts w:hAnsi="宋体"/>
                <w:vertAlign w:val="subscript"/>
              </w:rPr>
              <w:t>j</w:t>
            </w:r>
            <w:r>
              <w:rPr>
                <w:rFonts w:hint="eastAsia" w:hAnsi="宋体"/>
              </w:rPr>
              <w:t>——在</w:t>
            </w:r>
            <w:r>
              <w:rPr>
                <w:rFonts w:hAnsi="宋体"/>
              </w:rPr>
              <w:t>T</w:t>
            </w:r>
            <w:r>
              <w:rPr>
                <w:rFonts w:hint="eastAsia" w:hAnsi="宋体"/>
              </w:rPr>
              <w:t>时间内</w:t>
            </w:r>
            <w:r>
              <w:rPr>
                <w:rFonts w:hAnsi="宋体"/>
              </w:rPr>
              <w:t>j</w:t>
            </w:r>
            <w:r>
              <w:rPr>
                <w:rFonts w:hint="eastAsia" w:hAnsi="宋体"/>
              </w:rPr>
              <w:t>声源工作时间，</w:t>
            </w:r>
            <w:r>
              <w:rPr>
                <w:rFonts w:hAnsi="宋体"/>
              </w:rPr>
              <w:t>s</w:t>
            </w:r>
            <w:r>
              <w:rPr>
                <w:rFonts w:hint="eastAsia" w:hAnsi="宋体"/>
              </w:rPr>
              <w:t>；</w:t>
            </w:r>
          </w:p>
          <w:p>
            <w:pPr>
              <w:pStyle w:val="144"/>
              <w:snapToGrid/>
              <w:spacing w:before="0" w:after="0"/>
              <w:ind w:firstLine="480"/>
              <w:rPr>
                <w:rFonts w:hAnsi="宋体"/>
              </w:rPr>
            </w:pPr>
            <w:r>
              <w:rPr>
                <w:rFonts w:hAnsi="宋体"/>
              </w:rPr>
              <w:t xml:space="preserve">      t</w:t>
            </w:r>
            <w:r>
              <w:rPr>
                <w:rFonts w:hAnsi="宋体"/>
                <w:vertAlign w:val="subscript"/>
              </w:rPr>
              <w:t>i</w:t>
            </w:r>
            <w:r>
              <w:rPr>
                <w:rFonts w:hint="eastAsia" w:hAnsi="宋体"/>
              </w:rPr>
              <w:t>——在</w:t>
            </w:r>
            <w:r>
              <w:rPr>
                <w:rFonts w:hAnsi="宋体"/>
              </w:rPr>
              <w:t>T</w:t>
            </w:r>
            <w:r>
              <w:rPr>
                <w:rFonts w:hint="eastAsia" w:hAnsi="宋体"/>
              </w:rPr>
              <w:t>时间内</w:t>
            </w:r>
            <w:r>
              <w:rPr>
                <w:rFonts w:hAnsi="宋体"/>
              </w:rPr>
              <w:t>i</w:t>
            </w:r>
            <w:r>
              <w:rPr>
                <w:rFonts w:hint="eastAsia" w:hAnsi="宋体"/>
              </w:rPr>
              <w:t>声源工作时间，</w:t>
            </w:r>
            <w:r>
              <w:rPr>
                <w:rFonts w:hAnsi="宋体"/>
              </w:rPr>
              <w:t>s</w:t>
            </w:r>
            <w:r>
              <w:rPr>
                <w:rFonts w:hint="eastAsia" w:hAnsi="宋体"/>
              </w:rPr>
              <w:t>；</w:t>
            </w:r>
          </w:p>
          <w:p>
            <w:pPr>
              <w:pStyle w:val="144"/>
              <w:snapToGrid/>
              <w:spacing w:before="0" w:after="0"/>
              <w:ind w:firstLine="480"/>
              <w:rPr>
                <w:rFonts w:hAnsi="宋体"/>
              </w:rPr>
            </w:pPr>
            <w:r>
              <w:rPr>
                <w:rFonts w:hAnsi="宋体"/>
              </w:rPr>
              <w:t xml:space="preserve">      T</w:t>
            </w:r>
            <w:r>
              <w:rPr>
                <w:rFonts w:hint="eastAsia" w:hAnsi="宋体"/>
              </w:rPr>
              <w:t>——用于计算等效声级的时间，</w:t>
            </w:r>
            <w:r>
              <w:rPr>
                <w:rFonts w:hAnsi="宋体"/>
              </w:rPr>
              <w:t>s</w:t>
            </w:r>
            <w:r>
              <w:rPr>
                <w:rFonts w:hint="eastAsia" w:hAnsi="宋体"/>
              </w:rPr>
              <w:t>；</w:t>
            </w:r>
          </w:p>
          <w:p>
            <w:pPr>
              <w:pStyle w:val="144"/>
              <w:snapToGrid/>
              <w:spacing w:before="0" w:after="0"/>
              <w:ind w:firstLine="480"/>
              <w:rPr>
                <w:rFonts w:hAnsi="宋体"/>
              </w:rPr>
            </w:pPr>
            <w:r>
              <w:rPr>
                <w:rFonts w:hAnsi="宋体"/>
              </w:rPr>
              <w:t xml:space="preserve">      N</w:t>
            </w:r>
            <w:r>
              <w:rPr>
                <w:rFonts w:hint="eastAsia" w:hAnsi="宋体"/>
              </w:rPr>
              <w:t>——室外声源个数；</w:t>
            </w:r>
          </w:p>
          <w:p>
            <w:pPr>
              <w:pStyle w:val="144"/>
              <w:snapToGrid/>
              <w:spacing w:before="0" w:after="0"/>
              <w:ind w:firstLine="480"/>
              <w:rPr>
                <w:rFonts w:hAnsi="宋体"/>
              </w:rPr>
            </w:pPr>
            <w:r>
              <w:rPr>
                <w:rFonts w:hAnsi="宋体"/>
              </w:rPr>
              <w:t xml:space="preserve">      M</w:t>
            </w:r>
            <w:r>
              <w:rPr>
                <w:rFonts w:hint="eastAsia" w:hAnsi="宋体"/>
              </w:rPr>
              <w:t>——等效室外声源个数。</w:t>
            </w:r>
          </w:p>
          <w:p>
            <w:pPr>
              <w:pStyle w:val="144"/>
              <w:snapToGrid/>
              <w:spacing w:before="0" w:after="0"/>
              <w:ind w:firstLine="480"/>
              <w:rPr>
                <w:rFonts w:hAnsi="宋体"/>
              </w:rPr>
            </w:pPr>
            <w:r>
              <w:rPr>
                <w:rFonts w:hint="eastAsia" w:hAnsi="宋体"/>
              </w:rPr>
              <w:t>根据本项目工程噪声源的分布，对厂区四周边界噪声排放量进行了预测计算，预测结果见下表：</w:t>
            </w:r>
          </w:p>
          <w:p>
            <w:pPr>
              <w:pStyle w:val="144"/>
              <w:snapToGrid/>
              <w:spacing w:before="0" w:after="0"/>
              <w:ind w:firstLine="480"/>
              <w:rPr>
                <w:rFonts w:hAnsi="宋体"/>
              </w:rPr>
            </w:pPr>
            <w:r>
              <w:rPr>
                <w:rFonts w:hint="eastAsia" w:hAnsi="宋体"/>
              </w:rPr>
              <w:t>④预测点的预测等效声级计算公式</w:t>
            </w:r>
          </w:p>
          <w:p>
            <w:pPr>
              <w:pStyle w:val="144"/>
              <w:snapToGrid/>
              <w:spacing w:before="0" w:after="0" w:line="240" w:lineRule="auto"/>
              <w:ind w:firstLine="480"/>
              <w:rPr>
                <w:rFonts w:hAnsi="宋体"/>
              </w:rPr>
            </w:pPr>
            <w:r>
              <w:rPr>
                <w:rFonts w:hAnsi="宋体"/>
              </w:rPr>
              <w:object>
                <v:shape id="_x0000_i1047" o:spt="75" type="#_x0000_t75" style="height:28.5pt;width:158.25pt;" o:ole="t" filled="f" o:preferrelative="t" stroked="f" coordsize="21600,21600">
                  <v:path/>
                  <v:fill on="f" focussize="0,0"/>
                  <v:stroke on="f" joinstyle="miter"/>
                  <v:imagedata r:id="rId62" o:title=""/>
                  <o:lock v:ext="edit" aspectratio="t"/>
                  <w10:wrap type="none"/>
                  <w10:anchorlock/>
                </v:shape>
                <o:OLEObject Type="Embed" ProgID="Equation.DSMT4" ShapeID="_x0000_i1047" DrawAspect="Content" ObjectID="_1468075747" r:id="rId61">
                  <o:LockedField>false</o:LockedField>
                </o:OLEObject>
              </w:object>
            </w:r>
          </w:p>
          <w:p>
            <w:pPr>
              <w:pStyle w:val="144"/>
              <w:snapToGrid/>
              <w:spacing w:before="0" w:after="0"/>
              <w:ind w:firstLine="480"/>
              <w:rPr>
                <w:rFonts w:hAnsi="宋体"/>
              </w:rPr>
            </w:pPr>
            <w:r>
              <w:rPr>
                <w:rFonts w:hint="eastAsia" w:hAnsi="宋体"/>
              </w:rPr>
              <w:t>式中：</w:t>
            </w:r>
            <w:r>
              <w:rPr>
                <w:rFonts w:hAnsi="宋体"/>
              </w:rPr>
              <w:t>L</w:t>
            </w:r>
            <w:r>
              <w:rPr>
                <w:rFonts w:hAnsi="宋体"/>
                <w:vertAlign w:val="subscript"/>
              </w:rPr>
              <w:t>eqg</w:t>
            </w:r>
            <w:r>
              <w:rPr>
                <w:rFonts w:hint="eastAsia" w:hAnsi="宋体"/>
              </w:rPr>
              <w:t>——建设项目声源在预测点的等效声级贡献值，</w:t>
            </w:r>
            <w:r>
              <w:rPr>
                <w:rFonts w:hAnsi="宋体"/>
              </w:rPr>
              <w:t>dB</w:t>
            </w:r>
            <w:r>
              <w:rPr>
                <w:rFonts w:hint="eastAsia" w:hAnsi="宋体"/>
              </w:rPr>
              <w:t>（</w:t>
            </w:r>
            <w:r>
              <w:rPr>
                <w:rFonts w:hAnsi="宋体"/>
              </w:rPr>
              <w:t>A</w:t>
            </w:r>
            <w:r>
              <w:rPr>
                <w:rFonts w:hint="eastAsia" w:hAnsi="宋体"/>
              </w:rPr>
              <w:t>）；</w:t>
            </w:r>
          </w:p>
          <w:p>
            <w:pPr>
              <w:pStyle w:val="144"/>
              <w:snapToGrid/>
              <w:spacing w:before="0" w:after="0"/>
              <w:ind w:firstLine="480"/>
              <w:rPr>
                <w:rFonts w:hAnsi="宋体"/>
              </w:rPr>
            </w:pPr>
            <w:r>
              <w:rPr>
                <w:rFonts w:hAnsi="宋体"/>
              </w:rPr>
              <w:t xml:space="preserve">      L</w:t>
            </w:r>
            <w:r>
              <w:rPr>
                <w:rFonts w:hAnsi="宋体"/>
                <w:vertAlign w:val="subscript"/>
              </w:rPr>
              <w:t>eqb</w:t>
            </w:r>
            <w:r>
              <w:rPr>
                <w:rFonts w:hint="eastAsia" w:hAnsi="宋体"/>
              </w:rPr>
              <w:t>——预测点的背景值，</w:t>
            </w:r>
            <w:r>
              <w:rPr>
                <w:rFonts w:hAnsi="宋体"/>
              </w:rPr>
              <w:t>dB</w:t>
            </w:r>
            <w:r>
              <w:rPr>
                <w:rFonts w:hint="eastAsia" w:hAnsi="宋体"/>
              </w:rPr>
              <w:t>（</w:t>
            </w:r>
            <w:r>
              <w:rPr>
                <w:rFonts w:hAnsi="宋体"/>
              </w:rPr>
              <w:t>A</w:t>
            </w:r>
            <w:r>
              <w:rPr>
                <w:rFonts w:hint="eastAsia" w:hAnsi="宋体"/>
              </w:rPr>
              <w:t>）</w:t>
            </w:r>
          </w:p>
          <w:p>
            <w:pPr>
              <w:pStyle w:val="144"/>
              <w:snapToGrid/>
              <w:spacing w:before="0" w:after="0"/>
              <w:ind w:firstLine="480"/>
              <w:rPr>
                <w:rFonts w:hAnsi="宋体"/>
              </w:rPr>
            </w:pPr>
            <w:r>
              <w:rPr>
                <w:rFonts w:hint="eastAsia" w:hAnsi="宋体"/>
              </w:rPr>
              <w:t>⑤预测结果</w:t>
            </w:r>
          </w:p>
          <w:p>
            <w:pPr>
              <w:pStyle w:val="144"/>
              <w:snapToGrid/>
              <w:spacing w:before="0" w:after="0"/>
              <w:ind w:firstLine="480"/>
              <w:rPr>
                <w:rFonts w:hAnsi="宋体"/>
              </w:rPr>
            </w:pPr>
            <w:r>
              <w:rPr>
                <w:rFonts w:hint="eastAsia" w:hAnsi="宋体"/>
              </w:rPr>
              <w:t>根据本工程投产后厂内主要噪声源的位置、声功率级值以及所采取的噪声防治措施，结合噪声现状情况，按上述噪声衰减模式对评价区域内噪声源对厂界及噪声影响关心点的影响进行预测。各预测受声点的噪声预测值为该预测受声点的新增噪声值的声能量。</w:t>
            </w:r>
          </w:p>
          <w:p>
            <w:pPr>
              <w:pStyle w:val="144"/>
              <w:snapToGrid/>
              <w:spacing w:before="0" w:after="0"/>
              <w:ind w:firstLine="480"/>
              <w:rPr>
                <w:rFonts w:hAnsi="宋体"/>
              </w:rPr>
            </w:pPr>
            <w:r>
              <w:rPr>
                <w:rFonts w:hint="eastAsia" w:hAnsi="宋体"/>
              </w:rPr>
              <w:t>由此计算出工程实施后各噪声预测点的噪声预测值见表</w:t>
            </w:r>
            <w:r>
              <w:rPr>
                <w:rFonts w:hAnsi="宋体"/>
              </w:rPr>
              <w:t>46</w:t>
            </w:r>
            <w:r>
              <w:rPr>
                <w:rFonts w:hint="eastAsia" w:hAnsi="宋体"/>
              </w:rPr>
              <w:t>，噪声贡献等值线图见图</w:t>
            </w:r>
            <w:r>
              <w:rPr>
                <w:rFonts w:hAnsi="宋体"/>
              </w:rPr>
              <w:t>8</w:t>
            </w:r>
            <w:r>
              <w:rPr>
                <w:rFonts w:hint="eastAsia" w:hAnsi="宋体"/>
              </w:rPr>
              <w:t>。</w:t>
            </w:r>
          </w:p>
          <w:p>
            <w:pPr>
              <w:pStyle w:val="144"/>
              <w:snapToGrid/>
              <w:spacing w:before="0" w:after="0"/>
              <w:ind w:firstLine="0" w:firstLineChars="0"/>
              <w:jc w:val="center"/>
              <w:rPr>
                <w:rFonts w:ascii="黑体" w:hAnsi="黑体" w:eastAsia="黑体"/>
                <w:bCs/>
              </w:rPr>
            </w:pPr>
            <w:r>
              <w:rPr>
                <w:rFonts w:hint="eastAsia" w:ascii="黑体" w:hAnsi="黑体" w:eastAsia="黑体"/>
                <w:bCs/>
              </w:rPr>
              <w:t>表</w:t>
            </w:r>
            <w:r>
              <w:rPr>
                <w:rFonts w:ascii="黑体" w:hAnsi="黑体" w:eastAsia="黑体"/>
                <w:bCs/>
              </w:rPr>
              <w:t>50</w:t>
            </w:r>
            <w:r>
              <w:rPr>
                <w:rFonts w:hint="eastAsia" w:ascii="黑体" w:hAnsi="黑体" w:eastAsia="黑体"/>
                <w:bCs/>
              </w:rPr>
              <w:t xml:space="preserve"> </w:t>
            </w:r>
            <w:r>
              <w:rPr>
                <w:rFonts w:ascii="黑体" w:hAnsi="黑体" w:eastAsia="黑体"/>
                <w:bCs/>
              </w:rPr>
              <w:t xml:space="preserve"> </w:t>
            </w:r>
            <w:r>
              <w:rPr>
                <w:rFonts w:hint="eastAsia" w:ascii="黑体" w:hAnsi="黑体" w:eastAsia="黑体"/>
                <w:bCs/>
              </w:rPr>
              <w:t>项目噪声预测结果</w:t>
            </w:r>
            <w:r>
              <w:rPr>
                <w:rFonts w:ascii="黑体" w:hAnsi="黑体" w:eastAsia="黑体"/>
                <w:bCs/>
              </w:rPr>
              <w:t xml:space="preserve">  dB</w:t>
            </w:r>
            <w:r>
              <w:rPr>
                <w:rFonts w:hint="eastAsia" w:ascii="黑体" w:hAnsi="黑体" w:eastAsia="黑体"/>
                <w:bCs/>
              </w:rPr>
              <w:t>（</w:t>
            </w:r>
            <w:r>
              <w:rPr>
                <w:rFonts w:ascii="黑体" w:hAnsi="黑体" w:eastAsia="黑体"/>
                <w:bCs/>
              </w:rPr>
              <w:t>A</w:t>
            </w:r>
            <w:r>
              <w:rPr>
                <w:rFonts w:hint="eastAsia" w:ascii="黑体" w:hAnsi="黑体" w:eastAsia="黑体"/>
                <w:bCs/>
              </w:rPr>
              <w:t>）</w:t>
            </w:r>
          </w:p>
          <w:tbl>
            <w:tblPr>
              <w:tblStyle w:val="70"/>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300"/>
              <w:gridCol w:w="2158"/>
              <w:gridCol w:w="1730"/>
              <w:gridCol w:w="1730"/>
              <w:gridCol w:w="2149"/>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40" w:hRule="atLeast"/>
              </w:trPr>
              <w:tc>
                <w:tcPr>
                  <w:tcW w:w="717"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时间</w:t>
                  </w:r>
                </w:p>
              </w:tc>
              <w:tc>
                <w:tcPr>
                  <w:tcW w:w="1190"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预测点位</w:t>
                  </w:r>
                </w:p>
              </w:tc>
              <w:tc>
                <w:tcPr>
                  <w:tcW w:w="954" w:type="pct"/>
                  <w:tcBorders>
                    <w:top w:val="single" w:color="auto" w:sz="2" w:space="0"/>
                    <w:left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贡献值</w:t>
                  </w:r>
                </w:p>
              </w:tc>
              <w:tc>
                <w:tcPr>
                  <w:tcW w:w="954" w:type="pct"/>
                  <w:tcBorders>
                    <w:top w:val="single" w:color="auto" w:sz="2" w:space="0"/>
                    <w:left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标准值</w:t>
                  </w:r>
                </w:p>
              </w:tc>
              <w:tc>
                <w:tcPr>
                  <w:tcW w:w="1185"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达标情况</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40" w:hRule="atLeast"/>
              </w:trPr>
              <w:tc>
                <w:tcPr>
                  <w:tcW w:w="717" w:type="pct"/>
                  <w:vMerge w:val="restart"/>
                  <w:tcBorders>
                    <w:top w:val="single" w:color="auto" w:sz="2" w:space="0"/>
                    <w:left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昼间</w:t>
                  </w:r>
                </w:p>
              </w:tc>
              <w:tc>
                <w:tcPr>
                  <w:tcW w:w="1190"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场界北侧</w:t>
                  </w:r>
                </w:p>
              </w:tc>
              <w:tc>
                <w:tcPr>
                  <w:tcW w:w="954"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3</w:t>
                  </w:r>
                  <w:r>
                    <w:rPr>
                      <w:rFonts w:hAnsi="宋体"/>
                      <w:sz w:val="21"/>
                      <w:szCs w:val="21"/>
                    </w:rPr>
                    <w:t>9.8</w:t>
                  </w:r>
                </w:p>
              </w:tc>
              <w:tc>
                <w:tcPr>
                  <w:tcW w:w="954" w:type="pct"/>
                  <w:vMerge w:val="restart"/>
                  <w:tcBorders>
                    <w:top w:val="single" w:color="auto" w:sz="2" w:space="0"/>
                    <w:left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6</w:t>
                  </w:r>
                  <w:r>
                    <w:rPr>
                      <w:rFonts w:hAnsi="宋体"/>
                      <w:sz w:val="21"/>
                      <w:szCs w:val="21"/>
                    </w:rPr>
                    <w:t>0</w:t>
                  </w:r>
                </w:p>
              </w:tc>
              <w:tc>
                <w:tcPr>
                  <w:tcW w:w="1185"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40" w:hRule="atLeast"/>
              </w:trPr>
              <w:tc>
                <w:tcPr>
                  <w:tcW w:w="717" w:type="pct"/>
                  <w:vMerge w:val="continue"/>
                  <w:tcBorders>
                    <w:left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p>
              </w:tc>
              <w:tc>
                <w:tcPr>
                  <w:tcW w:w="1190"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场界东侧</w:t>
                  </w:r>
                </w:p>
              </w:tc>
              <w:tc>
                <w:tcPr>
                  <w:tcW w:w="954" w:type="pct"/>
                  <w:tcBorders>
                    <w:top w:val="single" w:color="auto" w:sz="2" w:space="0"/>
                    <w:left w:val="single" w:color="auto" w:sz="2" w:space="0"/>
                    <w:bottom w:val="single" w:color="auto" w:sz="4"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3</w:t>
                  </w:r>
                  <w:r>
                    <w:rPr>
                      <w:rFonts w:hAnsi="宋体"/>
                      <w:sz w:val="21"/>
                      <w:szCs w:val="21"/>
                    </w:rPr>
                    <w:t>4.8</w:t>
                  </w:r>
                </w:p>
              </w:tc>
              <w:tc>
                <w:tcPr>
                  <w:tcW w:w="954" w:type="pct"/>
                  <w:vMerge w:val="continue"/>
                  <w:tcBorders>
                    <w:left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p>
              </w:tc>
              <w:tc>
                <w:tcPr>
                  <w:tcW w:w="1185"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40" w:hRule="atLeast"/>
              </w:trPr>
              <w:tc>
                <w:tcPr>
                  <w:tcW w:w="717" w:type="pct"/>
                  <w:vMerge w:val="continue"/>
                  <w:tcBorders>
                    <w:left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p>
              </w:tc>
              <w:tc>
                <w:tcPr>
                  <w:tcW w:w="1190"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场界南侧</w:t>
                  </w:r>
                </w:p>
              </w:tc>
              <w:tc>
                <w:tcPr>
                  <w:tcW w:w="954" w:type="pct"/>
                  <w:tcBorders>
                    <w:top w:val="single" w:color="auto" w:sz="4"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3</w:t>
                  </w:r>
                  <w:r>
                    <w:rPr>
                      <w:rFonts w:hAnsi="宋体"/>
                      <w:sz w:val="21"/>
                      <w:szCs w:val="21"/>
                    </w:rPr>
                    <w:t>6.5</w:t>
                  </w:r>
                </w:p>
              </w:tc>
              <w:tc>
                <w:tcPr>
                  <w:tcW w:w="954" w:type="pct"/>
                  <w:vMerge w:val="continue"/>
                  <w:tcBorders>
                    <w:left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p>
              </w:tc>
              <w:tc>
                <w:tcPr>
                  <w:tcW w:w="1185"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40" w:hRule="atLeast"/>
              </w:trPr>
              <w:tc>
                <w:tcPr>
                  <w:tcW w:w="717" w:type="pct"/>
                  <w:vMerge w:val="continue"/>
                  <w:tcBorders>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p>
              </w:tc>
              <w:tc>
                <w:tcPr>
                  <w:tcW w:w="1190"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场界西侧</w:t>
                  </w:r>
                </w:p>
              </w:tc>
              <w:tc>
                <w:tcPr>
                  <w:tcW w:w="954"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4</w:t>
                  </w:r>
                  <w:r>
                    <w:rPr>
                      <w:rFonts w:hAnsi="宋体"/>
                      <w:sz w:val="21"/>
                      <w:szCs w:val="21"/>
                    </w:rPr>
                    <w:t>0.6</w:t>
                  </w:r>
                </w:p>
              </w:tc>
              <w:tc>
                <w:tcPr>
                  <w:tcW w:w="954" w:type="pct"/>
                  <w:vMerge w:val="continue"/>
                  <w:tcBorders>
                    <w:left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p>
              </w:tc>
              <w:tc>
                <w:tcPr>
                  <w:tcW w:w="1185"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40" w:hRule="atLeast"/>
              </w:trPr>
              <w:tc>
                <w:tcPr>
                  <w:tcW w:w="717" w:type="pct"/>
                  <w:vMerge w:val="restart"/>
                  <w:tcBorders>
                    <w:top w:val="single" w:color="auto" w:sz="2" w:space="0"/>
                    <w:left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夜间</w:t>
                  </w:r>
                </w:p>
              </w:tc>
              <w:tc>
                <w:tcPr>
                  <w:tcW w:w="1190"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场界北侧</w:t>
                  </w:r>
                </w:p>
              </w:tc>
              <w:tc>
                <w:tcPr>
                  <w:tcW w:w="954"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3</w:t>
                  </w:r>
                  <w:r>
                    <w:rPr>
                      <w:rFonts w:hAnsi="宋体"/>
                      <w:sz w:val="21"/>
                      <w:szCs w:val="21"/>
                    </w:rPr>
                    <w:t>9.8</w:t>
                  </w:r>
                </w:p>
              </w:tc>
              <w:tc>
                <w:tcPr>
                  <w:tcW w:w="954" w:type="pct"/>
                  <w:vMerge w:val="restart"/>
                  <w:tcBorders>
                    <w:left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Ansi="宋体"/>
                      <w:sz w:val="21"/>
                      <w:szCs w:val="21"/>
                    </w:rPr>
                    <w:t>50</w:t>
                  </w:r>
                </w:p>
              </w:tc>
              <w:tc>
                <w:tcPr>
                  <w:tcW w:w="1185"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40" w:hRule="atLeast"/>
              </w:trPr>
              <w:tc>
                <w:tcPr>
                  <w:tcW w:w="717" w:type="pct"/>
                  <w:vMerge w:val="continue"/>
                  <w:tcBorders>
                    <w:left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p>
              </w:tc>
              <w:tc>
                <w:tcPr>
                  <w:tcW w:w="1190"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场界东侧</w:t>
                  </w:r>
                </w:p>
              </w:tc>
              <w:tc>
                <w:tcPr>
                  <w:tcW w:w="954"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3</w:t>
                  </w:r>
                  <w:r>
                    <w:rPr>
                      <w:rFonts w:hAnsi="宋体"/>
                      <w:sz w:val="21"/>
                      <w:szCs w:val="21"/>
                    </w:rPr>
                    <w:t>4.8</w:t>
                  </w:r>
                </w:p>
              </w:tc>
              <w:tc>
                <w:tcPr>
                  <w:tcW w:w="954" w:type="pct"/>
                  <w:vMerge w:val="continue"/>
                  <w:tcBorders>
                    <w:left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p>
              </w:tc>
              <w:tc>
                <w:tcPr>
                  <w:tcW w:w="1185"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40" w:hRule="atLeast"/>
              </w:trPr>
              <w:tc>
                <w:tcPr>
                  <w:tcW w:w="717" w:type="pct"/>
                  <w:vMerge w:val="continue"/>
                  <w:tcBorders>
                    <w:left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p>
              </w:tc>
              <w:tc>
                <w:tcPr>
                  <w:tcW w:w="1190"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场界南侧</w:t>
                  </w:r>
                </w:p>
              </w:tc>
              <w:tc>
                <w:tcPr>
                  <w:tcW w:w="954"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3</w:t>
                  </w:r>
                  <w:r>
                    <w:rPr>
                      <w:rFonts w:hAnsi="宋体"/>
                      <w:sz w:val="21"/>
                      <w:szCs w:val="21"/>
                    </w:rPr>
                    <w:t>6.5</w:t>
                  </w:r>
                </w:p>
              </w:tc>
              <w:tc>
                <w:tcPr>
                  <w:tcW w:w="954" w:type="pct"/>
                  <w:vMerge w:val="continue"/>
                  <w:tcBorders>
                    <w:left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p>
              </w:tc>
              <w:tc>
                <w:tcPr>
                  <w:tcW w:w="1185"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40" w:hRule="atLeast"/>
              </w:trPr>
              <w:tc>
                <w:tcPr>
                  <w:tcW w:w="717" w:type="pct"/>
                  <w:vMerge w:val="continue"/>
                  <w:tcBorders>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p>
              </w:tc>
              <w:tc>
                <w:tcPr>
                  <w:tcW w:w="1190"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场界西侧</w:t>
                  </w:r>
                </w:p>
              </w:tc>
              <w:tc>
                <w:tcPr>
                  <w:tcW w:w="954"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4</w:t>
                  </w:r>
                  <w:r>
                    <w:rPr>
                      <w:rFonts w:hAnsi="宋体"/>
                      <w:sz w:val="21"/>
                      <w:szCs w:val="21"/>
                    </w:rPr>
                    <w:t>0.6</w:t>
                  </w:r>
                </w:p>
              </w:tc>
              <w:tc>
                <w:tcPr>
                  <w:tcW w:w="954" w:type="pct"/>
                  <w:vMerge w:val="continue"/>
                  <w:tcBorders>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p>
              </w:tc>
              <w:tc>
                <w:tcPr>
                  <w:tcW w:w="1185" w:type="pct"/>
                  <w:tcBorders>
                    <w:top w:val="single" w:color="auto" w:sz="2" w:space="0"/>
                    <w:left w:val="single" w:color="auto" w:sz="2" w:space="0"/>
                    <w:bottom w:val="single" w:color="auto" w:sz="2" w:space="0"/>
                    <w:right w:val="single" w:color="auto" w:sz="2" w:space="0"/>
                  </w:tcBorders>
                  <w:vAlign w:val="center"/>
                </w:tcPr>
                <w:p>
                  <w:pPr>
                    <w:pStyle w:val="144"/>
                    <w:snapToGrid/>
                    <w:spacing w:before="0" w:after="0" w:line="240" w:lineRule="auto"/>
                    <w:ind w:firstLine="0" w:firstLineChars="0"/>
                    <w:jc w:val="center"/>
                    <w:rPr>
                      <w:rFonts w:hAnsi="宋体"/>
                      <w:sz w:val="21"/>
                      <w:szCs w:val="21"/>
                    </w:rPr>
                  </w:pPr>
                  <w:r>
                    <w:rPr>
                      <w:rFonts w:hint="eastAsia" w:hAnsi="宋体"/>
                      <w:sz w:val="21"/>
                      <w:szCs w:val="21"/>
                    </w:rPr>
                    <w:t>达标</w:t>
                  </w:r>
                </w:p>
              </w:tc>
            </w:tr>
          </w:tbl>
          <w:p>
            <w:pPr>
              <w:pStyle w:val="144"/>
              <w:snapToGrid/>
              <w:spacing w:before="0" w:after="0" w:line="240" w:lineRule="auto"/>
              <w:ind w:firstLine="0" w:firstLineChars="0"/>
              <w:rPr>
                <w:rFonts w:ascii="黑体" w:hAnsi="黑体" w:eastAsia="黑体"/>
                <w:sz w:val="21"/>
                <w:szCs w:val="21"/>
              </w:rPr>
            </w:pPr>
            <w:r>
              <w:rPr>
                <w:rFonts w:hint="eastAsia" w:ascii="黑体" w:hAnsi="黑体" w:eastAsia="黑体"/>
                <w:sz w:val="21"/>
                <w:szCs w:val="21"/>
              </w:rPr>
              <w:t>注：因本次改扩建项目厂址位于现有工程厂内外南侧，本次改扩建项目厂址和现有工程厂址为两个厂址，本次改扩建项目厂址为利用原废弃洗煤厂厂址，在本厂址内属于新建，因此以噪声预测贡献值作为评价指标。</w:t>
            </w:r>
          </w:p>
          <w:p>
            <w:pPr>
              <w:pStyle w:val="144"/>
              <w:snapToGrid/>
              <w:spacing w:before="0" w:after="0"/>
              <w:ind w:firstLine="480"/>
              <w:rPr>
                <w:rFonts w:ascii="宋体" w:hAnsi="宋体"/>
                <w:bCs/>
              </w:rPr>
            </w:pPr>
            <w:r>
              <w:rPr>
                <w:rFonts w:hint="eastAsia"/>
              </w:rPr>
              <w:t>由</w:t>
            </w:r>
            <w:r>
              <w:t>表</w:t>
            </w:r>
            <w:r>
              <w:rPr>
                <w:rFonts w:hint="eastAsia"/>
              </w:rPr>
              <w:t>4</w:t>
            </w:r>
            <w:r>
              <w:t>6中噪声预测结果</w:t>
            </w:r>
            <w:r>
              <w:rPr>
                <w:rFonts w:hint="eastAsia"/>
              </w:rPr>
              <w:t>可知</w:t>
            </w:r>
            <w:r>
              <w:t>：</w:t>
            </w:r>
            <w:bookmarkStart w:id="22" w:name="OLE_LINK10"/>
            <w:r>
              <w:t>厂界贡献值范围在34.8～40.6dB(A)，</w:t>
            </w:r>
            <w:bookmarkEnd w:id="22"/>
            <w:r>
              <w:rPr>
                <w:rFonts w:hint="eastAsia"/>
              </w:rPr>
              <w:t>厂界噪声贡献值均未超过</w:t>
            </w:r>
            <w:r>
              <w:t>《工业企业厂界环境噪声排放标准》(GB12348-2008)中</w:t>
            </w:r>
            <w:r>
              <w:rPr>
                <w:rFonts w:hint="eastAsia"/>
              </w:rPr>
              <w:t>2</w:t>
            </w:r>
            <w:r>
              <w:t>类</w:t>
            </w:r>
            <w:r>
              <w:rPr>
                <w:rFonts w:hint="eastAsia"/>
              </w:rPr>
              <w:t>标准值。因此，本项目</w:t>
            </w:r>
            <w:r>
              <w:t>在采取环评规定的噪声治理措施后，</w:t>
            </w:r>
            <w:r>
              <w:rPr>
                <w:rFonts w:hint="eastAsia"/>
              </w:rPr>
              <w:t>厂界噪声增加值较小，对厂界及噪声敏感点声环境影响较小</w:t>
            </w:r>
            <w:r>
              <w:rPr>
                <w:rFonts w:hint="eastAsia" w:ascii="宋体" w:hAnsi="宋体"/>
                <w:bCs/>
              </w:rPr>
              <w:t>。</w:t>
            </w:r>
          </w:p>
          <w:p>
            <w:pPr>
              <w:pStyle w:val="144"/>
              <w:snapToGrid/>
              <w:spacing w:before="0" w:after="0" w:line="240" w:lineRule="auto"/>
              <w:ind w:firstLine="0" w:firstLineChars="0"/>
              <w:jc w:val="center"/>
              <w:rPr>
                <w:rFonts w:ascii="宋体" w:hAnsi="宋体"/>
                <w:bCs/>
              </w:rPr>
            </w:pPr>
            <w:r>
              <w:rPr>
                <w:rFonts w:ascii="宋体" w:hAnsi="宋体"/>
                <w:bCs/>
              </w:rPr>
              <w:drawing>
                <wp:inline distT="0" distB="0" distL="0" distR="0">
                  <wp:extent cx="3374390" cy="452945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3" cstate="print">
                            <a:extLst>
                              <a:ext uri="{28A0092B-C50C-407E-A947-70E740481C1C}">
                                <a14:useLocalDpi xmlns:a14="http://schemas.microsoft.com/office/drawing/2010/main" val="0"/>
                              </a:ext>
                            </a:extLst>
                          </a:blip>
                          <a:srcRect l="2930" t="18959" r="2381" b="6705"/>
                          <a:stretch>
                            <a:fillRect/>
                          </a:stretch>
                        </pic:blipFill>
                        <pic:spPr>
                          <a:xfrm>
                            <a:off x="0" y="0"/>
                            <a:ext cx="3403773" cy="4569093"/>
                          </a:xfrm>
                          <a:prstGeom prst="rect">
                            <a:avLst/>
                          </a:prstGeom>
                          <a:ln>
                            <a:noFill/>
                          </a:ln>
                        </pic:spPr>
                      </pic:pic>
                    </a:graphicData>
                  </a:graphic>
                </wp:inline>
              </w:drawing>
            </w:r>
          </w:p>
          <w:p>
            <w:pPr>
              <w:pStyle w:val="144"/>
              <w:snapToGrid/>
              <w:spacing w:before="0" w:after="0"/>
              <w:ind w:firstLine="0" w:firstLineChars="0"/>
              <w:jc w:val="center"/>
              <w:rPr>
                <w:rFonts w:ascii="黑体" w:hAnsi="黑体" w:eastAsia="黑体"/>
              </w:rPr>
            </w:pPr>
            <w:r>
              <w:rPr>
                <w:rFonts w:hint="eastAsia" w:ascii="黑体" w:hAnsi="黑体" w:eastAsia="黑体"/>
              </w:rPr>
              <w:t>图8</w:t>
            </w:r>
            <w:r>
              <w:rPr>
                <w:rFonts w:ascii="黑体" w:hAnsi="黑体" w:eastAsia="黑体"/>
              </w:rPr>
              <w:t xml:space="preserve">  </w:t>
            </w:r>
            <w:r>
              <w:rPr>
                <w:rFonts w:hint="eastAsia" w:ascii="黑体" w:hAnsi="黑体" w:eastAsia="黑体"/>
              </w:rPr>
              <w:t>噪声等值线图</w:t>
            </w:r>
          </w:p>
          <w:p>
            <w:pPr>
              <w:pStyle w:val="172"/>
              <w:ind w:firstLine="0"/>
              <w:rPr>
                <w:rFonts w:ascii="Times New Roman" w:hAnsi="Times New Roman" w:eastAsia="宋体"/>
                <w:b/>
              </w:rPr>
            </w:pPr>
            <w:r>
              <w:rPr>
                <w:rFonts w:hint="eastAsia" w:ascii="Times New Roman" w:hAnsi="宋体" w:eastAsia="宋体"/>
                <w:b/>
              </w:rPr>
              <w:t>五、土壤环境影响分析</w:t>
            </w:r>
          </w:p>
          <w:p>
            <w:pPr>
              <w:ind w:firstLine="480"/>
              <w:rPr>
                <w:rFonts w:ascii="宋体" w:hAnsi="宋体"/>
                <w:bCs/>
                <w:szCs w:val="24"/>
              </w:rPr>
            </w:pPr>
            <w:r>
              <w:rPr>
                <w:rFonts w:hint="eastAsia"/>
              </w:rPr>
              <w:t>根据《环境影响评价技术导则</w:t>
            </w:r>
            <w:r>
              <w:t>--</w:t>
            </w:r>
            <w:r>
              <w:rPr>
                <w:rFonts w:hint="eastAsia"/>
              </w:rPr>
              <w:t>土壤环境（试行）》（</w:t>
            </w:r>
            <w:r>
              <w:t>HJ964-2018</w:t>
            </w:r>
            <w:r>
              <w:rPr>
                <w:rFonts w:hint="eastAsia"/>
              </w:rPr>
              <w:t>）附录</w:t>
            </w:r>
            <w:r>
              <w:t>A</w:t>
            </w:r>
            <w:r>
              <w:rPr>
                <w:rFonts w:hint="eastAsia"/>
              </w:rPr>
              <w:t>，本项目土壤环境影响评价项目类别属于非金属矿物制品中其他类，属于土壤环境影响评价Ⅲ类项目；根据《环境影响评价技术导则</w:t>
            </w:r>
            <w:r>
              <w:t>--</w:t>
            </w:r>
            <w:r>
              <w:rPr>
                <w:rFonts w:hint="eastAsia"/>
              </w:rPr>
              <w:t>土壤环境（试行）》（</w:t>
            </w:r>
            <w:r>
              <w:t>HJ964-2018</w:t>
            </w:r>
            <w:r>
              <w:rPr>
                <w:rFonts w:hint="eastAsia"/>
              </w:rPr>
              <w:t>）附录</w:t>
            </w:r>
            <w:r>
              <w:t>B</w:t>
            </w:r>
            <w:r>
              <w:rPr>
                <w:rFonts w:hint="eastAsia"/>
              </w:rPr>
              <w:t>识别出，本项目运营期土壤环境影响类型为污染影响型中的大气沉降。本项目运营期土壤环境影响类型主要为大气沉降，运营期大气污染物主要为颗粒物，无有机物及重金属等基本及特征污染物，对土壤环境基本无影响；因此，本项目可不开展土壤环境影响评价工作。</w:t>
            </w:r>
          </w:p>
          <w:p>
            <w:pPr>
              <w:ind w:firstLine="0" w:firstLineChars="0"/>
              <w:jc w:val="left"/>
              <w:rPr>
                <w:b/>
                <w:szCs w:val="24"/>
              </w:rPr>
            </w:pPr>
            <w:r>
              <w:rPr>
                <w:rFonts w:hint="eastAsia"/>
                <w:b/>
                <w:szCs w:val="24"/>
              </w:rPr>
              <w:t>六</w:t>
            </w:r>
            <w:r>
              <w:rPr>
                <w:b/>
                <w:szCs w:val="24"/>
              </w:rPr>
              <w:t>、环境管理</w:t>
            </w:r>
            <w:r>
              <w:rPr>
                <w:rFonts w:hint="eastAsia"/>
                <w:b/>
                <w:szCs w:val="24"/>
              </w:rPr>
              <w:t>及监测计划</w:t>
            </w:r>
          </w:p>
          <w:p>
            <w:pPr>
              <w:pStyle w:val="144"/>
              <w:snapToGrid/>
              <w:spacing w:before="0" w:after="0"/>
              <w:ind w:firstLine="0" w:firstLineChars="0"/>
              <w:rPr>
                <w:b/>
                <w:bCs/>
              </w:rPr>
            </w:pPr>
            <w:r>
              <w:rPr>
                <w:b/>
                <w:bCs/>
              </w:rPr>
              <w:t>1</w:t>
            </w:r>
            <w:r>
              <w:rPr>
                <w:rFonts w:hint="eastAsia"/>
                <w:b/>
                <w:bCs/>
              </w:rPr>
              <w:t>、营运期管理机构的设置</w:t>
            </w:r>
          </w:p>
          <w:p>
            <w:pPr>
              <w:pStyle w:val="144"/>
              <w:snapToGrid/>
              <w:spacing w:before="0" w:after="0"/>
              <w:ind w:firstLine="480"/>
            </w:pPr>
            <w:r>
              <w:rPr>
                <w:rFonts w:hint="eastAsia" w:hAnsi="宋体"/>
              </w:rPr>
              <w:t>项目建成后，建设单位应重视环境保护工作，并设置专门从事环境管理的机构，配备专</w:t>
            </w:r>
            <w:r>
              <w:rPr>
                <w:rFonts w:hAnsi="宋体"/>
              </w:rPr>
              <w:t>/</w:t>
            </w:r>
            <w:r>
              <w:rPr>
                <w:rFonts w:hint="eastAsia" w:hAnsi="宋体"/>
              </w:rPr>
              <w:t>兼职环保人员</w:t>
            </w:r>
            <w:r>
              <w:rPr>
                <w:rFonts w:hAnsi="宋体"/>
              </w:rPr>
              <w:t>1~2</w:t>
            </w:r>
            <w:r>
              <w:rPr>
                <w:rFonts w:hint="eastAsia" w:hAnsi="宋体"/>
              </w:rPr>
              <w:t>名，负责环境监督管理工作。同时要加强对管理人员的环保培训，不断提高管理水平。</w:t>
            </w:r>
          </w:p>
          <w:p>
            <w:pPr>
              <w:pStyle w:val="144"/>
              <w:snapToGrid/>
              <w:spacing w:before="0" w:after="0"/>
              <w:ind w:firstLine="0" w:firstLineChars="0"/>
              <w:rPr>
                <w:b/>
                <w:bCs/>
              </w:rPr>
            </w:pPr>
            <w:r>
              <w:rPr>
                <w:rFonts w:hint="eastAsia"/>
                <w:b/>
                <w:bCs/>
              </w:rPr>
              <w:t>2、管理机构的职能</w:t>
            </w:r>
          </w:p>
          <w:p>
            <w:pPr>
              <w:ind w:firstLine="480"/>
              <w:rPr>
                <w:rFonts w:hAnsi="宋体"/>
              </w:rPr>
            </w:pPr>
            <w:r>
              <w:rPr>
                <w:rFonts w:hint="eastAsia" w:hAnsi="宋体"/>
              </w:rPr>
              <w:t>（</w:t>
            </w:r>
            <w:r>
              <w:rPr>
                <w:rFonts w:hAnsi="宋体"/>
              </w:rPr>
              <w:t>1</w:t>
            </w:r>
            <w:r>
              <w:rPr>
                <w:rFonts w:hint="eastAsia" w:hAnsi="宋体"/>
              </w:rPr>
              <w:t>）组织贯彻国家及地方的有关环保方针、政策法令和条例，搞好环境教育和技术培训，提高本项目职工的环保意识和技术水平，提高污染控制的责任心。</w:t>
            </w:r>
          </w:p>
          <w:p>
            <w:pPr>
              <w:ind w:firstLine="480"/>
              <w:rPr>
                <w:rFonts w:hAnsi="宋体"/>
              </w:rPr>
            </w:pPr>
            <w:r>
              <w:rPr>
                <w:rFonts w:hint="eastAsia" w:hAnsi="宋体"/>
              </w:rPr>
              <w:t>（</w:t>
            </w:r>
            <w:r>
              <w:rPr>
                <w:rFonts w:hAnsi="宋体"/>
              </w:rPr>
              <w:t>2</w:t>
            </w:r>
            <w:r>
              <w:rPr>
                <w:rFonts w:hint="eastAsia" w:hAnsi="宋体"/>
              </w:rPr>
              <w:t>）制定并实施本项目环境保护工作的长期规划及年度污染治理计划；定期检查环保设施的运行状况及对设备的维修与管理，严格控制“三废”的排放。</w:t>
            </w:r>
          </w:p>
          <w:p>
            <w:pPr>
              <w:ind w:firstLine="480"/>
              <w:rPr>
                <w:rFonts w:hAnsi="宋体"/>
              </w:rPr>
            </w:pPr>
            <w:r>
              <w:rPr>
                <w:rFonts w:hint="eastAsia" w:hAnsi="宋体"/>
              </w:rPr>
              <w:t>（</w:t>
            </w:r>
            <w:r>
              <w:rPr>
                <w:rFonts w:hAnsi="宋体"/>
              </w:rPr>
              <w:t>3</w:t>
            </w:r>
            <w:r>
              <w:rPr>
                <w:rFonts w:hint="eastAsia" w:hAnsi="宋体"/>
              </w:rPr>
              <w:t>）掌握本项目内部污染物排放状况，编制项目内部环境状况报告。</w:t>
            </w:r>
          </w:p>
          <w:p>
            <w:pPr>
              <w:ind w:firstLine="480"/>
              <w:rPr>
                <w:rFonts w:hAnsi="宋体"/>
              </w:rPr>
            </w:pPr>
            <w:r>
              <w:rPr>
                <w:rFonts w:hint="eastAsia" w:hAnsi="宋体"/>
              </w:rPr>
              <w:t>（</w:t>
            </w:r>
            <w:r>
              <w:rPr>
                <w:rFonts w:hAnsi="宋体"/>
              </w:rPr>
              <w:t>4</w:t>
            </w:r>
            <w:r>
              <w:rPr>
                <w:rFonts w:hint="eastAsia" w:hAnsi="宋体"/>
              </w:rPr>
              <w:t>）负责环保专项资金的平衡与控制及办理环保超标缴费工作。</w:t>
            </w:r>
          </w:p>
          <w:p>
            <w:pPr>
              <w:ind w:firstLine="480"/>
              <w:rPr>
                <w:rFonts w:hAnsi="宋体"/>
              </w:rPr>
            </w:pPr>
            <w:r>
              <w:rPr>
                <w:rFonts w:hint="eastAsia" w:hAnsi="宋体"/>
              </w:rPr>
              <w:t>（</w:t>
            </w:r>
            <w:r>
              <w:rPr>
                <w:rFonts w:hAnsi="宋体"/>
              </w:rPr>
              <w:t>5</w:t>
            </w:r>
            <w:r>
              <w:rPr>
                <w:rFonts w:hint="eastAsia" w:hAnsi="宋体"/>
              </w:rPr>
              <w:t>）协同有关环境保护主管部门组织落实“三同时”，参与有关方案的审定及竣工验收。</w:t>
            </w:r>
          </w:p>
          <w:p>
            <w:pPr>
              <w:ind w:firstLine="480"/>
              <w:rPr>
                <w:rFonts w:hAnsi="宋体"/>
              </w:rPr>
            </w:pPr>
            <w:r>
              <w:rPr>
                <w:rFonts w:hint="eastAsia" w:hAnsi="宋体"/>
              </w:rPr>
              <w:t>（</w:t>
            </w:r>
            <w:r>
              <w:rPr>
                <w:rFonts w:hAnsi="宋体"/>
              </w:rPr>
              <w:t>6</w:t>
            </w:r>
            <w:r>
              <w:rPr>
                <w:rFonts w:hint="eastAsia" w:hAnsi="宋体"/>
              </w:rPr>
              <w:t>）组织环境监测，检查场区环境状况，并及时将环境监测信息向环保部门通报。</w:t>
            </w:r>
          </w:p>
          <w:p>
            <w:pPr>
              <w:pStyle w:val="144"/>
              <w:snapToGrid/>
              <w:spacing w:before="0" w:after="0"/>
              <w:ind w:firstLine="480"/>
            </w:pPr>
            <w:r>
              <w:rPr>
                <w:rFonts w:hint="eastAsia" w:hAnsi="宋体"/>
              </w:rPr>
              <w:t>（</w:t>
            </w:r>
            <w:r>
              <w:rPr>
                <w:rFonts w:hAnsi="宋体"/>
              </w:rPr>
              <w:t>7</w:t>
            </w:r>
            <w:r>
              <w:rPr>
                <w:rFonts w:hint="eastAsia" w:hAnsi="宋体"/>
              </w:rPr>
              <w:t>）调查处理场区污染事故和污染纠纷；组织“三废”处理利用技术的实验和研究；建立污染突发事故分类分级档案和处理制度。</w:t>
            </w:r>
          </w:p>
          <w:p>
            <w:pPr>
              <w:pStyle w:val="144"/>
              <w:snapToGrid/>
              <w:spacing w:before="0" w:after="0"/>
              <w:ind w:firstLine="0" w:firstLineChars="0"/>
              <w:rPr>
                <w:b/>
                <w:bCs/>
              </w:rPr>
            </w:pPr>
            <w:r>
              <w:rPr>
                <w:rFonts w:hint="eastAsia"/>
                <w:b/>
                <w:bCs/>
              </w:rPr>
              <w:t>3、环境监测</w:t>
            </w:r>
          </w:p>
          <w:p>
            <w:pPr>
              <w:pStyle w:val="144"/>
              <w:spacing w:before="0" w:after="0"/>
              <w:ind w:firstLine="480"/>
            </w:pPr>
            <w:r>
              <w:rPr>
                <w:rFonts w:hint="eastAsia"/>
              </w:rPr>
              <w:t>环境监测是环境管理的依据和基础，它为环境评价和管理提供科学依据，并据此制定污染防治对策和规划。排污单位应查清所有污染源，确定主要污染源及主要监测指标，制定监测方案。监测方案内容包括：单位基本情况、监测点位及示意图、监测指标、执行标准及其限值、监测频次、采样和样品保存方法、监测分析方法和仪器、质量保证与质量控制等。</w:t>
            </w:r>
          </w:p>
          <w:p>
            <w:pPr>
              <w:pStyle w:val="144"/>
              <w:spacing w:before="0" w:after="0"/>
              <w:ind w:firstLine="480"/>
            </w:pPr>
            <w:r>
              <w:rPr>
                <w:rFonts w:hint="eastAsia"/>
              </w:rPr>
              <w:t>排污单位应根据自身条件和能力，利用自有人员、场所和设备自行监测；也可委托其它有资质的检（监）测机构代其开展自行监测。为保证监测工作质量应制定的工作流程、管理措施与监督措施，建立自行监测质量体系。委托其它有资质的检（监）测机构代其开展自行监测的，排污单位不用建立监测质量体系，但应对检（监）测机构的资质进行确认。</w:t>
            </w:r>
          </w:p>
          <w:p>
            <w:pPr>
              <w:pStyle w:val="144"/>
              <w:spacing w:before="0" w:after="0"/>
              <w:ind w:firstLine="480"/>
            </w:pPr>
            <w:r>
              <w:rPr>
                <w:rFonts w:hint="eastAsia"/>
              </w:rPr>
              <w:t>监测结果出现超标的，排污单位应加密监测，并检查超标原因。短期内无法实现稳定达标排放的，应向环境保护主管部门提交事故分析报告，说明事故发生的原因，采取减轻或防止污染的措施，以及今后的预防及改进措施等；若因发生事故或者其他突发事件，应当立即采取措施消除危害，并及时向环境保护主管部门等有关部门报告。</w:t>
            </w:r>
          </w:p>
          <w:p>
            <w:pPr>
              <w:pStyle w:val="144"/>
              <w:snapToGrid/>
              <w:spacing w:before="0" w:after="0"/>
              <w:ind w:firstLine="480"/>
            </w:pPr>
            <w:r>
              <w:rPr>
                <w:rFonts w:hint="eastAsia"/>
              </w:rPr>
              <w:t>本次环评提出的环境监测计划建议见下表。</w:t>
            </w:r>
          </w:p>
          <w:p>
            <w:pPr>
              <w:ind w:firstLine="0" w:firstLineChars="0"/>
              <w:jc w:val="center"/>
              <w:rPr>
                <w:rFonts w:ascii="黑体" w:hAnsi="黑体" w:eastAsia="黑体"/>
                <w:kern w:val="0"/>
              </w:rPr>
            </w:pPr>
            <w:r>
              <w:rPr>
                <w:rFonts w:hint="eastAsia" w:ascii="黑体" w:hAnsi="黑体" w:eastAsia="黑体"/>
                <w:kern w:val="0"/>
              </w:rPr>
              <w:t>表</w:t>
            </w:r>
            <w:r>
              <w:rPr>
                <w:rFonts w:ascii="黑体" w:hAnsi="黑体" w:eastAsia="黑体"/>
                <w:bCs/>
              </w:rPr>
              <w:t>51</w:t>
            </w:r>
            <w:r>
              <w:rPr>
                <w:rFonts w:hint="eastAsia" w:ascii="黑体" w:hAnsi="黑体" w:eastAsia="黑体"/>
                <w:kern w:val="0"/>
              </w:rPr>
              <w:t xml:space="preserve"> </w:t>
            </w:r>
            <w:r>
              <w:rPr>
                <w:rFonts w:ascii="黑体" w:hAnsi="黑体" w:eastAsia="黑体"/>
                <w:kern w:val="0"/>
              </w:rPr>
              <w:t xml:space="preserve"> </w:t>
            </w:r>
            <w:r>
              <w:rPr>
                <w:rFonts w:hint="eastAsia" w:ascii="黑体" w:hAnsi="黑体" w:eastAsia="黑体"/>
                <w:kern w:val="0"/>
              </w:rPr>
              <w:t>有组织废气监测方案</w:t>
            </w:r>
          </w:p>
          <w:tbl>
            <w:tblPr>
              <w:tblStyle w:val="7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45"/>
              <w:gridCol w:w="1473"/>
              <w:gridCol w:w="1620"/>
              <w:gridCol w:w="18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87"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监测点位</w:t>
                  </w:r>
                </w:p>
              </w:tc>
              <w:tc>
                <w:tcPr>
                  <w:tcW w:w="813"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监测指标</w:t>
                  </w:r>
                </w:p>
              </w:tc>
              <w:tc>
                <w:tcPr>
                  <w:tcW w:w="894"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监测频次</w:t>
                  </w:r>
                </w:p>
              </w:tc>
              <w:tc>
                <w:tcPr>
                  <w:tcW w:w="1006"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87"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kern w:val="0"/>
                      <w:sz w:val="21"/>
                      <w:szCs w:val="21"/>
                    </w:rPr>
                  </w:pPr>
                  <w:r>
                    <w:rPr>
                      <w:rFonts w:hint="eastAsia"/>
                      <w:sz w:val="21"/>
                      <w:szCs w:val="21"/>
                    </w:rPr>
                    <w:t>建筑骨料生产线粗破、反击破系统粉尘排气筒D</w:t>
                  </w:r>
                  <w:r>
                    <w:rPr>
                      <w:sz w:val="21"/>
                      <w:szCs w:val="21"/>
                    </w:rPr>
                    <w:t>A001</w:t>
                  </w:r>
                </w:p>
              </w:tc>
              <w:tc>
                <w:tcPr>
                  <w:tcW w:w="813"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颗粒物</w:t>
                  </w:r>
                </w:p>
              </w:tc>
              <w:tc>
                <w:tcPr>
                  <w:tcW w:w="894"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ascii="Times New Roman" w:hAnsi="Times New Roman" w:eastAsia="宋体"/>
                      <w:sz w:val="21"/>
                      <w:szCs w:val="21"/>
                    </w:rPr>
                    <w:t>1</w:t>
                  </w:r>
                  <w:r>
                    <w:rPr>
                      <w:rFonts w:hint="eastAsia" w:ascii="Times New Roman" w:hAnsi="Times New Roman" w:eastAsia="宋体"/>
                      <w:sz w:val="21"/>
                      <w:szCs w:val="21"/>
                    </w:rPr>
                    <w:t>次</w:t>
                  </w:r>
                  <w:r>
                    <w:rPr>
                      <w:rFonts w:ascii="Times New Roman" w:hAnsi="Times New Roman" w:eastAsia="宋体"/>
                      <w:sz w:val="21"/>
                      <w:szCs w:val="21"/>
                    </w:rPr>
                    <w:t>/</w:t>
                  </w:r>
                  <w:r>
                    <w:rPr>
                      <w:rFonts w:hint="eastAsia" w:ascii="Times New Roman" w:hAnsi="Times New Roman" w:eastAsia="宋体"/>
                      <w:sz w:val="21"/>
                      <w:szCs w:val="21"/>
                    </w:rPr>
                    <w:t>年</w:t>
                  </w:r>
                </w:p>
              </w:tc>
              <w:tc>
                <w:tcPr>
                  <w:tcW w:w="1006" w:type="pct"/>
                  <w:vMerge w:val="restart"/>
                  <w:tcBorders>
                    <w:top w:val="single" w:color="auto" w:sz="4" w:space="0"/>
                    <w:left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《大气污染物综合排放标准》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87"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kern w:val="0"/>
                      <w:sz w:val="21"/>
                      <w:szCs w:val="21"/>
                    </w:rPr>
                  </w:pPr>
                  <w:r>
                    <w:rPr>
                      <w:rFonts w:hint="eastAsia"/>
                      <w:sz w:val="21"/>
                      <w:szCs w:val="21"/>
                    </w:rPr>
                    <w:t>建筑骨料生产线冲击破系统粉尘排气筒D</w:t>
                  </w:r>
                  <w:r>
                    <w:rPr>
                      <w:sz w:val="21"/>
                      <w:szCs w:val="21"/>
                    </w:rPr>
                    <w:t>A002</w:t>
                  </w:r>
                </w:p>
              </w:tc>
              <w:tc>
                <w:tcPr>
                  <w:tcW w:w="813"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颗粒物</w:t>
                  </w:r>
                </w:p>
              </w:tc>
              <w:tc>
                <w:tcPr>
                  <w:tcW w:w="894"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ascii="Times New Roman" w:hAnsi="Times New Roman" w:eastAsia="宋体"/>
                      <w:sz w:val="21"/>
                      <w:szCs w:val="21"/>
                    </w:rPr>
                    <w:t>1</w:t>
                  </w:r>
                  <w:r>
                    <w:rPr>
                      <w:rFonts w:hint="eastAsia" w:ascii="Times New Roman" w:hAnsi="Times New Roman" w:eastAsia="宋体"/>
                      <w:sz w:val="21"/>
                      <w:szCs w:val="21"/>
                    </w:rPr>
                    <w:t>次</w:t>
                  </w:r>
                  <w:r>
                    <w:rPr>
                      <w:rFonts w:ascii="Times New Roman" w:hAnsi="Times New Roman" w:eastAsia="宋体"/>
                      <w:sz w:val="21"/>
                      <w:szCs w:val="21"/>
                    </w:rPr>
                    <w:t>/</w:t>
                  </w:r>
                  <w:r>
                    <w:rPr>
                      <w:rFonts w:hint="eastAsia" w:ascii="Times New Roman" w:hAnsi="Times New Roman" w:eastAsia="宋体"/>
                      <w:sz w:val="21"/>
                      <w:szCs w:val="21"/>
                    </w:rPr>
                    <w:t>年</w:t>
                  </w:r>
                </w:p>
              </w:tc>
              <w:tc>
                <w:tcPr>
                  <w:tcW w:w="1006" w:type="pct"/>
                  <w:vMerge w:val="continue"/>
                  <w:tcBorders>
                    <w:left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87"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kern w:val="0"/>
                      <w:sz w:val="21"/>
                      <w:szCs w:val="21"/>
                    </w:rPr>
                  </w:pPr>
                  <w:r>
                    <w:rPr>
                      <w:rFonts w:hint="eastAsia"/>
                      <w:sz w:val="21"/>
                      <w:szCs w:val="21"/>
                    </w:rPr>
                    <w:t>微粉生产线鄂破系统粉尘排气筒D</w:t>
                  </w:r>
                  <w:r>
                    <w:rPr>
                      <w:sz w:val="21"/>
                      <w:szCs w:val="21"/>
                    </w:rPr>
                    <w:t>A003</w:t>
                  </w:r>
                </w:p>
              </w:tc>
              <w:tc>
                <w:tcPr>
                  <w:tcW w:w="813"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kern w:val="0"/>
                      <w:sz w:val="21"/>
                      <w:szCs w:val="21"/>
                    </w:rPr>
                  </w:pPr>
                  <w:r>
                    <w:rPr>
                      <w:rFonts w:hint="eastAsia"/>
                      <w:sz w:val="21"/>
                      <w:szCs w:val="21"/>
                    </w:rPr>
                    <w:t>颗粒物</w:t>
                  </w:r>
                </w:p>
              </w:tc>
              <w:tc>
                <w:tcPr>
                  <w:tcW w:w="894"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ascii="Times New Roman" w:hAnsi="Times New Roman" w:eastAsia="宋体"/>
                      <w:sz w:val="21"/>
                      <w:szCs w:val="21"/>
                    </w:rPr>
                    <w:t>1</w:t>
                  </w:r>
                  <w:r>
                    <w:rPr>
                      <w:rFonts w:hint="eastAsia" w:ascii="Times New Roman" w:hAnsi="Times New Roman" w:eastAsia="宋体"/>
                      <w:sz w:val="21"/>
                      <w:szCs w:val="21"/>
                    </w:rPr>
                    <w:t>次</w:t>
                  </w:r>
                  <w:r>
                    <w:rPr>
                      <w:rFonts w:ascii="Times New Roman" w:hAnsi="Times New Roman" w:eastAsia="宋体"/>
                      <w:sz w:val="21"/>
                      <w:szCs w:val="21"/>
                    </w:rPr>
                    <w:t>/</w:t>
                  </w:r>
                  <w:r>
                    <w:rPr>
                      <w:rFonts w:hint="eastAsia" w:ascii="Times New Roman" w:hAnsi="Times New Roman" w:eastAsia="宋体"/>
                      <w:sz w:val="21"/>
                      <w:szCs w:val="21"/>
                    </w:rPr>
                    <w:t>年</w:t>
                  </w:r>
                </w:p>
              </w:tc>
              <w:tc>
                <w:tcPr>
                  <w:tcW w:w="1006" w:type="pct"/>
                  <w:vMerge w:val="continue"/>
                  <w:tcBorders>
                    <w:left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87"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kern w:val="0"/>
                      <w:sz w:val="21"/>
                      <w:szCs w:val="21"/>
                    </w:rPr>
                  </w:pPr>
                  <w:r>
                    <w:rPr>
                      <w:rFonts w:hint="eastAsia"/>
                      <w:sz w:val="21"/>
                      <w:szCs w:val="21"/>
                    </w:rPr>
                    <w:t>微粉生产线超细破碎机系统粉尘排气筒D</w:t>
                  </w:r>
                  <w:r>
                    <w:rPr>
                      <w:sz w:val="21"/>
                      <w:szCs w:val="21"/>
                    </w:rPr>
                    <w:t>A004</w:t>
                  </w:r>
                </w:p>
              </w:tc>
              <w:tc>
                <w:tcPr>
                  <w:tcW w:w="813"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sz w:val="21"/>
                      <w:szCs w:val="21"/>
                    </w:rPr>
                  </w:pPr>
                  <w:r>
                    <w:rPr>
                      <w:rFonts w:hint="eastAsia"/>
                      <w:sz w:val="21"/>
                      <w:szCs w:val="21"/>
                    </w:rPr>
                    <w:t>颗粒物</w:t>
                  </w:r>
                </w:p>
              </w:tc>
              <w:tc>
                <w:tcPr>
                  <w:tcW w:w="894"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ascii="Times New Roman" w:hAnsi="Times New Roman" w:eastAsia="宋体"/>
                      <w:sz w:val="21"/>
                      <w:szCs w:val="21"/>
                    </w:rPr>
                    <w:t>1</w:t>
                  </w:r>
                  <w:r>
                    <w:rPr>
                      <w:rFonts w:hint="eastAsia" w:ascii="Times New Roman" w:hAnsi="Times New Roman" w:eastAsia="宋体"/>
                      <w:sz w:val="21"/>
                      <w:szCs w:val="21"/>
                    </w:rPr>
                    <w:t>次</w:t>
                  </w:r>
                  <w:r>
                    <w:rPr>
                      <w:rFonts w:ascii="Times New Roman" w:hAnsi="Times New Roman" w:eastAsia="宋体"/>
                      <w:sz w:val="21"/>
                      <w:szCs w:val="21"/>
                    </w:rPr>
                    <w:t>/</w:t>
                  </w:r>
                  <w:r>
                    <w:rPr>
                      <w:rFonts w:hint="eastAsia" w:ascii="Times New Roman" w:hAnsi="Times New Roman" w:eastAsia="宋体"/>
                      <w:sz w:val="21"/>
                      <w:szCs w:val="21"/>
                    </w:rPr>
                    <w:t>年</w:t>
                  </w:r>
                </w:p>
              </w:tc>
              <w:tc>
                <w:tcPr>
                  <w:tcW w:w="1006" w:type="pct"/>
                  <w:vMerge w:val="continue"/>
                  <w:tcBorders>
                    <w:left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p>
              </w:tc>
            </w:tr>
          </w:tbl>
          <w:p>
            <w:pPr>
              <w:ind w:firstLine="0" w:firstLineChars="0"/>
              <w:jc w:val="center"/>
              <w:rPr>
                <w:rFonts w:ascii="黑体" w:hAnsi="黑体" w:eastAsia="黑体"/>
                <w:kern w:val="0"/>
              </w:rPr>
            </w:pPr>
            <w:r>
              <w:rPr>
                <w:rFonts w:hint="eastAsia" w:ascii="黑体" w:hAnsi="黑体" w:eastAsia="黑体"/>
                <w:kern w:val="0"/>
              </w:rPr>
              <w:t>表</w:t>
            </w:r>
            <w:r>
              <w:rPr>
                <w:bCs/>
              </w:rPr>
              <w:t xml:space="preserve">52 </w:t>
            </w:r>
            <w:r>
              <w:rPr>
                <w:rFonts w:hint="eastAsia" w:ascii="黑体" w:hAnsi="黑体" w:eastAsia="黑体"/>
                <w:kern w:val="0"/>
              </w:rPr>
              <w:t xml:space="preserve"> 无组织废气监测方案</w:t>
            </w:r>
          </w:p>
          <w:tbl>
            <w:tblPr>
              <w:tblStyle w:val="7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3"/>
              <w:gridCol w:w="1889"/>
              <w:gridCol w:w="1745"/>
              <w:gridCol w:w="36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监测点位</w:t>
                  </w:r>
                </w:p>
              </w:tc>
              <w:tc>
                <w:tcPr>
                  <w:tcW w:w="1042"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监测指标</w:t>
                  </w:r>
                </w:p>
              </w:tc>
              <w:tc>
                <w:tcPr>
                  <w:tcW w:w="963"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监测频次</w:t>
                  </w:r>
                </w:p>
              </w:tc>
              <w:tc>
                <w:tcPr>
                  <w:tcW w:w="2022"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kern w:val="0"/>
                      <w:sz w:val="21"/>
                      <w:szCs w:val="21"/>
                    </w:rPr>
                  </w:pPr>
                  <w:r>
                    <w:rPr>
                      <w:rFonts w:hint="eastAsia"/>
                      <w:bCs/>
                      <w:kern w:val="0"/>
                      <w:sz w:val="21"/>
                      <w:szCs w:val="21"/>
                    </w:rPr>
                    <w:t>厂界</w:t>
                  </w:r>
                </w:p>
              </w:tc>
              <w:tc>
                <w:tcPr>
                  <w:tcW w:w="1042"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颗粒物</w:t>
                  </w:r>
                </w:p>
              </w:tc>
              <w:tc>
                <w:tcPr>
                  <w:tcW w:w="963"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ascii="Times New Roman" w:hAnsi="Times New Roman" w:eastAsia="宋体"/>
                      <w:sz w:val="21"/>
                      <w:szCs w:val="21"/>
                    </w:rPr>
                    <w:t>1</w:t>
                  </w:r>
                  <w:r>
                    <w:rPr>
                      <w:rFonts w:hint="eastAsia" w:ascii="Times New Roman" w:hAnsi="Times New Roman" w:eastAsia="宋体"/>
                      <w:sz w:val="21"/>
                      <w:szCs w:val="21"/>
                    </w:rPr>
                    <w:t>次</w:t>
                  </w:r>
                  <w:r>
                    <w:rPr>
                      <w:rFonts w:ascii="Times New Roman" w:hAnsi="Times New Roman" w:eastAsia="宋体"/>
                      <w:sz w:val="21"/>
                      <w:szCs w:val="21"/>
                    </w:rPr>
                    <w:t>/</w:t>
                  </w:r>
                  <w:r>
                    <w:rPr>
                      <w:rFonts w:hint="eastAsia" w:ascii="Times New Roman" w:hAnsi="Times New Roman" w:eastAsia="宋体"/>
                      <w:sz w:val="21"/>
                      <w:szCs w:val="21"/>
                    </w:rPr>
                    <w:t>年</w:t>
                  </w:r>
                </w:p>
              </w:tc>
              <w:tc>
                <w:tcPr>
                  <w:tcW w:w="2022" w:type="pct"/>
                  <w:tcBorders>
                    <w:top w:val="single" w:color="auto" w:sz="4" w:space="0"/>
                    <w:left w:val="single" w:color="auto" w:sz="4" w:space="0"/>
                    <w:bottom w:val="single" w:color="auto" w:sz="4" w:space="0"/>
                    <w:right w:val="single" w:color="auto" w:sz="4" w:space="0"/>
                  </w:tcBorders>
                  <w:vAlign w:val="center"/>
                </w:tcPr>
                <w:p>
                  <w:pPr>
                    <w:pStyle w:val="172"/>
                    <w:widowControl w:val="0"/>
                    <w:snapToGrid/>
                    <w:spacing w:line="240" w:lineRule="auto"/>
                    <w:ind w:firstLine="0"/>
                    <w:jc w:val="center"/>
                    <w:rPr>
                      <w:rFonts w:ascii="Times New Roman" w:hAnsi="Times New Roman" w:eastAsia="宋体"/>
                      <w:sz w:val="21"/>
                      <w:szCs w:val="21"/>
                    </w:rPr>
                  </w:pPr>
                  <w:r>
                    <w:rPr>
                      <w:rFonts w:hint="eastAsia" w:ascii="Times New Roman" w:hAnsi="Times New Roman" w:eastAsia="宋体"/>
                      <w:sz w:val="21"/>
                      <w:szCs w:val="21"/>
                    </w:rPr>
                    <w:t>《大气污染物综合排放标准》</w:t>
                  </w:r>
                </w:p>
              </w:tc>
            </w:tr>
          </w:tbl>
          <w:p>
            <w:pPr>
              <w:ind w:firstLine="0" w:firstLineChars="0"/>
              <w:jc w:val="center"/>
              <w:rPr>
                <w:rFonts w:ascii="黑体" w:hAnsi="黑体" w:eastAsia="黑体"/>
                <w:kern w:val="0"/>
              </w:rPr>
            </w:pPr>
            <w:r>
              <w:rPr>
                <w:rFonts w:hint="eastAsia" w:ascii="黑体" w:hAnsi="黑体" w:eastAsia="黑体"/>
                <w:kern w:val="0"/>
              </w:rPr>
              <w:t>表</w:t>
            </w:r>
            <w:r>
              <w:rPr>
                <w:bCs/>
              </w:rPr>
              <w:t>53</w:t>
            </w:r>
            <w:r>
              <w:rPr>
                <w:rFonts w:hint="eastAsia"/>
                <w:bCs/>
              </w:rPr>
              <w:t xml:space="preserve"> </w:t>
            </w:r>
            <w:r>
              <w:rPr>
                <w:rFonts w:hint="eastAsia" w:ascii="黑体" w:hAnsi="黑体" w:eastAsia="黑体"/>
                <w:kern w:val="0"/>
              </w:rPr>
              <w:t xml:space="preserve"> 噪声监测方案</w:t>
            </w:r>
          </w:p>
          <w:tbl>
            <w:tblPr>
              <w:tblStyle w:val="7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3"/>
              <w:gridCol w:w="1622"/>
              <w:gridCol w:w="2505"/>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pct"/>
                  <w:vAlign w:val="center"/>
                </w:tcPr>
                <w:p>
                  <w:pPr>
                    <w:widowControl/>
                    <w:spacing w:line="240" w:lineRule="auto"/>
                    <w:ind w:firstLine="0" w:firstLineChars="0"/>
                    <w:jc w:val="center"/>
                    <w:rPr>
                      <w:kern w:val="0"/>
                      <w:sz w:val="21"/>
                      <w:szCs w:val="21"/>
                    </w:rPr>
                  </w:pPr>
                  <w:r>
                    <w:rPr>
                      <w:kern w:val="0"/>
                      <w:sz w:val="21"/>
                      <w:szCs w:val="21"/>
                    </w:rPr>
                    <w:t>监测点位</w:t>
                  </w:r>
                </w:p>
              </w:tc>
              <w:tc>
                <w:tcPr>
                  <w:tcW w:w="895" w:type="pct"/>
                  <w:vAlign w:val="center"/>
                </w:tcPr>
                <w:p>
                  <w:pPr>
                    <w:widowControl/>
                    <w:spacing w:line="240" w:lineRule="auto"/>
                    <w:ind w:firstLine="0" w:firstLineChars="0"/>
                    <w:jc w:val="center"/>
                    <w:rPr>
                      <w:kern w:val="0"/>
                      <w:sz w:val="21"/>
                      <w:szCs w:val="21"/>
                    </w:rPr>
                  </w:pPr>
                  <w:r>
                    <w:rPr>
                      <w:kern w:val="0"/>
                      <w:sz w:val="21"/>
                      <w:szCs w:val="21"/>
                    </w:rPr>
                    <w:t>监测指标</w:t>
                  </w:r>
                </w:p>
              </w:tc>
              <w:tc>
                <w:tcPr>
                  <w:tcW w:w="1382" w:type="pct"/>
                  <w:vAlign w:val="center"/>
                </w:tcPr>
                <w:p>
                  <w:pPr>
                    <w:widowControl/>
                    <w:spacing w:line="240" w:lineRule="auto"/>
                    <w:ind w:firstLine="0" w:firstLineChars="0"/>
                    <w:jc w:val="center"/>
                    <w:rPr>
                      <w:kern w:val="0"/>
                      <w:sz w:val="21"/>
                      <w:szCs w:val="21"/>
                    </w:rPr>
                  </w:pPr>
                  <w:r>
                    <w:rPr>
                      <w:kern w:val="0"/>
                      <w:sz w:val="21"/>
                      <w:szCs w:val="21"/>
                    </w:rPr>
                    <w:t>监测频次</w:t>
                  </w:r>
                </w:p>
              </w:tc>
              <w:tc>
                <w:tcPr>
                  <w:tcW w:w="1750" w:type="pct"/>
                  <w:vAlign w:val="center"/>
                </w:tcPr>
                <w:p>
                  <w:pPr>
                    <w:widowControl/>
                    <w:spacing w:line="240" w:lineRule="auto"/>
                    <w:ind w:firstLine="0" w:firstLineChars="0"/>
                    <w:jc w:val="center"/>
                    <w:rPr>
                      <w:kern w:val="0"/>
                      <w:sz w:val="21"/>
                      <w:szCs w:val="21"/>
                    </w:rPr>
                  </w:pPr>
                  <w:r>
                    <w:rPr>
                      <w:kern w:val="0"/>
                      <w:sz w:val="21"/>
                      <w:szCs w:val="21"/>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pct"/>
                  <w:vAlign w:val="center"/>
                </w:tcPr>
                <w:p>
                  <w:pPr>
                    <w:widowControl/>
                    <w:spacing w:line="240" w:lineRule="auto"/>
                    <w:ind w:firstLine="0" w:firstLineChars="0"/>
                    <w:jc w:val="center"/>
                    <w:rPr>
                      <w:kern w:val="0"/>
                      <w:sz w:val="21"/>
                      <w:szCs w:val="21"/>
                    </w:rPr>
                  </w:pPr>
                  <w:r>
                    <w:rPr>
                      <w:rFonts w:hint="eastAsia"/>
                      <w:sz w:val="21"/>
                      <w:szCs w:val="21"/>
                    </w:rPr>
                    <w:t>厂界</w:t>
                  </w:r>
                </w:p>
              </w:tc>
              <w:tc>
                <w:tcPr>
                  <w:tcW w:w="895" w:type="pct"/>
                  <w:vAlign w:val="center"/>
                </w:tcPr>
                <w:p>
                  <w:pPr>
                    <w:widowControl/>
                    <w:spacing w:line="240" w:lineRule="auto"/>
                    <w:ind w:firstLine="0" w:firstLineChars="0"/>
                    <w:jc w:val="center"/>
                    <w:rPr>
                      <w:kern w:val="0"/>
                      <w:sz w:val="21"/>
                      <w:szCs w:val="21"/>
                    </w:rPr>
                  </w:pPr>
                  <w:r>
                    <w:rPr>
                      <w:sz w:val="21"/>
                      <w:szCs w:val="21"/>
                    </w:rPr>
                    <w:t>Leq</w:t>
                  </w:r>
                  <w:r>
                    <w:rPr>
                      <w:rFonts w:hint="eastAsia"/>
                      <w:sz w:val="21"/>
                      <w:szCs w:val="21"/>
                    </w:rPr>
                    <w:t>，同时统计</w:t>
                  </w:r>
                  <w:r>
                    <w:rPr>
                      <w:sz w:val="21"/>
                      <w:szCs w:val="21"/>
                    </w:rPr>
                    <w:t>L</w:t>
                  </w:r>
                  <w:r>
                    <w:rPr>
                      <w:sz w:val="21"/>
                      <w:szCs w:val="21"/>
                      <w:vertAlign w:val="subscript"/>
                    </w:rPr>
                    <w:t>10</w:t>
                  </w:r>
                  <w:r>
                    <w:rPr>
                      <w:rFonts w:hint="eastAsia"/>
                      <w:sz w:val="21"/>
                      <w:szCs w:val="21"/>
                    </w:rPr>
                    <w:t>、</w:t>
                  </w:r>
                  <w:r>
                    <w:rPr>
                      <w:sz w:val="21"/>
                      <w:szCs w:val="21"/>
                    </w:rPr>
                    <w:t>L</w:t>
                  </w:r>
                  <w:r>
                    <w:rPr>
                      <w:sz w:val="21"/>
                      <w:szCs w:val="21"/>
                      <w:vertAlign w:val="subscript"/>
                    </w:rPr>
                    <w:t>50</w:t>
                  </w:r>
                  <w:r>
                    <w:rPr>
                      <w:rFonts w:hint="eastAsia"/>
                      <w:sz w:val="21"/>
                      <w:szCs w:val="21"/>
                    </w:rPr>
                    <w:t>、</w:t>
                  </w:r>
                  <w:r>
                    <w:rPr>
                      <w:sz w:val="21"/>
                      <w:szCs w:val="21"/>
                    </w:rPr>
                    <w:t>L</w:t>
                  </w:r>
                  <w:r>
                    <w:rPr>
                      <w:sz w:val="21"/>
                      <w:szCs w:val="21"/>
                      <w:vertAlign w:val="subscript"/>
                    </w:rPr>
                    <w:t>90</w:t>
                  </w:r>
                </w:p>
              </w:tc>
              <w:tc>
                <w:tcPr>
                  <w:tcW w:w="1382" w:type="pct"/>
                  <w:vAlign w:val="center"/>
                </w:tcPr>
                <w:p>
                  <w:pPr>
                    <w:widowControl/>
                    <w:spacing w:line="240" w:lineRule="auto"/>
                    <w:ind w:firstLine="0" w:firstLineChars="0"/>
                    <w:jc w:val="center"/>
                    <w:rPr>
                      <w:kern w:val="0"/>
                      <w:sz w:val="21"/>
                      <w:szCs w:val="21"/>
                    </w:rPr>
                  </w:pPr>
                  <w:r>
                    <w:rPr>
                      <w:rFonts w:hint="eastAsia"/>
                      <w:spacing w:val="4"/>
                      <w:sz w:val="21"/>
                      <w:szCs w:val="21"/>
                    </w:rPr>
                    <w:t>每季度进行一次监测，每次昼夜各监测一次</w:t>
                  </w:r>
                </w:p>
              </w:tc>
              <w:tc>
                <w:tcPr>
                  <w:tcW w:w="1750" w:type="pct"/>
                  <w:vAlign w:val="center"/>
                </w:tcPr>
                <w:p>
                  <w:pPr>
                    <w:spacing w:line="240" w:lineRule="auto"/>
                    <w:ind w:firstLine="0" w:firstLineChars="0"/>
                    <w:jc w:val="center"/>
                    <w:rPr>
                      <w:kern w:val="0"/>
                      <w:sz w:val="21"/>
                      <w:szCs w:val="21"/>
                    </w:rPr>
                  </w:pPr>
                  <w:r>
                    <w:rPr>
                      <w:rFonts w:hint="eastAsia"/>
                      <w:sz w:val="21"/>
                      <w:szCs w:val="21"/>
                    </w:rPr>
                    <w:t>《工业企业厂界环境噪声排放标准》（</w:t>
                  </w:r>
                  <w:r>
                    <w:rPr>
                      <w:sz w:val="21"/>
                      <w:szCs w:val="21"/>
                    </w:rPr>
                    <w:t>GB12348-2008</w:t>
                  </w:r>
                  <w:r>
                    <w:rPr>
                      <w:rFonts w:hint="eastAsia"/>
                      <w:sz w:val="21"/>
                      <w:szCs w:val="21"/>
                    </w:rPr>
                    <w:t>）中</w:t>
                  </w:r>
                  <w:r>
                    <w:rPr>
                      <w:sz w:val="21"/>
                      <w:szCs w:val="21"/>
                    </w:rPr>
                    <w:t>2</w:t>
                  </w:r>
                  <w:r>
                    <w:rPr>
                      <w:rFonts w:hint="eastAsia"/>
                      <w:sz w:val="21"/>
                      <w:szCs w:val="21"/>
                    </w:rPr>
                    <w:t>类标准</w:t>
                  </w:r>
                </w:p>
              </w:tc>
            </w:tr>
          </w:tbl>
          <w:p>
            <w:pPr>
              <w:pStyle w:val="144"/>
              <w:spacing w:before="0" w:after="0"/>
              <w:ind w:firstLine="0" w:firstLineChars="0"/>
              <w:rPr>
                <w:b/>
              </w:rPr>
            </w:pPr>
            <w:r>
              <w:rPr>
                <w:rFonts w:hint="eastAsia" w:hAnsi="宋体"/>
                <w:b/>
              </w:rPr>
              <w:t>七</w:t>
            </w:r>
            <w:r>
              <w:rPr>
                <w:rFonts w:hAnsi="宋体"/>
                <w:b/>
              </w:rPr>
              <w:t>、</w:t>
            </w:r>
            <w:r>
              <w:rPr>
                <w:rFonts w:hint="eastAsia" w:hAnsi="宋体"/>
                <w:b/>
              </w:rPr>
              <w:t>“三本账”分析及总量控制</w:t>
            </w:r>
          </w:p>
          <w:p>
            <w:pPr>
              <w:pStyle w:val="144"/>
              <w:spacing w:before="0" w:after="0"/>
              <w:ind w:firstLine="496"/>
              <w:rPr>
                <w:rFonts w:hAnsi="宋体"/>
                <w:b/>
              </w:rPr>
            </w:pPr>
            <w:r>
              <w:rPr>
                <w:spacing w:val="4"/>
              </w:rPr>
              <w:t>项目三本账分析见</w:t>
            </w:r>
            <w:r>
              <w:rPr>
                <w:rFonts w:hint="eastAsia"/>
                <w:spacing w:val="4"/>
              </w:rPr>
              <w:t>下</w:t>
            </w:r>
            <w:r>
              <w:rPr>
                <w:spacing w:val="4"/>
              </w:rPr>
              <w:t>表。</w:t>
            </w:r>
          </w:p>
          <w:p>
            <w:pPr>
              <w:pStyle w:val="271"/>
              <w:adjustRightInd/>
              <w:spacing w:line="480" w:lineRule="exact"/>
              <w:ind w:firstLine="496"/>
              <w:jc w:val="center"/>
              <w:rPr>
                <w:rFonts w:ascii="黑体" w:hAnsi="黑体" w:eastAsia="黑体"/>
                <w:color w:val="auto"/>
                <w:spacing w:val="4"/>
                <w:kern w:val="2"/>
              </w:rPr>
            </w:pPr>
            <w:r>
              <w:rPr>
                <w:rFonts w:hint="eastAsia" w:ascii="黑体" w:hAnsi="黑体" w:eastAsia="黑体"/>
                <w:color w:val="auto"/>
                <w:spacing w:val="4"/>
                <w:kern w:val="2"/>
              </w:rPr>
              <w:t>表</w:t>
            </w:r>
            <w:r>
              <w:rPr>
                <w:rFonts w:ascii="黑体" w:hAnsi="黑体" w:eastAsia="黑体"/>
                <w:color w:val="auto"/>
                <w:spacing w:val="4"/>
                <w:kern w:val="2"/>
              </w:rPr>
              <w:t xml:space="preserve">54  </w:t>
            </w:r>
            <w:r>
              <w:rPr>
                <w:rFonts w:hint="eastAsia" w:ascii="黑体" w:hAnsi="黑体" w:eastAsia="黑体"/>
                <w:color w:val="auto"/>
                <w:spacing w:val="4"/>
                <w:kern w:val="2"/>
              </w:rPr>
              <w:t>项目三本帐分析</w:t>
            </w:r>
            <w:r>
              <w:rPr>
                <w:rFonts w:ascii="黑体" w:hAnsi="黑体" w:eastAsia="黑体"/>
                <w:color w:val="auto"/>
                <w:spacing w:val="4"/>
                <w:kern w:val="2"/>
              </w:rPr>
              <w:t xml:space="preserve">     </w:t>
            </w:r>
            <w:r>
              <w:rPr>
                <w:rFonts w:hint="eastAsia" w:ascii="黑体" w:hAnsi="黑体" w:eastAsia="黑体"/>
                <w:color w:val="auto"/>
                <w:spacing w:val="4"/>
                <w:kern w:val="2"/>
              </w:rPr>
              <w:t>单位：</w:t>
            </w:r>
            <w:r>
              <w:rPr>
                <w:rFonts w:ascii="黑体" w:hAnsi="黑体" w:eastAsia="黑体"/>
                <w:color w:val="auto"/>
                <w:spacing w:val="4"/>
                <w:kern w:val="2"/>
              </w:rPr>
              <w:t xml:space="preserve"> t/a</w:t>
            </w:r>
          </w:p>
          <w:tbl>
            <w:tblPr>
              <w:tblStyle w:val="7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7"/>
              <w:gridCol w:w="1767"/>
              <w:gridCol w:w="1767"/>
              <w:gridCol w:w="1767"/>
              <w:gridCol w:w="17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67" w:type="dxa"/>
                  <w:vAlign w:val="center"/>
                </w:tcPr>
                <w:p>
                  <w:pPr>
                    <w:pStyle w:val="144"/>
                    <w:spacing w:before="0" w:after="0" w:line="240" w:lineRule="auto"/>
                    <w:ind w:firstLine="0" w:firstLineChars="0"/>
                    <w:jc w:val="center"/>
                    <w:rPr>
                      <w:rFonts w:hAnsi="宋体"/>
                      <w:bCs/>
                      <w:sz w:val="21"/>
                      <w:szCs w:val="21"/>
                    </w:rPr>
                  </w:pPr>
                  <w:r>
                    <w:rPr>
                      <w:rFonts w:hint="eastAsia" w:hAnsi="宋体"/>
                      <w:bCs/>
                      <w:sz w:val="21"/>
                      <w:szCs w:val="21"/>
                    </w:rPr>
                    <w:t>污染物</w:t>
                  </w:r>
                </w:p>
              </w:tc>
              <w:tc>
                <w:tcPr>
                  <w:tcW w:w="1767" w:type="dxa"/>
                  <w:vAlign w:val="center"/>
                </w:tcPr>
                <w:p>
                  <w:pPr>
                    <w:pStyle w:val="144"/>
                    <w:spacing w:before="0" w:after="0" w:line="240" w:lineRule="auto"/>
                    <w:ind w:firstLine="0" w:firstLineChars="0"/>
                    <w:jc w:val="center"/>
                    <w:rPr>
                      <w:rFonts w:hAnsi="宋体"/>
                      <w:bCs/>
                      <w:sz w:val="21"/>
                      <w:szCs w:val="21"/>
                    </w:rPr>
                  </w:pPr>
                  <w:r>
                    <w:rPr>
                      <w:rFonts w:hint="eastAsia" w:hAnsi="宋体"/>
                      <w:bCs/>
                      <w:sz w:val="21"/>
                      <w:szCs w:val="21"/>
                    </w:rPr>
                    <w:t>原有工程</w:t>
                  </w:r>
                </w:p>
              </w:tc>
              <w:tc>
                <w:tcPr>
                  <w:tcW w:w="1767" w:type="dxa"/>
                  <w:vAlign w:val="center"/>
                </w:tcPr>
                <w:p>
                  <w:pPr>
                    <w:pStyle w:val="144"/>
                    <w:spacing w:before="0" w:after="0" w:line="240" w:lineRule="auto"/>
                    <w:ind w:firstLine="0" w:firstLineChars="0"/>
                    <w:jc w:val="center"/>
                    <w:rPr>
                      <w:rFonts w:hAnsi="宋体"/>
                      <w:bCs/>
                      <w:sz w:val="21"/>
                      <w:szCs w:val="21"/>
                    </w:rPr>
                  </w:pPr>
                  <w:r>
                    <w:rPr>
                      <w:rFonts w:hint="eastAsia" w:hAnsi="宋体"/>
                      <w:bCs/>
                      <w:sz w:val="21"/>
                      <w:szCs w:val="21"/>
                    </w:rPr>
                    <w:t>拟建工程</w:t>
                  </w:r>
                </w:p>
              </w:tc>
              <w:tc>
                <w:tcPr>
                  <w:tcW w:w="1767" w:type="dxa"/>
                  <w:vAlign w:val="center"/>
                </w:tcPr>
                <w:p>
                  <w:pPr>
                    <w:pStyle w:val="144"/>
                    <w:spacing w:before="0" w:after="0" w:line="240" w:lineRule="auto"/>
                    <w:ind w:firstLine="0" w:firstLineChars="0"/>
                    <w:jc w:val="center"/>
                    <w:rPr>
                      <w:rFonts w:hAnsi="宋体"/>
                      <w:bCs/>
                      <w:sz w:val="21"/>
                      <w:szCs w:val="21"/>
                    </w:rPr>
                  </w:pPr>
                  <w:r>
                    <w:rPr>
                      <w:rFonts w:hint="eastAsia"/>
                      <w:sz w:val="21"/>
                      <w:szCs w:val="21"/>
                    </w:rPr>
                    <w:t>“以新带老”削减量减量</w:t>
                  </w:r>
                </w:p>
              </w:tc>
              <w:tc>
                <w:tcPr>
                  <w:tcW w:w="1768" w:type="dxa"/>
                  <w:vAlign w:val="center"/>
                </w:tcPr>
                <w:p>
                  <w:pPr>
                    <w:pStyle w:val="144"/>
                    <w:spacing w:before="0" w:after="0" w:line="240" w:lineRule="auto"/>
                    <w:ind w:firstLine="0" w:firstLineChars="0"/>
                    <w:jc w:val="center"/>
                    <w:rPr>
                      <w:rFonts w:hAnsi="宋体"/>
                      <w:bCs/>
                      <w:sz w:val="21"/>
                      <w:szCs w:val="21"/>
                    </w:rPr>
                  </w:pPr>
                  <w:r>
                    <w:rPr>
                      <w:rFonts w:hint="eastAsia"/>
                      <w:spacing w:val="4"/>
                      <w:sz w:val="21"/>
                      <w:szCs w:val="21"/>
                    </w:rPr>
                    <w:t>最终排放量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67" w:type="dxa"/>
                  <w:vAlign w:val="center"/>
                </w:tcPr>
                <w:p>
                  <w:pPr>
                    <w:pStyle w:val="144"/>
                    <w:spacing w:before="0" w:after="0" w:line="240" w:lineRule="auto"/>
                    <w:ind w:firstLine="0" w:firstLineChars="0"/>
                    <w:jc w:val="center"/>
                    <w:rPr>
                      <w:rFonts w:hAnsi="宋体"/>
                      <w:bCs/>
                      <w:sz w:val="21"/>
                      <w:szCs w:val="21"/>
                    </w:rPr>
                  </w:pPr>
                  <w:r>
                    <w:rPr>
                      <w:rFonts w:hint="eastAsia" w:hAnsi="宋体"/>
                      <w:bCs/>
                      <w:sz w:val="21"/>
                      <w:szCs w:val="21"/>
                    </w:rPr>
                    <w:t>粉尘</w:t>
                  </w:r>
                </w:p>
              </w:tc>
              <w:tc>
                <w:tcPr>
                  <w:tcW w:w="1767" w:type="dxa"/>
                  <w:vAlign w:val="center"/>
                </w:tcPr>
                <w:p>
                  <w:pPr>
                    <w:pStyle w:val="144"/>
                    <w:spacing w:before="0" w:after="0" w:line="240" w:lineRule="auto"/>
                    <w:ind w:firstLine="0" w:firstLineChars="0"/>
                    <w:jc w:val="center"/>
                    <w:rPr>
                      <w:rFonts w:hAnsi="宋体"/>
                      <w:bCs/>
                      <w:sz w:val="21"/>
                      <w:szCs w:val="21"/>
                    </w:rPr>
                  </w:pPr>
                  <w:r>
                    <w:rPr>
                      <w:rFonts w:hint="eastAsia" w:hAnsi="宋体"/>
                      <w:bCs/>
                      <w:sz w:val="21"/>
                      <w:szCs w:val="21"/>
                    </w:rPr>
                    <w:t>0</w:t>
                  </w:r>
                  <w:r>
                    <w:rPr>
                      <w:rFonts w:hAnsi="宋体"/>
                      <w:bCs/>
                      <w:sz w:val="21"/>
                      <w:szCs w:val="21"/>
                    </w:rPr>
                    <w:t>.33</w:t>
                  </w:r>
                </w:p>
              </w:tc>
              <w:tc>
                <w:tcPr>
                  <w:tcW w:w="1767" w:type="dxa"/>
                  <w:vAlign w:val="center"/>
                </w:tcPr>
                <w:p>
                  <w:pPr>
                    <w:pStyle w:val="144"/>
                    <w:spacing w:before="0" w:after="0" w:line="240" w:lineRule="auto"/>
                    <w:ind w:firstLine="0" w:firstLineChars="0"/>
                    <w:jc w:val="center"/>
                    <w:rPr>
                      <w:rFonts w:hAnsi="宋体"/>
                      <w:bCs/>
                      <w:sz w:val="21"/>
                      <w:szCs w:val="21"/>
                    </w:rPr>
                  </w:pPr>
                  <w:r>
                    <w:rPr>
                      <w:rFonts w:hAnsi="宋体"/>
                      <w:bCs/>
                      <w:sz w:val="21"/>
                      <w:szCs w:val="21"/>
                    </w:rPr>
                    <w:t>2.88</w:t>
                  </w:r>
                </w:p>
              </w:tc>
              <w:tc>
                <w:tcPr>
                  <w:tcW w:w="1767" w:type="dxa"/>
                  <w:vAlign w:val="center"/>
                </w:tcPr>
                <w:p>
                  <w:pPr>
                    <w:pStyle w:val="144"/>
                    <w:spacing w:before="0" w:after="0" w:line="240" w:lineRule="auto"/>
                    <w:ind w:firstLine="0" w:firstLineChars="0"/>
                    <w:jc w:val="center"/>
                    <w:rPr>
                      <w:rFonts w:hAnsi="宋体"/>
                      <w:bCs/>
                      <w:sz w:val="21"/>
                      <w:szCs w:val="21"/>
                    </w:rPr>
                  </w:pPr>
                  <w:r>
                    <w:rPr>
                      <w:rFonts w:hint="eastAsia" w:hAnsi="宋体"/>
                      <w:bCs/>
                      <w:sz w:val="21"/>
                      <w:szCs w:val="21"/>
                    </w:rPr>
                    <w:t>0</w:t>
                  </w:r>
                </w:p>
              </w:tc>
              <w:tc>
                <w:tcPr>
                  <w:tcW w:w="1768" w:type="dxa"/>
                  <w:vAlign w:val="center"/>
                </w:tcPr>
                <w:p>
                  <w:pPr>
                    <w:pStyle w:val="144"/>
                    <w:spacing w:before="0" w:after="0" w:line="240" w:lineRule="auto"/>
                    <w:ind w:firstLine="0" w:firstLineChars="0"/>
                    <w:jc w:val="center"/>
                    <w:rPr>
                      <w:rFonts w:hAnsi="宋体"/>
                      <w:bCs/>
                      <w:sz w:val="21"/>
                      <w:szCs w:val="21"/>
                    </w:rPr>
                  </w:pPr>
                  <w:r>
                    <w:rPr>
                      <w:rFonts w:hAnsi="宋体"/>
                      <w:bCs/>
                      <w:sz w:val="21"/>
                      <w:szCs w:val="21"/>
                    </w:rPr>
                    <w:t>3.21</w:t>
                  </w:r>
                </w:p>
              </w:tc>
            </w:tr>
          </w:tbl>
          <w:p>
            <w:pPr>
              <w:pStyle w:val="144"/>
              <w:spacing w:before="0" w:after="0"/>
              <w:ind w:firstLine="480"/>
              <w:rPr>
                <w:rFonts w:hAnsi="宋体"/>
                <w:bCs/>
              </w:rPr>
            </w:pPr>
            <w:r>
              <w:rPr>
                <w:rFonts w:hint="eastAsia"/>
              </w:rPr>
              <w:t>交城县西冶兴威矿石加工厂原名交城县西冶华钰选矿厂，2</w:t>
            </w:r>
            <w:r>
              <w:t>010</w:t>
            </w:r>
            <w:r>
              <w:rPr>
                <w:rFonts w:hint="eastAsia"/>
              </w:rPr>
              <w:t>年改为现名。交城县西冶兴威矿石加工厂现建有“年产1</w:t>
            </w:r>
            <w:r>
              <w:t>0</w:t>
            </w:r>
            <w:r>
              <w:rPr>
                <w:rFonts w:hint="eastAsia"/>
              </w:rPr>
              <w:t>万吨铁精矿粉项目”，该项目年入选原矿1</w:t>
            </w:r>
            <w:r>
              <w:t>5</w:t>
            </w:r>
            <w:r>
              <w:rPr>
                <w:rFonts w:hint="eastAsia"/>
              </w:rPr>
              <w:t>万吨，年产1</w:t>
            </w:r>
            <w:r>
              <w:t>0</w:t>
            </w:r>
            <w:r>
              <w:rPr>
                <w:rFonts w:hint="eastAsia"/>
              </w:rPr>
              <w:t>万吨铁精矿粉；该项目于2</w:t>
            </w:r>
            <w:r>
              <w:t>007</w:t>
            </w:r>
            <w:r>
              <w:rPr>
                <w:rFonts w:hint="eastAsia"/>
              </w:rPr>
              <w:t>年9月1</w:t>
            </w:r>
            <w:r>
              <w:t>2</w:t>
            </w:r>
            <w:r>
              <w:rPr>
                <w:rFonts w:hint="eastAsia"/>
              </w:rPr>
              <w:t>日由原交城县环境保护局以交环函[</w:t>
            </w:r>
            <w:r>
              <w:t>2007]75</w:t>
            </w:r>
            <w:r>
              <w:rPr>
                <w:rFonts w:hint="eastAsia"/>
              </w:rPr>
              <w:t>号文对项目《环境影响报告表》予以批复，于</w:t>
            </w:r>
            <w:r>
              <w:rPr>
                <w:rFonts w:hAnsi="宋体"/>
                <w:bCs/>
              </w:rPr>
              <w:t>2007</w:t>
            </w:r>
            <w:r>
              <w:rPr>
                <w:rFonts w:hint="eastAsia" w:hAnsi="宋体"/>
                <w:bCs/>
              </w:rPr>
              <w:t>年</w:t>
            </w:r>
            <w:r>
              <w:rPr>
                <w:rFonts w:hAnsi="宋体"/>
                <w:bCs/>
              </w:rPr>
              <w:t>7</w:t>
            </w:r>
            <w:r>
              <w:rPr>
                <w:rFonts w:hint="eastAsia" w:hAnsi="宋体"/>
                <w:bCs/>
              </w:rPr>
              <w:t>月</w:t>
            </w:r>
            <w:r>
              <w:rPr>
                <w:rFonts w:hAnsi="宋体"/>
                <w:bCs/>
              </w:rPr>
              <w:t>11</w:t>
            </w:r>
            <w:r>
              <w:rPr>
                <w:rFonts w:hint="eastAsia" w:hAnsi="宋体"/>
                <w:bCs/>
              </w:rPr>
              <w:t>日由山西省交城县环境保护局对该公司核定了排污总量为（交环函</w:t>
            </w:r>
            <w:r>
              <w:rPr>
                <w:rFonts w:hAnsi="宋体"/>
                <w:bCs/>
              </w:rPr>
              <w:t>[2007]36</w:t>
            </w:r>
            <w:r>
              <w:rPr>
                <w:rFonts w:hint="eastAsia" w:hAnsi="宋体"/>
                <w:bCs/>
              </w:rPr>
              <w:t>号）：粉尘</w:t>
            </w:r>
            <w:r>
              <w:rPr>
                <w:rFonts w:hAnsi="宋体"/>
                <w:bCs/>
              </w:rPr>
              <w:t>18</w:t>
            </w:r>
            <w:r>
              <w:rPr>
                <w:rFonts w:hint="eastAsia" w:hAnsi="宋体"/>
                <w:bCs/>
              </w:rPr>
              <w:t>t</w:t>
            </w:r>
            <w:r>
              <w:rPr>
                <w:rFonts w:hAnsi="宋体"/>
                <w:bCs/>
              </w:rPr>
              <w:t>/a</w:t>
            </w:r>
            <w:r>
              <w:rPr>
                <w:rFonts w:hint="eastAsia" w:hAnsi="宋体"/>
                <w:bCs/>
              </w:rPr>
              <w:t>。</w:t>
            </w:r>
            <w:r>
              <w:rPr>
                <w:rFonts w:hint="eastAsia"/>
              </w:rPr>
              <w:t>建设单位于2</w:t>
            </w:r>
            <w:r>
              <w:t>020</w:t>
            </w:r>
            <w:r>
              <w:rPr>
                <w:rFonts w:hint="eastAsia"/>
              </w:rPr>
              <w:t>年5月2</w:t>
            </w:r>
            <w:r>
              <w:t>0</w:t>
            </w:r>
            <w:r>
              <w:rPr>
                <w:rFonts w:hint="eastAsia"/>
              </w:rPr>
              <w:t>日组织了该项目竣工环境保护验收并通过环保验收。根据《现有工程竣工环境保护验收监测报告》（2</w:t>
            </w:r>
            <w:r>
              <w:t>020</w:t>
            </w:r>
            <w:r>
              <w:rPr>
                <w:rFonts w:hint="eastAsia"/>
              </w:rPr>
              <w:t>年6月），现有工程粉尘排放量为0</w:t>
            </w:r>
            <w:r>
              <w:t>.33</w:t>
            </w:r>
            <w:r>
              <w:rPr>
                <w:rFonts w:hint="eastAsia"/>
              </w:rPr>
              <w:t>t/a。本项目建设完成后，交城县西冶兴威矿石加工厂粉尘排放量为</w:t>
            </w:r>
            <w:r>
              <w:t>3.21</w:t>
            </w:r>
            <w:r>
              <w:rPr>
                <w:rFonts w:hint="eastAsia"/>
              </w:rPr>
              <w:t>t/a，满足总量控制要求。</w:t>
            </w:r>
          </w:p>
          <w:p>
            <w:pPr>
              <w:pStyle w:val="144"/>
              <w:spacing w:before="0" w:after="0"/>
              <w:ind w:firstLine="0" w:firstLineChars="0"/>
              <w:rPr>
                <w:b/>
              </w:rPr>
            </w:pPr>
            <w:r>
              <w:rPr>
                <w:rFonts w:hint="eastAsia" w:hAnsi="宋体"/>
                <w:b/>
              </w:rPr>
              <w:t>八</w:t>
            </w:r>
            <w:r>
              <w:rPr>
                <w:rFonts w:hAnsi="宋体"/>
                <w:b/>
              </w:rPr>
              <w:t>、环保设备投资估算</w:t>
            </w:r>
          </w:p>
          <w:p>
            <w:pPr>
              <w:pStyle w:val="144"/>
              <w:spacing w:before="0" w:after="0"/>
              <w:ind w:firstLine="480"/>
            </w:pPr>
            <w:r>
              <w:t>本项目主要环保投资即环保设备投资估算见</w:t>
            </w:r>
            <w:r>
              <w:rPr>
                <w:rFonts w:hint="eastAsia"/>
              </w:rPr>
              <w:t>下</w:t>
            </w:r>
            <w:r>
              <w:t>表</w:t>
            </w:r>
            <w:r>
              <w:rPr>
                <w:rFonts w:hint="eastAsia"/>
              </w:rPr>
              <w:t>。</w:t>
            </w:r>
          </w:p>
          <w:p>
            <w:pPr>
              <w:pStyle w:val="169"/>
              <w:spacing w:line="480" w:lineRule="exact"/>
              <w:rPr>
                <w:rFonts w:ascii="黑体" w:hAnsi="黑体" w:eastAsia="黑体"/>
              </w:rPr>
            </w:pPr>
            <w:r>
              <w:rPr>
                <w:rFonts w:ascii="黑体" w:hAnsi="黑体" w:eastAsia="黑体"/>
              </w:rPr>
              <w:t xml:space="preserve">表55  </w:t>
            </w:r>
            <w:r>
              <w:rPr>
                <w:rFonts w:hint="eastAsia" w:ascii="黑体" w:hAnsi="黑体" w:eastAsia="黑体"/>
              </w:rPr>
              <w:t>本项目</w:t>
            </w:r>
            <w:r>
              <w:rPr>
                <w:rFonts w:ascii="黑体" w:hAnsi="黑体" w:eastAsia="黑体"/>
              </w:rPr>
              <w:t>环保设备投资估算表</w:t>
            </w:r>
            <w:r>
              <w:rPr>
                <w:rFonts w:hint="eastAsia" w:ascii="黑体" w:hAnsi="黑体" w:eastAsia="黑体"/>
              </w:rPr>
              <w:t xml:space="preserve"> </w:t>
            </w:r>
            <w:r>
              <w:rPr>
                <w:rFonts w:ascii="黑体" w:hAnsi="黑体" w:eastAsia="黑体"/>
              </w:rPr>
              <w:t>（万元）</w:t>
            </w:r>
          </w:p>
          <w:tbl>
            <w:tblPr>
              <w:tblStyle w:val="7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1434"/>
              <w:gridCol w:w="1180"/>
              <w:gridCol w:w="5071"/>
              <w:gridCol w:w="6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Align w:val="center"/>
                </w:tcPr>
                <w:p>
                  <w:pPr>
                    <w:pStyle w:val="142"/>
                    <w:snapToGrid/>
                  </w:pPr>
                  <w:r>
                    <w:t>序号</w:t>
                  </w:r>
                </w:p>
              </w:tc>
              <w:tc>
                <w:tcPr>
                  <w:tcW w:w="791" w:type="pct"/>
                  <w:vAlign w:val="center"/>
                </w:tcPr>
                <w:p>
                  <w:pPr>
                    <w:pStyle w:val="142"/>
                    <w:snapToGrid/>
                  </w:pPr>
                  <w:r>
                    <w:rPr>
                      <w:rFonts w:hint="eastAsia"/>
                    </w:rPr>
                    <w:t>污染源</w:t>
                  </w:r>
                </w:p>
              </w:tc>
              <w:tc>
                <w:tcPr>
                  <w:tcW w:w="651" w:type="pct"/>
                  <w:vAlign w:val="center"/>
                </w:tcPr>
                <w:p>
                  <w:pPr>
                    <w:pStyle w:val="142"/>
                    <w:snapToGrid/>
                  </w:pPr>
                  <w:r>
                    <w:rPr>
                      <w:rFonts w:hint="eastAsia"/>
                    </w:rPr>
                    <w:t>污染物</w:t>
                  </w:r>
                </w:p>
              </w:tc>
              <w:tc>
                <w:tcPr>
                  <w:tcW w:w="2798" w:type="pct"/>
                  <w:vAlign w:val="center"/>
                </w:tcPr>
                <w:p>
                  <w:pPr>
                    <w:pStyle w:val="142"/>
                    <w:snapToGrid/>
                  </w:pPr>
                  <w:r>
                    <w:rPr>
                      <w:rFonts w:hint="eastAsia"/>
                    </w:rPr>
                    <w:t>处理方式</w:t>
                  </w:r>
                </w:p>
              </w:tc>
              <w:tc>
                <w:tcPr>
                  <w:tcW w:w="356" w:type="pct"/>
                  <w:vAlign w:val="center"/>
                </w:tcPr>
                <w:p>
                  <w:pPr>
                    <w:pStyle w:val="142"/>
                    <w:snapToGrid/>
                  </w:pPr>
                  <w:r>
                    <w:rPr>
                      <w:rFonts w:hint="eastAsia"/>
                    </w:rPr>
                    <w:t>估算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Merge w:val="restart"/>
                  <w:vAlign w:val="center"/>
                </w:tcPr>
                <w:p>
                  <w:pPr>
                    <w:pStyle w:val="142"/>
                    <w:snapToGrid/>
                  </w:pPr>
                  <w:r>
                    <w:rPr>
                      <w:rFonts w:hint="eastAsia"/>
                    </w:rPr>
                    <w:t>大气</w:t>
                  </w:r>
                </w:p>
              </w:tc>
              <w:tc>
                <w:tcPr>
                  <w:tcW w:w="791"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堆场扬尘</w:t>
                  </w:r>
                </w:p>
              </w:tc>
              <w:tc>
                <w:tcPr>
                  <w:tcW w:w="651" w:type="pct"/>
                  <w:vAlign w:val="center"/>
                </w:tcPr>
                <w:p>
                  <w:pPr>
                    <w:pStyle w:val="142"/>
                    <w:snapToGrid/>
                  </w:pPr>
                  <w:r>
                    <w:rPr>
                      <w:rFonts w:hint="eastAsia"/>
                    </w:rPr>
                    <w:t>扬尘</w:t>
                  </w:r>
                </w:p>
              </w:tc>
              <w:tc>
                <w:tcPr>
                  <w:tcW w:w="2798"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原料、成品堆存设置为全封闭库，堆场地面硬化，于原料库顶设1套覆盖全堆场的库顶喷雾抑尘措施，成品为吨袋包装，成品库定期洒水抑尘、清扫。</w:t>
                  </w:r>
                </w:p>
              </w:tc>
              <w:tc>
                <w:tcPr>
                  <w:tcW w:w="356" w:type="pct"/>
                  <w:vAlign w:val="center"/>
                </w:tcPr>
                <w:p>
                  <w:pPr>
                    <w:pStyle w:val="142"/>
                    <w:snapToGrid/>
                  </w:pP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Merge w:val="continue"/>
                  <w:vAlign w:val="center"/>
                </w:tcPr>
                <w:p>
                  <w:pPr>
                    <w:pStyle w:val="142"/>
                    <w:snapToGrid/>
                  </w:pPr>
                </w:p>
              </w:tc>
              <w:tc>
                <w:tcPr>
                  <w:tcW w:w="791"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建筑骨料生产线粗破、反击破系统</w:t>
                  </w:r>
                </w:p>
              </w:tc>
              <w:tc>
                <w:tcPr>
                  <w:tcW w:w="651" w:type="pct"/>
                  <w:vAlign w:val="center"/>
                </w:tcPr>
                <w:p>
                  <w:pPr>
                    <w:pStyle w:val="142"/>
                    <w:snapToGrid/>
                  </w:pPr>
                  <w:r>
                    <w:rPr>
                      <w:rFonts w:hint="eastAsia"/>
                    </w:rPr>
                    <w:t>粉尘</w:t>
                  </w:r>
                </w:p>
              </w:tc>
              <w:tc>
                <w:tcPr>
                  <w:tcW w:w="2798"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建筑骨料生产线粗破、细破系统各产尘点分设集尘罩（鄂破入料口、鄂破、反击破、中间料仓），上料、鄂破、反击破、出料粉尘</w:t>
                  </w:r>
                  <w:r>
                    <w:rPr>
                      <w:rFonts w:hint="eastAsia"/>
                      <w:sz w:val="21"/>
                      <w:szCs w:val="21"/>
                    </w:rPr>
                    <w:t>收集后经1套脉冲布袋除尘器过滤处理后由1根15m高排气筒外排。</w:t>
                  </w:r>
                </w:p>
              </w:tc>
              <w:tc>
                <w:tcPr>
                  <w:tcW w:w="356" w:type="pct"/>
                  <w:vAlign w:val="center"/>
                </w:tcPr>
                <w:p>
                  <w:pPr>
                    <w:pStyle w:val="142"/>
                    <w:snapToGrid/>
                  </w:pPr>
                  <w: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404" w:type="pct"/>
                  <w:vMerge w:val="continue"/>
                  <w:vAlign w:val="center"/>
                </w:tcPr>
                <w:p>
                  <w:pPr>
                    <w:pStyle w:val="142"/>
                    <w:snapToGrid/>
                  </w:pPr>
                </w:p>
              </w:tc>
              <w:tc>
                <w:tcPr>
                  <w:tcW w:w="791"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建筑骨料生产线冲击破系统</w:t>
                  </w:r>
                </w:p>
              </w:tc>
              <w:tc>
                <w:tcPr>
                  <w:tcW w:w="651" w:type="pct"/>
                  <w:vAlign w:val="center"/>
                </w:tcPr>
                <w:p>
                  <w:pPr>
                    <w:pStyle w:val="142"/>
                    <w:snapToGrid/>
                  </w:pPr>
                  <w:r>
                    <w:rPr>
                      <w:rFonts w:hint="eastAsia" w:hAnsi="宋体"/>
                    </w:rPr>
                    <w:t>粉尘</w:t>
                  </w:r>
                </w:p>
              </w:tc>
              <w:tc>
                <w:tcPr>
                  <w:tcW w:w="2798" w:type="pct"/>
                  <w:vAlign w:val="center"/>
                </w:tcPr>
                <w:p>
                  <w:pPr>
                    <w:spacing w:line="240" w:lineRule="auto"/>
                    <w:ind w:firstLine="0" w:firstLineChars="0"/>
                    <w:jc w:val="center"/>
                    <w:rPr>
                      <w:rFonts w:hAnsi="宋体"/>
                      <w:bCs/>
                      <w:sz w:val="21"/>
                      <w:szCs w:val="21"/>
                    </w:rPr>
                  </w:pPr>
                  <w:r>
                    <w:rPr>
                      <w:rFonts w:hint="eastAsia" w:hAnsi="宋体"/>
                      <w:bCs/>
                      <w:sz w:val="21"/>
                      <w:szCs w:val="21"/>
                    </w:rPr>
                    <w:t>建筑骨料生产线冲击破系统各产尘点分设集尘罩（冲击破入料口、冲击破、振动筛、料仓），上料、冲击破、振动筛、出料粉尘</w:t>
                  </w:r>
                  <w:r>
                    <w:rPr>
                      <w:rFonts w:hint="eastAsia"/>
                      <w:sz w:val="21"/>
                      <w:szCs w:val="21"/>
                    </w:rPr>
                    <w:t>收集后经1套脉冲布袋除尘器过滤处理后由1根15m高排气筒外排。振动筛密闭后集尘。</w:t>
                  </w:r>
                </w:p>
              </w:tc>
              <w:tc>
                <w:tcPr>
                  <w:tcW w:w="356" w:type="pct"/>
                  <w:vAlign w:val="center"/>
                </w:tcPr>
                <w:p>
                  <w:pPr>
                    <w:pStyle w:val="142"/>
                    <w:snapToGrid/>
                  </w:pPr>
                  <w:r>
                    <w:rPr>
                      <w:rFonts w:hint="eastAsia"/>
                    </w:rPr>
                    <w:t>1</w:t>
                  </w: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Merge w:val="continue"/>
                  <w:vAlign w:val="center"/>
                </w:tcPr>
                <w:p>
                  <w:pPr>
                    <w:pStyle w:val="142"/>
                    <w:snapToGrid/>
                  </w:pPr>
                </w:p>
              </w:tc>
              <w:tc>
                <w:tcPr>
                  <w:tcW w:w="791"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微粉生产线鄂破系统</w:t>
                  </w:r>
                </w:p>
              </w:tc>
              <w:tc>
                <w:tcPr>
                  <w:tcW w:w="651" w:type="pct"/>
                  <w:vAlign w:val="center"/>
                </w:tcPr>
                <w:p>
                  <w:pPr>
                    <w:pStyle w:val="142"/>
                    <w:snapToGrid/>
                  </w:pPr>
                  <w:r>
                    <w:rPr>
                      <w:rFonts w:hint="eastAsia" w:hAnsi="宋体"/>
                    </w:rPr>
                    <w:t>粉尘</w:t>
                  </w:r>
                </w:p>
              </w:tc>
              <w:tc>
                <w:tcPr>
                  <w:tcW w:w="2798" w:type="pct"/>
                  <w:vAlign w:val="center"/>
                </w:tcPr>
                <w:p>
                  <w:pPr>
                    <w:spacing w:line="240" w:lineRule="auto"/>
                    <w:ind w:firstLine="0" w:firstLineChars="0"/>
                    <w:jc w:val="center"/>
                    <w:rPr>
                      <w:sz w:val="21"/>
                      <w:szCs w:val="21"/>
                    </w:rPr>
                  </w:pPr>
                  <w:r>
                    <w:rPr>
                      <w:rFonts w:hint="eastAsia" w:hAnsi="宋体"/>
                      <w:bCs/>
                      <w:sz w:val="21"/>
                      <w:szCs w:val="21"/>
                    </w:rPr>
                    <w:t>微粉生产线鄂破系统各产尘点分设集尘罩（粗鄂破破入料口、粗鄂破、细鄂破、超细破碎机入料口），上料、鄂破粉尘</w:t>
                  </w:r>
                  <w:r>
                    <w:rPr>
                      <w:rFonts w:hint="eastAsia"/>
                      <w:sz w:val="21"/>
                      <w:szCs w:val="21"/>
                    </w:rPr>
                    <w:t>收集后经1套脉冲布袋除尘器过滤处理后由1根15m高排气筒外排。</w:t>
                  </w:r>
                </w:p>
              </w:tc>
              <w:tc>
                <w:tcPr>
                  <w:tcW w:w="356" w:type="pct"/>
                  <w:vAlign w:val="center"/>
                </w:tcPr>
                <w:p>
                  <w:pPr>
                    <w:pStyle w:val="142"/>
                    <w:snapToGrid/>
                  </w:pPr>
                  <w: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Merge w:val="continue"/>
                  <w:vAlign w:val="center"/>
                </w:tcPr>
                <w:p>
                  <w:pPr>
                    <w:pStyle w:val="142"/>
                    <w:snapToGrid/>
                  </w:pPr>
                </w:p>
              </w:tc>
              <w:tc>
                <w:tcPr>
                  <w:tcW w:w="791"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微粉生产线超细破碎机系统</w:t>
                  </w:r>
                </w:p>
              </w:tc>
              <w:tc>
                <w:tcPr>
                  <w:tcW w:w="651" w:type="pct"/>
                  <w:vAlign w:val="center"/>
                </w:tcPr>
                <w:p>
                  <w:pPr>
                    <w:pStyle w:val="142"/>
                    <w:snapToGrid/>
                  </w:pPr>
                  <w:r>
                    <w:rPr>
                      <w:rFonts w:hint="eastAsia" w:hAnsi="宋体"/>
                    </w:rPr>
                    <w:t>粉尘</w:t>
                  </w:r>
                </w:p>
              </w:tc>
              <w:tc>
                <w:tcPr>
                  <w:tcW w:w="2798" w:type="pct"/>
                  <w:vAlign w:val="center"/>
                </w:tcPr>
                <w:p>
                  <w:pPr>
                    <w:pStyle w:val="144"/>
                    <w:snapToGrid/>
                    <w:spacing w:before="0" w:after="0" w:line="240" w:lineRule="auto"/>
                    <w:ind w:firstLine="0" w:firstLineChars="0"/>
                    <w:jc w:val="center"/>
                    <w:rPr>
                      <w:rFonts w:hAnsi="宋体"/>
                      <w:bCs/>
                      <w:sz w:val="21"/>
                      <w:szCs w:val="21"/>
                    </w:rPr>
                  </w:pPr>
                  <w:r>
                    <w:rPr>
                      <w:rFonts w:hint="eastAsia"/>
                      <w:bCs/>
                      <w:sz w:val="21"/>
                      <w:szCs w:val="21"/>
                    </w:rPr>
                    <w:t>超细破碎系统</w:t>
                  </w:r>
                  <w:r>
                    <w:rPr>
                      <w:rFonts w:hint="eastAsia" w:hAnsi="宋体"/>
                      <w:bCs/>
                      <w:sz w:val="21"/>
                      <w:szCs w:val="21"/>
                    </w:rPr>
                    <w:t>各产尘点分设集尘罩（</w:t>
                  </w:r>
                  <w:r>
                    <w:rPr>
                      <w:rFonts w:hint="eastAsia"/>
                      <w:bCs/>
                      <w:sz w:val="21"/>
                      <w:szCs w:val="21"/>
                    </w:rPr>
                    <w:t>上料仓、超细破碎机、振动筛、成品料仓</w:t>
                  </w:r>
                  <w:r>
                    <w:rPr>
                      <w:rFonts w:hint="eastAsia" w:hAnsi="宋体"/>
                      <w:bCs/>
                      <w:sz w:val="21"/>
                      <w:szCs w:val="21"/>
                    </w:rPr>
                    <w:t>）</w:t>
                  </w:r>
                  <w:r>
                    <w:rPr>
                      <w:rFonts w:hint="eastAsia"/>
                      <w:bCs/>
                      <w:sz w:val="21"/>
                      <w:szCs w:val="21"/>
                    </w:rPr>
                    <w:t>，破碎、筛分粉尘收集后由1套脉冲布袋除尘器过滤处理后由1根1</w:t>
                  </w:r>
                  <w:r>
                    <w:rPr>
                      <w:bCs/>
                      <w:sz w:val="21"/>
                      <w:szCs w:val="21"/>
                    </w:rPr>
                    <w:t>5</w:t>
                  </w:r>
                  <w:r>
                    <w:rPr>
                      <w:rFonts w:hint="eastAsia"/>
                      <w:bCs/>
                      <w:sz w:val="21"/>
                      <w:szCs w:val="21"/>
                    </w:rPr>
                    <w:t>m高排气筒外排</w:t>
                  </w:r>
                  <w:r>
                    <w:rPr>
                      <w:rFonts w:hint="eastAsia"/>
                      <w:sz w:val="21"/>
                      <w:szCs w:val="21"/>
                    </w:rPr>
                    <w:t>。振动筛密闭后集尘。</w:t>
                  </w:r>
                </w:p>
              </w:tc>
              <w:tc>
                <w:tcPr>
                  <w:tcW w:w="356" w:type="pct"/>
                  <w:vAlign w:val="center"/>
                </w:tcPr>
                <w:p>
                  <w:pPr>
                    <w:pStyle w:val="142"/>
                    <w:snapToGrid/>
                  </w:pPr>
                  <w: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Merge w:val="restart"/>
                  <w:vAlign w:val="center"/>
                </w:tcPr>
                <w:p>
                  <w:pPr>
                    <w:pStyle w:val="142"/>
                    <w:snapToGrid/>
                  </w:pPr>
                  <w:r>
                    <w:rPr>
                      <w:rFonts w:hint="eastAsia"/>
                    </w:rPr>
                    <w:t>废水</w:t>
                  </w:r>
                </w:p>
              </w:tc>
              <w:tc>
                <w:tcPr>
                  <w:tcW w:w="791" w:type="pct"/>
                  <w:vAlign w:val="center"/>
                </w:tcPr>
                <w:p>
                  <w:pPr>
                    <w:pStyle w:val="142"/>
                    <w:snapToGrid/>
                  </w:pPr>
                  <w:r>
                    <w:rPr>
                      <w:rFonts w:hint="eastAsia"/>
                    </w:rPr>
                    <w:t>生活污水</w:t>
                  </w:r>
                </w:p>
              </w:tc>
              <w:tc>
                <w:tcPr>
                  <w:tcW w:w="651" w:type="pct"/>
                  <w:vAlign w:val="center"/>
                </w:tcPr>
                <w:p>
                  <w:pPr>
                    <w:pStyle w:val="142"/>
                    <w:snapToGrid/>
                  </w:pPr>
                  <w:r>
                    <w:rPr>
                      <w:rFonts w:hint="eastAsia"/>
                    </w:rPr>
                    <w:t>COD、BOD、SS</w:t>
                  </w:r>
                </w:p>
              </w:tc>
              <w:tc>
                <w:tcPr>
                  <w:tcW w:w="2798" w:type="pct"/>
                  <w:vAlign w:val="center"/>
                </w:tcPr>
                <w:p>
                  <w:pPr>
                    <w:pStyle w:val="144"/>
                    <w:snapToGrid/>
                    <w:spacing w:before="0" w:after="0" w:line="240" w:lineRule="auto"/>
                    <w:ind w:firstLine="0" w:firstLineChars="0"/>
                    <w:jc w:val="center"/>
                    <w:rPr>
                      <w:rFonts w:hAnsi="宋体"/>
                      <w:bCs/>
                      <w:color w:val="FF0000"/>
                      <w:sz w:val="21"/>
                      <w:szCs w:val="21"/>
                    </w:rPr>
                  </w:pPr>
                  <w:r>
                    <w:rPr>
                      <w:rFonts w:hint="eastAsia"/>
                      <w:sz w:val="21"/>
                      <w:szCs w:val="21"/>
                    </w:rPr>
                    <w:t>少量盥洗废水</w:t>
                  </w:r>
                  <w:r>
                    <w:rPr>
                      <w:rFonts w:hint="eastAsia"/>
                      <w:bCs/>
                      <w:sz w:val="21"/>
                      <w:szCs w:val="21"/>
                    </w:rPr>
                    <w:t>（0.24</w:t>
                  </w:r>
                  <w:r>
                    <w:rPr>
                      <w:bCs/>
                      <w:sz w:val="21"/>
                      <w:szCs w:val="21"/>
                    </w:rPr>
                    <w:t xml:space="preserve"> m</w:t>
                  </w:r>
                  <w:r>
                    <w:rPr>
                      <w:bCs/>
                      <w:sz w:val="21"/>
                      <w:szCs w:val="21"/>
                      <w:vertAlign w:val="superscript"/>
                    </w:rPr>
                    <w:t>3</w:t>
                  </w:r>
                  <w:r>
                    <w:rPr>
                      <w:bCs/>
                      <w:sz w:val="21"/>
                      <w:szCs w:val="21"/>
                    </w:rPr>
                    <w:t>/d</w:t>
                  </w:r>
                  <w:r>
                    <w:rPr>
                      <w:rFonts w:hint="eastAsia"/>
                      <w:bCs/>
                      <w:sz w:val="21"/>
                      <w:szCs w:val="21"/>
                    </w:rPr>
                    <w:t>）</w:t>
                  </w:r>
                  <w:r>
                    <w:rPr>
                      <w:rFonts w:hint="eastAsia"/>
                      <w:sz w:val="21"/>
                      <w:szCs w:val="21"/>
                    </w:rPr>
                    <w:t>用于泼洒抑尘；</w:t>
                  </w:r>
                  <w:r>
                    <w:rPr>
                      <w:rFonts w:hint="eastAsia"/>
                      <w:bCs/>
                      <w:sz w:val="21"/>
                      <w:szCs w:val="21"/>
                    </w:rPr>
                    <w:t>食堂餐余物及食堂废水（0.24</w:t>
                  </w:r>
                  <w:r>
                    <w:rPr>
                      <w:bCs/>
                      <w:sz w:val="21"/>
                      <w:szCs w:val="21"/>
                    </w:rPr>
                    <w:t>m</w:t>
                  </w:r>
                  <w:r>
                    <w:rPr>
                      <w:bCs/>
                      <w:sz w:val="21"/>
                      <w:szCs w:val="21"/>
                      <w:vertAlign w:val="superscript"/>
                    </w:rPr>
                    <w:t>3</w:t>
                  </w:r>
                  <w:r>
                    <w:rPr>
                      <w:bCs/>
                      <w:sz w:val="21"/>
                      <w:szCs w:val="21"/>
                    </w:rPr>
                    <w:t>/d</w:t>
                  </w:r>
                  <w:r>
                    <w:rPr>
                      <w:rFonts w:hint="eastAsia"/>
                      <w:bCs/>
                      <w:sz w:val="21"/>
                      <w:szCs w:val="21"/>
                    </w:rPr>
                    <w:t>）</w:t>
                  </w:r>
                  <w:r>
                    <w:rPr>
                      <w:rFonts w:hint="eastAsia"/>
                      <w:sz w:val="21"/>
                      <w:szCs w:val="21"/>
                    </w:rPr>
                    <w:t>经收集后委托有相关资质的单位外运处置</w:t>
                  </w:r>
                </w:p>
              </w:tc>
              <w:tc>
                <w:tcPr>
                  <w:tcW w:w="356" w:type="pct"/>
                  <w:vAlign w:val="center"/>
                </w:tcPr>
                <w:p>
                  <w:pPr>
                    <w:pStyle w:val="142"/>
                    <w:snapToGrid/>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Merge w:val="continue"/>
                  <w:vAlign w:val="center"/>
                </w:tcPr>
                <w:p>
                  <w:pPr>
                    <w:pStyle w:val="142"/>
                    <w:snapToGrid/>
                  </w:pPr>
                </w:p>
              </w:tc>
              <w:tc>
                <w:tcPr>
                  <w:tcW w:w="791" w:type="pct"/>
                  <w:vAlign w:val="center"/>
                </w:tcPr>
                <w:p>
                  <w:pPr>
                    <w:pStyle w:val="142"/>
                    <w:snapToGrid/>
                  </w:pPr>
                  <w:r>
                    <w:rPr>
                      <w:rFonts w:hint="eastAsia"/>
                    </w:rPr>
                    <w:t>洗车废水</w:t>
                  </w:r>
                </w:p>
              </w:tc>
              <w:tc>
                <w:tcPr>
                  <w:tcW w:w="651" w:type="pct"/>
                  <w:vAlign w:val="center"/>
                </w:tcPr>
                <w:p>
                  <w:pPr>
                    <w:pStyle w:val="142"/>
                    <w:snapToGrid/>
                  </w:pPr>
                  <w:r>
                    <w:rPr>
                      <w:rFonts w:hint="eastAsia"/>
                    </w:rPr>
                    <w:t>COD、SS</w:t>
                  </w:r>
                </w:p>
              </w:tc>
              <w:tc>
                <w:tcPr>
                  <w:tcW w:w="2798" w:type="pct"/>
                  <w:vAlign w:val="center"/>
                </w:tcPr>
                <w:p>
                  <w:pPr>
                    <w:pStyle w:val="144"/>
                    <w:snapToGrid/>
                    <w:spacing w:before="0" w:after="0" w:line="240" w:lineRule="auto"/>
                    <w:ind w:firstLine="0" w:firstLineChars="0"/>
                    <w:jc w:val="center"/>
                    <w:rPr>
                      <w:rFonts w:hAnsi="宋体"/>
                      <w:sz w:val="21"/>
                      <w:szCs w:val="21"/>
                    </w:rPr>
                  </w:pPr>
                  <w:r>
                    <w:rPr>
                      <w:rFonts w:hint="eastAsia"/>
                      <w:sz w:val="21"/>
                      <w:szCs w:val="21"/>
                    </w:rPr>
                    <w:t>洗车废水排至沉淀池沉淀处理后排入清水池循环使用，不外排；设1座1</w:t>
                  </w:r>
                  <w:r>
                    <w:rPr>
                      <w:sz w:val="21"/>
                      <w:szCs w:val="21"/>
                    </w:rPr>
                    <w:t>0</w:t>
                  </w:r>
                  <w:r>
                    <w:rPr>
                      <w:rFonts w:hint="eastAsia"/>
                      <w:sz w:val="21"/>
                      <w:szCs w:val="21"/>
                    </w:rPr>
                    <w:t>m</w:t>
                  </w:r>
                  <w:r>
                    <w:rPr>
                      <w:sz w:val="21"/>
                      <w:szCs w:val="21"/>
                      <w:vertAlign w:val="superscript"/>
                    </w:rPr>
                    <w:t>3</w:t>
                  </w:r>
                  <w:r>
                    <w:rPr>
                      <w:rFonts w:hint="eastAsia"/>
                      <w:sz w:val="21"/>
                      <w:szCs w:val="21"/>
                    </w:rPr>
                    <w:t>沉淀池，1座1</w:t>
                  </w:r>
                  <w:r>
                    <w:rPr>
                      <w:sz w:val="21"/>
                      <w:szCs w:val="21"/>
                    </w:rPr>
                    <w:t>0</w:t>
                  </w:r>
                  <w:r>
                    <w:rPr>
                      <w:rFonts w:hint="eastAsia"/>
                      <w:sz w:val="21"/>
                      <w:szCs w:val="21"/>
                    </w:rPr>
                    <w:t>m</w:t>
                  </w:r>
                  <w:r>
                    <w:rPr>
                      <w:sz w:val="21"/>
                      <w:szCs w:val="21"/>
                      <w:vertAlign w:val="superscript"/>
                    </w:rPr>
                    <w:t>3</w:t>
                  </w:r>
                  <w:r>
                    <w:rPr>
                      <w:rFonts w:hint="eastAsia"/>
                      <w:sz w:val="21"/>
                      <w:szCs w:val="21"/>
                    </w:rPr>
                    <w:t>清水池</w:t>
                  </w:r>
                </w:p>
              </w:tc>
              <w:tc>
                <w:tcPr>
                  <w:tcW w:w="356" w:type="pct"/>
                  <w:vAlign w:val="center"/>
                </w:tcPr>
                <w:p>
                  <w:pPr>
                    <w:pStyle w:val="142"/>
                    <w:snapToGrid/>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Merge w:val="restart"/>
                  <w:vAlign w:val="center"/>
                </w:tcPr>
                <w:p>
                  <w:pPr>
                    <w:pStyle w:val="142"/>
                  </w:pPr>
                  <w:r>
                    <w:rPr>
                      <w:rFonts w:hint="eastAsia"/>
                    </w:rPr>
                    <w:t>固废</w:t>
                  </w:r>
                </w:p>
              </w:tc>
              <w:tc>
                <w:tcPr>
                  <w:tcW w:w="791" w:type="pct"/>
                  <w:vAlign w:val="center"/>
                </w:tcPr>
                <w:p>
                  <w:pPr>
                    <w:autoSpaceDE w:val="0"/>
                    <w:autoSpaceDN w:val="0"/>
                    <w:spacing w:line="240" w:lineRule="auto"/>
                    <w:ind w:firstLine="0" w:firstLineChars="0"/>
                    <w:jc w:val="center"/>
                    <w:rPr>
                      <w:rFonts w:hAnsi="宋体"/>
                      <w:sz w:val="21"/>
                      <w:szCs w:val="21"/>
                    </w:rPr>
                  </w:pPr>
                  <w:r>
                    <w:rPr>
                      <w:rFonts w:hint="eastAsia" w:hAnsi="宋体"/>
                      <w:sz w:val="21"/>
                      <w:szCs w:val="21"/>
                    </w:rPr>
                    <w:t>除铁器</w:t>
                  </w:r>
                </w:p>
              </w:tc>
              <w:tc>
                <w:tcPr>
                  <w:tcW w:w="651" w:type="pct"/>
                  <w:vAlign w:val="center"/>
                </w:tcPr>
                <w:p>
                  <w:pPr>
                    <w:pStyle w:val="142"/>
                    <w:snapToGrid/>
                    <w:rPr>
                      <w:rFonts w:hAnsi="宋体"/>
                    </w:rPr>
                  </w:pPr>
                  <w:r>
                    <w:rPr>
                      <w:rFonts w:hint="eastAsia" w:hAnsi="宋体"/>
                    </w:rPr>
                    <w:t>含铁废矿石</w:t>
                  </w:r>
                </w:p>
              </w:tc>
              <w:tc>
                <w:tcPr>
                  <w:tcW w:w="2798" w:type="pct"/>
                  <w:vAlign w:val="center"/>
                </w:tcPr>
                <w:p>
                  <w:pPr>
                    <w:widowControl/>
                    <w:spacing w:line="240" w:lineRule="auto"/>
                    <w:ind w:firstLine="0" w:firstLineChars="0"/>
                    <w:jc w:val="center"/>
                    <w:rPr>
                      <w:sz w:val="21"/>
                      <w:szCs w:val="21"/>
                    </w:rPr>
                  </w:pPr>
                  <w:r>
                    <w:rPr>
                      <w:rFonts w:hint="eastAsia"/>
                      <w:sz w:val="21"/>
                      <w:szCs w:val="21"/>
                    </w:rPr>
                    <w:t>外售于铁厂综合利用</w:t>
                  </w:r>
                </w:p>
              </w:tc>
              <w:tc>
                <w:tcPr>
                  <w:tcW w:w="356" w:type="pct"/>
                  <w:vAlign w:val="center"/>
                </w:tcPr>
                <w:p>
                  <w:pPr>
                    <w:pStyle w:val="142"/>
                    <w:snapToGrid/>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Merge w:val="continue"/>
                  <w:vAlign w:val="center"/>
                </w:tcPr>
                <w:p>
                  <w:pPr>
                    <w:pStyle w:val="142"/>
                    <w:snapToGrid/>
                  </w:pPr>
                </w:p>
              </w:tc>
              <w:tc>
                <w:tcPr>
                  <w:tcW w:w="791" w:type="pct"/>
                  <w:vAlign w:val="center"/>
                </w:tcPr>
                <w:p>
                  <w:pPr>
                    <w:autoSpaceDE w:val="0"/>
                    <w:autoSpaceDN w:val="0"/>
                    <w:spacing w:line="240" w:lineRule="auto"/>
                    <w:ind w:firstLine="0" w:firstLineChars="0"/>
                    <w:jc w:val="center"/>
                    <w:rPr>
                      <w:sz w:val="21"/>
                      <w:szCs w:val="21"/>
                    </w:rPr>
                  </w:pPr>
                  <w:r>
                    <w:rPr>
                      <w:rFonts w:hint="eastAsia" w:hAnsi="宋体"/>
                      <w:sz w:val="21"/>
                      <w:szCs w:val="21"/>
                    </w:rPr>
                    <w:t>除尘器</w:t>
                  </w:r>
                </w:p>
              </w:tc>
              <w:tc>
                <w:tcPr>
                  <w:tcW w:w="651" w:type="pct"/>
                  <w:vAlign w:val="center"/>
                </w:tcPr>
                <w:p>
                  <w:pPr>
                    <w:pStyle w:val="142"/>
                    <w:snapToGrid/>
                  </w:pPr>
                  <w:r>
                    <w:rPr>
                      <w:rFonts w:hint="eastAsia" w:hAnsi="宋体"/>
                    </w:rPr>
                    <w:t>集尘灰</w:t>
                  </w:r>
                </w:p>
              </w:tc>
              <w:tc>
                <w:tcPr>
                  <w:tcW w:w="2798" w:type="pct"/>
                  <w:vAlign w:val="center"/>
                </w:tcPr>
                <w:p>
                  <w:pPr>
                    <w:pStyle w:val="144"/>
                    <w:snapToGrid/>
                    <w:spacing w:before="0" w:after="0" w:line="240" w:lineRule="auto"/>
                    <w:ind w:firstLine="0" w:firstLineChars="0"/>
                    <w:jc w:val="center"/>
                    <w:rPr>
                      <w:rFonts w:hAnsi="宋体"/>
                      <w:bCs/>
                      <w:sz w:val="21"/>
                      <w:szCs w:val="21"/>
                    </w:rPr>
                  </w:pPr>
                  <w:r>
                    <w:rPr>
                      <w:rFonts w:hint="eastAsia"/>
                      <w:sz w:val="21"/>
                      <w:szCs w:val="21"/>
                    </w:rPr>
                    <w:t>收集后可作为产品外售</w:t>
                  </w:r>
                </w:p>
              </w:tc>
              <w:tc>
                <w:tcPr>
                  <w:tcW w:w="356" w:type="pct"/>
                  <w:vAlign w:val="center"/>
                </w:tcPr>
                <w:p>
                  <w:pPr>
                    <w:pStyle w:val="142"/>
                    <w:snapToGrid/>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Merge w:val="continue"/>
                  <w:vAlign w:val="center"/>
                </w:tcPr>
                <w:p>
                  <w:pPr>
                    <w:pStyle w:val="142"/>
                    <w:snapToGrid/>
                  </w:pPr>
                </w:p>
              </w:tc>
              <w:tc>
                <w:tcPr>
                  <w:tcW w:w="791" w:type="pct"/>
                  <w:vAlign w:val="center"/>
                </w:tcPr>
                <w:p>
                  <w:pPr>
                    <w:autoSpaceDE w:val="0"/>
                    <w:autoSpaceDN w:val="0"/>
                    <w:spacing w:line="240" w:lineRule="auto"/>
                    <w:ind w:firstLine="0" w:firstLineChars="0"/>
                    <w:jc w:val="center"/>
                    <w:rPr>
                      <w:sz w:val="21"/>
                      <w:szCs w:val="21"/>
                    </w:rPr>
                  </w:pPr>
                  <w:r>
                    <w:rPr>
                      <w:rFonts w:hint="eastAsia"/>
                      <w:sz w:val="21"/>
                      <w:szCs w:val="21"/>
                    </w:rPr>
                    <w:t>设备维护</w:t>
                  </w:r>
                </w:p>
              </w:tc>
              <w:tc>
                <w:tcPr>
                  <w:tcW w:w="651" w:type="pct"/>
                  <w:vAlign w:val="center"/>
                </w:tcPr>
                <w:p>
                  <w:pPr>
                    <w:pStyle w:val="142"/>
                    <w:snapToGrid/>
                  </w:pPr>
                  <w:r>
                    <w:rPr>
                      <w:rFonts w:hint="eastAsia" w:hAnsi="宋体"/>
                    </w:rPr>
                    <w:t>废矿物油</w:t>
                  </w:r>
                </w:p>
              </w:tc>
              <w:tc>
                <w:tcPr>
                  <w:tcW w:w="2798" w:type="pct"/>
                  <w:vAlign w:val="center"/>
                </w:tcPr>
                <w:p>
                  <w:pPr>
                    <w:pStyle w:val="144"/>
                    <w:snapToGrid/>
                    <w:spacing w:before="0" w:after="0" w:line="240" w:lineRule="auto"/>
                    <w:ind w:firstLine="0" w:firstLineChars="0"/>
                    <w:jc w:val="center"/>
                    <w:rPr>
                      <w:rFonts w:hAnsi="宋体"/>
                      <w:bCs/>
                      <w:sz w:val="21"/>
                      <w:szCs w:val="21"/>
                    </w:rPr>
                  </w:pPr>
                  <w:r>
                    <w:rPr>
                      <w:rFonts w:hint="eastAsia" w:hAnsi="宋体"/>
                      <w:sz w:val="21"/>
                      <w:szCs w:val="21"/>
                    </w:rPr>
                    <w:t>废矿物油储存于特定容器中，暂存于危废库内，委托有相关处理资质的单位定期外协处置</w:t>
                  </w:r>
                </w:p>
              </w:tc>
              <w:tc>
                <w:tcPr>
                  <w:tcW w:w="356" w:type="pct"/>
                  <w:vAlign w:val="center"/>
                </w:tcPr>
                <w:p>
                  <w:pPr>
                    <w:pStyle w:val="142"/>
                    <w:snapToGrid/>
                  </w:pP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Merge w:val="continue"/>
                  <w:vAlign w:val="center"/>
                </w:tcPr>
                <w:p>
                  <w:pPr>
                    <w:pStyle w:val="142"/>
                    <w:snapToGrid/>
                  </w:pPr>
                </w:p>
              </w:tc>
              <w:tc>
                <w:tcPr>
                  <w:tcW w:w="791" w:type="pct"/>
                  <w:vAlign w:val="center"/>
                </w:tcPr>
                <w:p>
                  <w:pPr>
                    <w:autoSpaceDE w:val="0"/>
                    <w:autoSpaceDN w:val="0"/>
                    <w:spacing w:line="240" w:lineRule="auto"/>
                    <w:ind w:firstLine="0" w:firstLineChars="0"/>
                    <w:jc w:val="center"/>
                    <w:rPr>
                      <w:sz w:val="21"/>
                      <w:szCs w:val="21"/>
                    </w:rPr>
                  </w:pPr>
                  <w:r>
                    <w:rPr>
                      <w:rFonts w:hint="eastAsia"/>
                      <w:sz w:val="21"/>
                      <w:szCs w:val="21"/>
                    </w:rPr>
                    <w:t>生活办公</w:t>
                  </w:r>
                </w:p>
              </w:tc>
              <w:tc>
                <w:tcPr>
                  <w:tcW w:w="651" w:type="pct"/>
                  <w:vAlign w:val="center"/>
                </w:tcPr>
                <w:p>
                  <w:pPr>
                    <w:pStyle w:val="142"/>
                    <w:snapToGrid/>
                    <w:rPr>
                      <w:rFonts w:hAnsi="宋体"/>
                    </w:rPr>
                  </w:pPr>
                  <w:r>
                    <w:rPr>
                      <w:rFonts w:hAnsi="宋体"/>
                    </w:rPr>
                    <w:t>生活垃圾</w:t>
                  </w:r>
                </w:p>
              </w:tc>
              <w:tc>
                <w:tcPr>
                  <w:tcW w:w="2798" w:type="pct"/>
                  <w:vAlign w:val="center"/>
                </w:tcPr>
                <w:p>
                  <w:pPr>
                    <w:pStyle w:val="144"/>
                    <w:snapToGrid/>
                    <w:spacing w:before="0" w:after="0" w:line="240" w:lineRule="auto"/>
                    <w:ind w:firstLine="0" w:firstLineChars="0"/>
                    <w:jc w:val="center"/>
                    <w:rPr>
                      <w:rFonts w:hAnsi="宋体"/>
                      <w:bCs/>
                      <w:sz w:val="21"/>
                      <w:szCs w:val="21"/>
                    </w:rPr>
                  </w:pPr>
                  <w:r>
                    <w:rPr>
                      <w:rFonts w:hAnsi="宋体"/>
                      <w:sz w:val="21"/>
                      <w:szCs w:val="21"/>
                    </w:rPr>
                    <w:t>设置垃圾筒，垃圾经收集后运至市政指定的地点外协处理</w:t>
                  </w:r>
                </w:p>
              </w:tc>
              <w:tc>
                <w:tcPr>
                  <w:tcW w:w="356" w:type="pct"/>
                  <w:vAlign w:val="center"/>
                </w:tcPr>
                <w:p>
                  <w:pPr>
                    <w:pStyle w:val="142"/>
                    <w:snapToGrid/>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Align w:val="center"/>
                </w:tcPr>
                <w:p>
                  <w:pPr>
                    <w:pStyle w:val="142"/>
                    <w:snapToGrid/>
                  </w:pPr>
                  <w:r>
                    <w:rPr>
                      <w:rFonts w:hint="eastAsia"/>
                    </w:rPr>
                    <w:t>噪声</w:t>
                  </w:r>
                </w:p>
              </w:tc>
              <w:tc>
                <w:tcPr>
                  <w:tcW w:w="791" w:type="pct"/>
                  <w:vAlign w:val="center"/>
                </w:tcPr>
                <w:p>
                  <w:pPr>
                    <w:pStyle w:val="142"/>
                    <w:snapToGrid/>
                  </w:pPr>
                  <w:r>
                    <w:rPr>
                      <w:rFonts w:hint="eastAsia"/>
                    </w:rPr>
                    <w:t>各产噪设备</w:t>
                  </w:r>
                </w:p>
              </w:tc>
              <w:tc>
                <w:tcPr>
                  <w:tcW w:w="651" w:type="pct"/>
                  <w:vAlign w:val="center"/>
                </w:tcPr>
                <w:p>
                  <w:pPr>
                    <w:pStyle w:val="142"/>
                    <w:snapToGrid/>
                  </w:pPr>
                  <w:r>
                    <w:rPr>
                      <w:rFonts w:hint="eastAsia"/>
                    </w:rPr>
                    <w:t>噪声</w:t>
                  </w:r>
                </w:p>
              </w:tc>
              <w:tc>
                <w:tcPr>
                  <w:tcW w:w="2798" w:type="pct"/>
                  <w:vAlign w:val="center"/>
                </w:tcPr>
                <w:p>
                  <w:pPr>
                    <w:pStyle w:val="142"/>
                    <w:snapToGrid/>
                  </w:pPr>
                  <w:r>
                    <w:rPr>
                      <w:rFonts w:hint="eastAsia"/>
                    </w:rPr>
                    <w:t>选用低噪设备，对主要污染源采取消声、吸声、建筑隔声、基础减震等防噪措施。</w:t>
                  </w:r>
                </w:p>
              </w:tc>
              <w:tc>
                <w:tcPr>
                  <w:tcW w:w="356" w:type="pct"/>
                  <w:vAlign w:val="center"/>
                </w:tcPr>
                <w:p>
                  <w:pPr>
                    <w:pStyle w:val="142"/>
                    <w:snapToGrid/>
                  </w:pPr>
                  <w: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6" w:type="pct"/>
                  <w:gridSpan w:val="3"/>
                  <w:vAlign w:val="center"/>
                </w:tcPr>
                <w:p>
                  <w:pPr>
                    <w:pStyle w:val="142"/>
                    <w:snapToGrid/>
                  </w:pPr>
                  <w:r>
                    <w:rPr>
                      <w:rFonts w:hint="eastAsia" w:hAnsi="宋体"/>
                    </w:rPr>
                    <w:t>生态保护措施</w:t>
                  </w:r>
                </w:p>
              </w:tc>
              <w:tc>
                <w:tcPr>
                  <w:tcW w:w="2798"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加强绿化，种植乡土植物，绿化面积</w:t>
                  </w:r>
                  <w:r>
                    <w:rPr>
                      <w:rFonts w:hAnsi="宋体"/>
                      <w:bCs/>
                      <w:sz w:val="21"/>
                      <w:szCs w:val="21"/>
                    </w:rPr>
                    <w:t>3750m</w:t>
                  </w:r>
                  <w:r>
                    <w:rPr>
                      <w:rFonts w:hAnsi="宋体"/>
                      <w:bCs/>
                      <w:sz w:val="21"/>
                      <w:szCs w:val="21"/>
                      <w:vertAlign w:val="superscript"/>
                    </w:rPr>
                    <w:t>2</w:t>
                  </w:r>
                  <w:r>
                    <w:rPr>
                      <w:rFonts w:hint="eastAsia" w:hAnsi="宋体"/>
                      <w:bCs/>
                      <w:sz w:val="21"/>
                      <w:szCs w:val="21"/>
                    </w:rPr>
                    <w:t>。</w:t>
                  </w:r>
                </w:p>
              </w:tc>
              <w:tc>
                <w:tcPr>
                  <w:tcW w:w="356" w:type="pct"/>
                  <w:vAlign w:val="center"/>
                </w:tcPr>
                <w:p>
                  <w:pPr>
                    <w:pStyle w:val="142"/>
                    <w:snapToGrid/>
                  </w:pPr>
                  <w: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Align w:val="center"/>
                </w:tcPr>
                <w:p>
                  <w:pPr>
                    <w:pStyle w:val="142"/>
                    <w:snapToGrid/>
                  </w:pPr>
                  <w:r>
                    <w:rPr>
                      <w:rFonts w:hint="eastAsia"/>
                    </w:rPr>
                    <w:t>总计</w:t>
                  </w:r>
                </w:p>
              </w:tc>
              <w:tc>
                <w:tcPr>
                  <w:tcW w:w="791" w:type="pct"/>
                  <w:vAlign w:val="center"/>
                </w:tcPr>
                <w:p>
                  <w:pPr>
                    <w:pStyle w:val="142"/>
                    <w:snapToGrid/>
                  </w:pPr>
                  <w:r>
                    <w:rPr>
                      <w:rFonts w:hint="eastAsia"/>
                    </w:rPr>
                    <w:t>/</w:t>
                  </w:r>
                </w:p>
              </w:tc>
              <w:tc>
                <w:tcPr>
                  <w:tcW w:w="651" w:type="pct"/>
                  <w:vAlign w:val="center"/>
                </w:tcPr>
                <w:p>
                  <w:pPr>
                    <w:pStyle w:val="142"/>
                    <w:snapToGrid/>
                  </w:pPr>
                  <w:r>
                    <w:rPr>
                      <w:rFonts w:hint="eastAsia"/>
                    </w:rPr>
                    <w:t>/</w:t>
                  </w:r>
                </w:p>
              </w:tc>
              <w:tc>
                <w:tcPr>
                  <w:tcW w:w="2798" w:type="pct"/>
                  <w:vAlign w:val="center"/>
                </w:tcPr>
                <w:p>
                  <w:pPr>
                    <w:pStyle w:val="142"/>
                    <w:snapToGrid/>
                  </w:pPr>
                  <w:r>
                    <w:rPr>
                      <w:rFonts w:hint="eastAsia"/>
                    </w:rPr>
                    <w:t>/</w:t>
                  </w:r>
                </w:p>
              </w:tc>
              <w:tc>
                <w:tcPr>
                  <w:tcW w:w="356" w:type="pct"/>
                  <w:vAlign w:val="center"/>
                </w:tcPr>
                <w:p>
                  <w:pPr>
                    <w:pStyle w:val="142"/>
                    <w:snapToGrid/>
                  </w:pPr>
                  <w:r>
                    <w:rPr>
                      <w:rFonts w:hint="eastAsia"/>
                    </w:rPr>
                    <w:t>9</w:t>
                  </w:r>
                  <w:r>
                    <w:t>0</w:t>
                  </w:r>
                </w:p>
              </w:tc>
            </w:tr>
          </w:tbl>
          <w:p>
            <w:pPr>
              <w:pStyle w:val="144"/>
              <w:snapToGrid/>
              <w:spacing w:before="0" w:after="0"/>
              <w:ind w:firstLine="0" w:firstLineChars="0"/>
              <w:rPr>
                <w:rFonts w:hAnsi="宋体"/>
                <w:b/>
              </w:rPr>
            </w:pPr>
            <w:r>
              <w:rPr>
                <w:rFonts w:hint="eastAsia" w:hAnsi="宋体"/>
                <w:b/>
              </w:rPr>
              <w:t>九</w:t>
            </w:r>
            <w:r>
              <w:rPr>
                <w:rFonts w:hAnsi="宋体"/>
                <w:b/>
              </w:rPr>
              <w:t>、</w:t>
            </w:r>
            <w:r>
              <w:rPr>
                <w:rFonts w:hint="eastAsia" w:hAnsi="宋体"/>
                <w:b/>
              </w:rPr>
              <w:t>污染物排放清单及管理要求</w:t>
            </w:r>
          </w:p>
          <w:p>
            <w:pPr>
              <w:pStyle w:val="169"/>
              <w:spacing w:line="480" w:lineRule="exact"/>
              <w:ind w:firstLine="480" w:firstLineChars="200"/>
              <w:jc w:val="left"/>
            </w:pPr>
            <w:r>
              <w:t>本</w:t>
            </w:r>
            <w:r>
              <w:rPr>
                <w:rFonts w:hint="eastAsia"/>
              </w:rPr>
              <w:t>项目污染物排放清单及管理要求</w:t>
            </w:r>
            <w:r>
              <w:t>见</w:t>
            </w:r>
            <w:r>
              <w:rPr>
                <w:rFonts w:hint="eastAsia"/>
              </w:rPr>
              <w:t>下</w:t>
            </w:r>
            <w:r>
              <w:t>表</w:t>
            </w:r>
            <w:r>
              <w:rPr>
                <w:rFonts w:hint="eastAsia"/>
              </w:rPr>
              <w:t>。</w:t>
            </w:r>
          </w:p>
          <w:p>
            <w:pPr>
              <w:pStyle w:val="169"/>
              <w:spacing w:line="480" w:lineRule="exact"/>
              <w:ind w:firstLine="480" w:firstLineChars="200"/>
              <w:jc w:val="left"/>
            </w:pPr>
          </w:p>
          <w:p>
            <w:pPr>
              <w:pStyle w:val="169"/>
              <w:spacing w:line="480" w:lineRule="exact"/>
              <w:ind w:firstLine="480" w:firstLineChars="200"/>
              <w:jc w:val="left"/>
            </w:pPr>
          </w:p>
          <w:p>
            <w:pPr>
              <w:pStyle w:val="169"/>
              <w:spacing w:line="480" w:lineRule="exact"/>
              <w:ind w:firstLine="480" w:firstLineChars="200"/>
              <w:jc w:val="left"/>
            </w:pPr>
          </w:p>
          <w:p>
            <w:pPr>
              <w:pStyle w:val="169"/>
              <w:spacing w:line="480" w:lineRule="exact"/>
              <w:ind w:firstLine="480" w:firstLineChars="200"/>
              <w:jc w:val="left"/>
            </w:pPr>
          </w:p>
          <w:p>
            <w:pPr>
              <w:pStyle w:val="169"/>
              <w:spacing w:line="480" w:lineRule="exact"/>
              <w:ind w:firstLine="480" w:firstLineChars="200"/>
              <w:jc w:val="left"/>
            </w:pPr>
          </w:p>
          <w:p>
            <w:pPr>
              <w:pStyle w:val="169"/>
              <w:spacing w:line="480" w:lineRule="exact"/>
              <w:ind w:firstLine="480" w:firstLineChars="200"/>
              <w:jc w:val="left"/>
            </w:pPr>
          </w:p>
          <w:p>
            <w:pPr>
              <w:pStyle w:val="169"/>
              <w:spacing w:line="480" w:lineRule="exact"/>
              <w:ind w:firstLine="480" w:firstLineChars="200"/>
              <w:jc w:val="left"/>
            </w:pPr>
          </w:p>
          <w:p>
            <w:pPr>
              <w:pStyle w:val="169"/>
              <w:spacing w:line="480" w:lineRule="exact"/>
              <w:ind w:firstLine="480" w:firstLineChars="200"/>
              <w:jc w:val="left"/>
            </w:pPr>
          </w:p>
          <w:p>
            <w:pPr>
              <w:pStyle w:val="169"/>
              <w:spacing w:line="480" w:lineRule="exact"/>
              <w:ind w:firstLine="480" w:firstLineChars="200"/>
              <w:jc w:val="left"/>
            </w:pPr>
          </w:p>
          <w:p>
            <w:pPr>
              <w:pStyle w:val="169"/>
              <w:spacing w:line="480" w:lineRule="exact"/>
              <w:ind w:firstLine="480" w:firstLineChars="200"/>
              <w:jc w:val="left"/>
            </w:pPr>
          </w:p>
          <w:p>
            <w:pPr>
              <w:pStyle w:val="169"/>
              <w:spacing w:line="480" w:lineRule="exact"/>
              <w:ind w:firstLine="480" w:firstLineChars="200"/>
              <w:jc w:val="left"/>
            </w:pPr>
          </w:p>
          <w:p>
            <w:pPr>
              <w:pStyle w:val="169"/>
              <w:spacing w:line="480" w:lineRule="exact"/>
              <w:ind w:firstLine="480" w:firstLineChars="200"/>
              <w:jc w:val="left"/>
            </w:pPr>
          </w:p>
          <w:p>
            <w:pPr>
              <w:pStyle w:val="169"/>
              <w:spacing w:line="480" w:lineRule="exact"/>
              <w:ind w:firstLine="480" w:firstLineChars="200"/>
              <w:jc w:val="left"/>
            </w:pPr>
          </w:p>
          <w:p>
            <w:pPr>
              <w:pStyle w:val="169"/>
              <w:spacing w:line="480" w:lineRule="exact"/>
              <w:ind w:firstLine="480" w:firstLineChars="200"/>
              <w:jc w:val="left"/>
            </w:pPr>
          </w:p>
          <w:p>
            <w:pPr>
              <w:pStyle w:val="169"/>
              <w:spacing w:line="480" w:lineRule="exact"/>
              <w:ind w:firstLine="480" w:firstLineChars="200"/>
              <w:jc w:val="left"/>
            </w:pPr>
          </w:p>
          <w:p>
            <w:pPr>
              <w:pStyle w:val="169"/>
              <w:spacing w:line="480" w:lineRule="exact"/>
              <w:ind w:firstLine="480" w:firstLineChars="200"/>
              <w:jc w:val="left"/>
            </w:pPr>
          </w:p>
          <w:p>
            <w:pPr>
              <w:pStyle w:val="169"/>
              <w:spacing w:line="480" w:lineRule="exact"/>
              <w:ind w:firstLine="480" w:firstLineChars="200"/>
              <w:jc w:val="left"/>
            </w:pPr>
          </w:p>
          <w:p>
            <w:pPr>
              <w:pStyle w:val="169"/>
              <w:spacing w:line="480" w:lineRule="exact"/>
              <w:ind w:firstLine="480" w:firstLineChars="200"/>
              <w:jc w:val="left"/>
            </w:pPr>
          </w:p>
          <w:p>
            <w:pPr>
              <w:pStyle w:val="169"/>
              <w:spacing w:line="480" w:lineRule="exact"/>
              <w:ind w:firstLine="480" w:firstLineChars="200"/>
              <w:jc w:val="left"/>
            </w:pPr>
          </w:p>
          <w:p>
            <w:pPr>
              <w:pStyle w:val="169"/>
              <w:spacing w:line="480" w:lineRule="exact"/>
              <w:ind w:firstLine="480" w:firstLineChars="200"/>
              <w:jc w:val="left"/>
              <w:rPr>
                <w:rFonts w:ascii="黑体" w:hAnsi="黑体" w:eastAsia="黑体"/>
              </w:rPr>
            </w:pPr>
          </w:p>
          <w:p>
            <w:pPr>
              <w:pStyle w:val="169"/>
              <w:spacing w:line="480" w:lineRule="exact"/>
              <w:ind w:firstLine="480" w:firstLineChars="200"/>
              <w:jc w:val="left"/>
              <w:rPr>
                <w:rFonts w:ascii="黑体" w:hAnsi="黑体" w:eastAsia="黑体"/>
              </w:rPr>
            </w:pPr>
          </w:p>
          <w:p>
            <w:pPr>
              <w:pStyle w:val="169"/>
              <w:spacing w:line="480" w:lineRule="exact"/>
              <w:ind w:firstLine="480" w:firstLineChars="200"/>
              <w:jc w:val="left"/>
              <w:rPr>
                <w:rFonts w:ascii="黑体" w:hAnsi="黑体" w:eastAsia="黑体"/>
              </w:rPr>
            </w:pPr>
          </w:p>
          <w:p>
            <w:pPr>
              <w:pStyle w:val="169"/>
              <w:spacing w:line="480" w:lineRule="exact"/>
              <w:rPr>
                <w:rFonts w:ascii="黑体" w:hAnsi="黑体" w:eastAsia="黑体"/>
              </w:rPr>
            </w:pPr>
          </w:p>
          <w:p>
            <w:pPr>
              <w:pStyle w:val="144"/>
              <w:spacing w:before="0" w:after="0" w:line="240" w:lineRule="auto"/>
              <w:ind w:firstLine="480"/>
            </w:pPr>
          </w:p>
          <w:p>
            <w:pPr>
              <w:pStyle w:val="144"/>
              <w:spacing w:before="0" w:after="0" w:line="240" w:lineRule="auto"/>
              <w:ind w:firstLine="480"/>
            </w:pPr>
          </w:p>
        </w:tc>
      </w:tr>
    </w:tbl>
    <w:p>
      <w:pPr>
        <w:ind w:firstLine="480"/>
        <w:rPr>
          <w:rFonts w:eastAsia="黑体"/>
          <w:bCs/>
        </w:rPr>
        <w:sectPr>
          <w:pgSz w:w="11907" w:h="16840"/>
          <w:pgMar w:top="1418" w:right="1361" w:bottom="1418" w:left="1474" w:header="851" w:footer="992" w:gutter="0"/>
          <w:cols w:space="720" w:num="1"/>
          <w:docGrid w:linePitch="312" w:charSpace="0"/>
        </w:sectPr>
      </w:pPr>
    </w:p>
    <w:p>
      <w:pPr>
        <w:pStyle w:val="169"/>
        <w:spacing w:line="260" w:lineRule="exact"/>
        <w:rPr>
          <w:rFonts w:ascii="黑体" w:hAnsi="黑体" w:eastAsia="黑体"/>
        </w:rPr>
      </w:pPr>
      <w:r>
        <w:rPr>
          <w:rFonts w:hint="eastAsia" w:ascii="黑体" w:hAnsi="黑体" w:eastAsia="黑体"/>
        </w:rPr>
        <w:t>表</w:t>
      </w:r>
      <w:r>
        <w:rPr>
          <w:rFonts w:ascii="黑体" w:hAnsi="黑体" w:eastAsia="黑体"/>
        </w:rPr>
        <w:t xml:space="preserve">56  </w:t>
      </w:r>
      <w:r>
        <w:rPr>
          <w:rFonts w:hint="eastAsia" w:ascii="黑体" w:hAnsi="黑体" w:eastAsia="黑体"/>
        </w:rPr>
        <w:t>本项目污染物排放清单及环境管理表</w:t>
      </w:r>
    </w:p>
    <w:tbl>
      <w:tblPr>
        <w:tblStyle w:val="70"/>
        <w:tblW w:w="15171"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726"/>
        <w:gridCol w:w="425"/>
        <w:gridCol w:w="1418"/>
        <w:gridCol w:w="1276"/>
        <w:gridCol w:w="4389"/>
        <w:gridCol w:w="1984"/>
        <w:gridCol w:w="1134"/>
        <w:gridCol w:w="3819"/>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726" w:type="dxa"/>
            <w:vAlign w:val="center"/>
          </w:tcPr>
          <w:p>
            <w:pPr>
              <w:pStyle w:val="249"/>
              <w:adjustRightInd/>
              <w:snapToGrid/>
              <w:spacing w:line="240" w:lineRule="auto"/>
              <w:jc w:val="center"/>
              <w:rPr>
                <w:szCs w:val="21"/>
              </w:rPr>
            </w:pPr>
            <w:r>
              <w:rPr>
                <w:szCs w:val="21"/>
              </w:rPr>
              <w:t>时段</w:t>
            </w:r>
          </w:p>
        </w:tc>
        <w:tc>
          <w:tcPr>
            <w:tcW w:w="425" w:type="dxa"/>
            <w:vAlign w:val="center"/>
          </w:tcPr>
          <w:p>
            <w:pPr>
              <w:pStyle w:val="249"/>
              <w:adjustRightInd/>
              <w:snapToGrid/>
              <w:spacing w:line="240" w:lineRule="auto"/>
              <w:jc w:val="center"/>
              <w:rPr>
                <w:szCs w:val="21"/>
              </w:rPr>
            </w:pPr>
            <w:r>
              <w:rPr>
                <w:szCs w:val="21"/>
              </w:rPr>
              <w:t>类型</w:t>
            </w:r>
          </w:p>
        </w:tc>
        <w:tc>
          <w:tcPr>
            <w:tcW w:w="1418" w:type="dxa"/>
            <w:vAlign w:val="center"/>
          </w:tcPr>
          <w:p>
            <w:pPr>
              <w:pStyle w:val="249"/>
              <w:adjustRightInd/>
              <w:snapToGrid/>
              <w:spacing w:line="240" w:lineRule="auto"/>
              <w:jc w:val="center"/>
              <w:rPr>
                <w:szCs w:val="21"/>
              </w:rPr>
            </w:pPr>
            <w:r>
              <w:rPr>
                <w:szCs w:val="21"/>
              </w:rPr>
              <w:t>污染源</w:t>
            </w:r>
          </w:p>
        </w:tc>
        <w:tc>
          <w:tcPr>
            <w:tcW w:w="1276" w:type="dxa"/>
            <w:vAlign w:val="center"/>
          </w:tcPr>
          <w:p>
            <w:pPr>
              <w:pStyle w:val="249"/>
              <w:adjustRightInd/>
              <w:snapToGrid/>
              <w:spacing w:line="240" w:lineRule="auto"/>
              <w:jc w:val="center"/>
              <w:rPr>
                <w:szCs w:val="21"/>
              </w:rPr>
            </w:pPr>
            <w:r>
              <w:rPr>
                <w:szCs w:val="21"/>
              </w:rPr>
              <w:t>污染物</w:t>
            </w:r>
          </w:p>
        </w:tc>
        <w:tc>
          <w:tcPr>
            <w:tcW w:w="4389" w:type="dxa"/>
            <w:vAlign w:val="center"/>
          </w:tcPr>
          <w:p>
            <w:pPr>
              <w:pStyle w:val="249"/>
              <w:adjustRightInd/>
              <w:snapToGrid/>
              <w:spacing w:line="240" w:lineRule="auto"/>
              <w:jc w:val="center"/>
              <w:rPr>
                <w:szCs w:val="21"/>
              </w:rPr>
            </w:pPr>
            <w:r>
              <w:rPr>
                <w:szCs w:val="21"/>
              </w:rPr>
              <w:t>治理措施</w:t>
            </w:r>
          </w:p>
        </w:tc>
        <w:tc>
          <w:tcPr>
            <w:tcW w:w="1984" w:type="dxa"/>
            <w:vAlign w:val="center"/>
          </w:tcPr>
          <w:p>
            <w:pPr>
              <w:pStyle w:val="249"/>
              <w:adjustRightInd/>
              <w:snapToGrid/>
              <w:spacing w:line="240" w:lineRule="auto"/>
              <w:jc w:val="center"/>
              <w:rPr>
                <w:szCs w:val="21"/>
              </w:rPr>
            </w:pPr>
            <w:r>
              <w:rPr>
                <w:szCs w:val="21"/>
              </w:rPr>
              <w:t>排放量及浓度</w:t>
            </w:r>
          </w:p>
        </w:tc>
        <w:tc>
          <w:tcPr>
            <w:tcW w:w="1134" w:type="dxa"/>
            <w:vAlign w:val="center"/>
          </w:tcPr>
          <w:p>
            <w:pPr>
              <w:pStyle w:val="249"/>
              <w:adjustRightInd/>
              <w:snapToGrid/>
              <w:spacing w:line="240" w:lineRule="auto"/>
              <w:jc w:val="center"/>
              <w:rPr>
                <w:szCs w:val="21"/>
              </w:rPr>
            </w:pPr>
            <w:r>
              <w:rPr>
                <w:szCs w:val="21"/>
              </w:rPr>
              <w:t>排污口信息</w:t>
            </w:r>
          </w:p>
        </w:tc>
        <w:tc>
          <w:tcPr>
            <w:tcW w:w="3819" w:type="dxa"/>
            <w:vAlign w:val="center"/>
          </w:tcPr>
          <w:p>
            <w:pPr>
              <w:pStyle w:val="249"/>
              <w:adjustRightInd/>
              <w:snapToGrid/>
              <w:spacing w:line="240" w:lineRule="auto"/>
              <w:jc w:val="center"/>
              <w:rPr>
                <w:szCs w:val="21"/>
              </w:rPr>
            </w:pPr>
            <w:r>
              <w:rPr>
                <w:rFonts w:hint="eastAsia"/>
                <w:szCs w:val="21"/>
              </w:rPr>
              <w:t>管理要求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51" w:type="dxa"/>
            <w:gridSpan w:val="2"/>
            <w:vAlign w:val="center"/>
          </w:tcPr>
          <w:p>
            <w:pPr>
              <w:pStyle w:val="249"/>
              <w:adjustRightInd/>
              <w:snapToGrid/>
              <w:spacing w:line="240" w:lineRule="auto"/>
              <w:jc w:val="center"/>
              <w:rPr>
                <w:szCs w:val="21"/>
              </w:rPr>
            </w:pPr>
            <w:r>
              <w:rPr>
                <w:szCs w:val="21"/>
              </w:rPr>
              <w:t>工程</w:t>
            </w:r>
          </w:p>
          <w:p>
            <w:pPr>
              <w:pStyle w:val="249"/>
              <w:adjustRightInd/>
              <w:snapToGrid/>
              <w:spacing w:line="240" w:lineRule="auto"/>
              <w:jc w:val="center"/>
              <w:rPr>
                <w:szCs w:val="21"/>
              </w:rPr>
            </w:pPr>
            <w:r>
              <w:rPr>
                <w:szCs w:val="21"/>
              </w:rPr>
              <w:t>组成</w:t>
            </w:r>
          </w:p>
        </w:tc>
        <w:tc>
          <w:tcPr>
            <w:tcW w:w="14020" w:type="dxa"/>
            <w:gridSpan w:val="6"/>
            <w:vAlign w:val="center"/>
          </w:tcPr>
          <w:p>
            <w:pPr>
              <w:spacing w:line="240" w:lineRule="auto"/>
              <w:ind w:firstLine="0" w:firstLineChars="0"/>
              <w:jc w:val="center"/>
              <w:rPr>
                <w:sz w:val="21"/>
                <w:szCs w:val="21"/>
              </w:rPr>
            </w:pPr>
            <w:r>
              <w:rPr>
                <w:rFonts w:hint="eastAsia"/>
                <w:bCs/>
                <w:sz w:val="21"/>
                <w:szCs w:val="21"/>
              </w:rPr>
              <w:t>本项目主要建设内容包括原料库、生产车间、成品库、地磅、洗车平台等，同时配套建设相关环保、安全等辅助设施。项目建成后，形成4</w:t>
            </w:r>
            <w:r>
              <w:rPr>
                <w:bCs/>
                <w:sz w:val="21"/>
                <w:szCs w:val="21"/>
              </w:rPr>
              <w:t>0</w:t>
            </w:r>
            <w:r>
              <w:rPr>
                <w:rFonts w:hint="eastAsia"/>
                <w:bCs/>
                <w:sz w:val="21"/>
                <w:szCs w:val="21"/>
              </w:rPr>
              <w:t>万吨/年建筑骨料及微粉的生产能力，其中建筑骨料生产能力为3</w:t>
            </w:r>
            <w:r>
              <w:rPr>
                <w:bCs/>
                <w:sz w:val="21"/>
                <w:szCs w:val="21"/>
              </w:rPr>
              <w:t>0</w:t>
            </w:r>
            <w:r>
              <w:rPr>
                <w:rFonts w:hint="eastAsia"/>
                <w:bCs/>
                <w:sz w:val="21"/>
                <w:szCs w:val="21"/>
              </w:rPr>
              <w:t>万吨/年，微粉生产能力为1</w:t>
            </w:r>
            <w:r>
              <w:rPr>
                <w:bCs/>
                <w:sz w:val="21"/>
                <w:szCs w:val="21"/>
              </w:rPr>
              <w:t>0</w:t>
            </w:r>
            <w:r>
              <w:rPr>
                <w:rFonts w:hint="eastAsia"/>
                <w:bCs/>
                <w:sz w:val="21"/>
                <w:szCs w:val="21"/>
              </w:rPr>
              <w:t>万吨/年。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6" w:type="dxa"/>
            <w:vMerge w:val="restart"/>
            <w:vAlign w:val="center"/>
          </w:tcPr>
          <w:p>
            <w:pPr>
              <w:pStyle w:val="249"/>
              <w:adjustRightInd/>
              <w:snapToGrid/>
              <w:spacing w:line="240" w:lineRule="auto"/>
              <w:jc w:val="center"/>
              <w:rPr>
                <w:szCs w:val="21"/>
              </w:rPr>
            </w:pPr>
            <w:r>
              <w:rPr>
                <w:rFonts w:hint="eastAsia"/>
                <w:szCs w:val="21"/>
              </w:rPr>
              <w:t>运</w:t>
            </w:r>
          </w:p>
          <w:p>
            <w:pPr>
              <w:pStyle w:val="249"/>
              <w:adjustRightInd/>
              <w:snapToGrid/>
              <w:spacing w:line="240" w:lineRule="auto"/>
              <w:jc w:val="center"/>
              <w:rPr>
                <w:szCs w:val="21"/>
              </w:rPr>
            </w:pPr>
            <w:r>
              <w:rPr>
                <w:rFonts w:hint="eastAsia"/>
                <w:szCs w:val="21"/>
              </w:rPr>
              <w:t>营</w:t>
            </w:r>
          </w:p>
          <w:p>
            <w:pPr>
              <w:pStyle w:val="249"/>
              <w:adjustRightInd/>
              <w:snapToGrid/>
              <w:spacing w:line="240" w:lineRule="auto"/>
              <w:jc w:val="center"/>
              <w:rPr>
                <w:szCs w:val="21"/>
              </w:rPr>
            </w:pPr>
            <w:r>
              <w:rPr>
                <w:rFonts w:hint="eastAsia"/>
                <w:szCs w:val="21"/>
              </w:rPr>
              <w:t>期</w:t>
            </w:r>
          </w:p>
        </w:tc>
        <w:tc>
          <w:tcPr>
            <w:tcW w:w="425" w:type="dxa"/>
            <w:vMerge w:val="restart"/>
            <w:vAlign w:val="center"/>
          </w:tcPr>
          <w:p>
            <w:pPr>
              <w:pStyle w:val="249"/>
              <w:adjustRightInd/>
              <w:snapToGrid/>
              <w:spacing w:line="240" w:lineRule="auto"/>
              <w:jc w:val="center"/>
              <w:rPr>
                <w:szCs w:val="21"/>
              </w:rPr>
            </w:pPr>
            <w:r>
              <w:rPr>
                <w:rFonts w:hint="eastAsia"/>
                <w:szCs w:val="21"/>
              </w:rPr>
              <w:t>废气</w:t>
            </w:r>
          </w:p>
        </w:tc>
        <w:tc>
          <w:tcPr>
            <w:tcW w:w="1418"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堆场扬尘</w:t>
            </w:r>
          </w:p>
        </w:tc>
        <w:tc>
          <w:tcPr>
            <w:tcW w:w="1276" w:type="dxa"/>
            <w:vAlign w:val="center"/>
          </w:tcPr>
          <w:p>
            <w:pPr>
              <w:pStyle w:val="142"/>
              <w:snapToGrid/>
            </w:pPr>
            <w:r>
              <w:rPr>
                <w:rFonts w:hint="eastAsia"/>
              </w:rPr>
              <w:t>扬尘</w:t>
            </w:r>
          </w:p>
        </w:tc>
        <w:tc>
          <w:tcPr>
            <w:tcW w:w="4389"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原料、成品堆存设置为全封闭库，堆场地面硬化，于原料库顶设1套覆盖全堆场的库顶喷雾抑尘措施，成品为吨袋包装，成品库定期洒水抑尘、清扫。</w:t>
            </w:r>
          </w:p>
        </w:tc>
        <w:tc>
          <w:tcPr>
            <w:tcW w:w="1984" w:type="dxa"/>
            <w:vAlign w:val="center"/>
          </w:tcPr>
          <w:p>
            <w:pPr>
              <w:pStyle w:val="249"/>
              <w:adjustRightInd/>
              <w:snapToGrid/>
              <w:spacing w:line="240" w:lineRule="auto"/>
              <w:jc w:val="center"/>
              <w:rPr>
                <w:szCs w:val="21"/>
              </w:rPr>
            </w:pPr>
            <w:r>
              <w:rPr>
                <w:szCs w:val="21"/>
              </w:rPr>
              <w:t xml:space="preserve">0.7 </w:t>
            </w:r>
            <w:r>
              <w:rPr>
                <w:rFonts w:hint="eastAsia"/>
                <w:szCs w:val="21"/>
              </w:rPr>
              <w:t>t/a</w:t>
            </w:r>
          </w:p>
        </w:tc>
        <w:tc>
          <w:tcPr>
            <w:tcW w:w="1134" w:type="dxa"/>
            <w:vAlign w:val="center"/>
          </w:tcPr>
          <w:p>
            <w:pPr>
              <w:pStyle w:val="249"/>
              <w:adjustRightInd/>
              <w:snapToGrid/>
              <w:spacing w:line="240" w:lineRule="auto"/>
              <w:jc w:val="center"/>
              <w:rPr>
                <w:szCs w:val="21"/>
              </w:rPr>
            </w:pPr>
            <w:r>
              <w:rPr>
                <w:rFonts w:hint="eastAsia"/>
                <w:szCs w:val="21"/>
              </w:rPr>
              <w:t>无组织</w:t>
            </w:r>
          </w:p>
        </w:tc>
        <w:tc>
          <w:tcPr>
            <w:tcW w:w="3819" w:type="dxa"/>
            <w:vAlign w:val="center"/>
          </w:tcPr>
          <w:p>
            <w:pPr>
              <w:pStyle w:val="249"/>
              <w:adjustRightInd/>
              <w:snapToGrid/>
              <w:spacing w:line="240" w:lineRule="auto"/>
              <w:jc w:val="center"/>
              <w:rPr>
                <w:rFonts w:hAnsi="宋体"/>
                <w:szCs w:val="21"/>
              </w:rPr>
            </w:pPr>
            <w:r>
              <w:rPr>
                <w:rFonts w:hAnsi="宋体"/>
                <w:szCs w:val="21"/>
              </w:rPr>
              <w:t>《大气污染物综合排放标准》</w:t>
            </w:r>
            <w:r>
              <w:rPr>
                <w:rFonts w:hint="eastAsia" w:hAnsi="宋体"/>
                <w:szCs w:val="21"/>
              </w:rPr>
              <w:t>，颗粒物周界外浓度最高点1.0 mg/m</w:t>
            </w:r>
            <w:r>
              <w:rPr>
                <w:rFonts w:hint="eastAsia" w:hAnsi="宋体"/>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6" w:type="dxa"/>
            <w:vMerge w:val="continue"/>
            <w:vAlign w:val="center"/>
          </w:tcPr>
          <w:p>
            <w:pPr>
              <w:pStyle w:val="249"/>
              <w:adjustRightInd/>
              <w:snapToGrid/>
              <w:spacing w:line="240" w:lineRule="auto"/>
              <w:jc w:val="center"/>
              <w:rPr>
                <w:szCs w:val="21"/>
              </w:rPr>
            </w:pPr>
          </w:p>
        </w:tc>
        <w:tc>
          <w:tcPr>
            <w:tcW w:w="425" w:type="dxa"/>
            <w:vMerge w:val="continue"/>
            <w:vAlign w:val="center"/>
          </w:tcPr>
          <w:p>
            <w:pPr>
              <w:pStyle w:val="249"/>
              <w:adjustRightInd/>
              <w:snapToGrid/>
              <w:spacing w:line="240" w:lineRule="auto"/>
              <w:jc w:val="center"/>
              <w:rPr>
                <w:szCs w:val="21"/>
              </w:rPr>
            </w:pPr>
          </w:p>
        </w:tc>
        <w:tc>
          <w:tcPr>
            <w:tcW w:w="1418"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建筑骨料生产线粗破、反击破系统</w:t>
            </w:r>
          </w:p>
        </w:tc>
        <w:tc>
          <w:tcPr>
            <w:tcW w:w="1276" w:type="dxa"/>
            <w:vAlign w:val="center"/>
          </w:tcPr>
          <w:p>
            <w:pPr>
              <w:pStyle w:val="142"/>
              <w:snapToGrid/>
            </w:pPr>
            <w:r>
              <w:rPr>
                <w:rFonts w:hint="eastAsia"/>
              </w:rPr>
              <w:t>粉尘</w:t>
            </w:r>
          </w:p>
        </w:tc>
        <w:tc>
          <w:tcPr>
            <w:tcW w:w="4389"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建筑骨料生产线粗破、细破系统各产尘点分设集尘罩（鄂破入料口、鄂破、反击破、中间料仓），上料、鄂破、反击破、出料粉尘</w:t>
            </w:r>
            <w:r>
              <w:rPr>
                <w:rFonts w:hint="eastAsia"/>
                <w:sz w:val="21"/>
                <w:szCs w:val="21"/>
              </w:rPr>
              <w:t>收集后经1套脉冲布袋除尘器过滤处理后由1根15m高排气筒外排。</w:t>
            </w:r>
          </w:p>
        </w:tc>
        <w:tc>
          <w:tcPr>
            <w:tcW w:w="1984" w:type="dxa"/>
            <w:vAlign w:val="center"/>
          </w:tcPr>
          <w:p>
            <w:pPr>
              <w:pStyle w:val="249"/>
              <w:adjustRightInd/>
              <w:snapToGrid/>
              <w:spacing w:line="240" w:lineRule="auto"/>
              <w:jc w:val="center"/>
              <w:rPr>
                <w:szCs w:val="21"/>
              </w:rPr>
            </w:pPr>
            <w:r>
              <w:rPr>
                <w:szCs w:val="21"/>
              </w:rPr>
              <w:t>1</w:t>
            </w:r>
            <w:r>
              <w:rPr>
                <w:rFonts w:hint="eastAsia"/>
                <w:szCs w:val="21"/>
              </w:rPr>
              <w:t>0</w:t>
            </w:r>
            <w:r>
              <w:rPr>
                <w:szCs w:val="21"/>
              </w:rPr>
              <w:t>mg/m</w:t>
            </w:r>
            <w:r>
              <w:rPr>
                <w:szCs w:val="21"/>
                <w:vertAlign w:val="superscript"/>
              </w:rPr>
              <w:t>3</w:t>
            </w:r>
            <w:r>
              <w:rPr>
                <w:rFonts w:hint="eastAsia"/>
                <w:szCs w:val="21"/>
              </w:rPr>
              <w:t>，</w:t>
            </w:r>
            <w:r>
              <w:rPr>
                <w:szCs w:val="21"/>
              </w:rPr>
              <w:t>0.72</w:t>
            </w:r>
            <w:r>
              <w:rPr>
                <w:rFonts w:hint="eastAsia"/>
                <w:szCs w:val="21"/>
              </w:rPr>
              <w:t>t/a</w:t>
            </w:r>
          </w:p>
        </w:tc>
        <w:tc>
          <w:tcPr>
            <w:tcW w:w="1134" w:type="dxa"/>
            <w:vAlign w:val="center"/>
          </w:tcPr>
          <w:p>
            <w:pPr>
              <w:pStyle w:val="249"/>
              <w:adjustRightInd/>
              <w:snapToGrid/>
              <w:spacing w:line="240" w:lineRule="auto"/>
              <w:jc w:val="center"/>
              <w:rPr>
                <w:szCs w:val="21"/>
              </w:rPr>
            </w:pPr>
            <w:r>
              <w:rPr>
                <w:rFonts w:hint="eastAsia"/>
                <w:szCs w:val="21"/>
              </w:rPr>
              <w:t>排气筒</w:t>
            </w:r>
          </w:p>
          <w:p>
            <w:pPr>
              <w:pStyle w:val="249"/>
              <w:adjustRightInd/>
              <w:snapToGrid/>
              <w:spacing w:line="240" w:lineRule="auto"/>
              <w:jc w:val="center"/>
              <w:rPr>
                <w:szCs w:val="21"/>
              </w:rPr>
            </w:pPr>
            <w:r>
              <w:rPr>
                <w:szCs w:val="21"/>
              </w:rPr>
              <w:t>H=15m</w:t>
            </w:r>
          </w:p>
          <w:p>
            <w:pPr>
              <w:pStyle w:val="249"/>
              <w:adjustRightInd/>
              <w:snapToGrid/>
              <w:spacing w:line="240" w:lineRule="auto"/>
              <w:jc w:val="center"/>
              <w:rPr>
                <w:szCs w:val="21"/>
              </w:rPr>
            </w:pPr>
            <w:r>
              <w:rPr>
                <w:rFonts w:hint="eastAsia"/>
                <w:szCs w:val="21"/>
              </w:rPr>
              <w:t>φ=</w:t>
            </w:r>
            <w:r>
              <w:rPr>
                <w:szCs w:val="21"/>
              </w:rPr>
              <w:t>0.8</w:t>
            </w:r>
            <w:r>
              <w:rPr>
                <w:rFonts w:hint="eastAsia"/>
                <w:szCs w:val="21"/>
              </w:rPr>
              <w:t>m</w:t>
            </w:r>
          </w:p>
        </w:tc>
        <w:tc>
          <w:tcPr>
            <w:tcW w:w="3819" w:type="dxa"/>
            <w:vMerge w:val="restart"/>
            <w:vAlign w:val="center"/>
          </w:tcPr>
          <w:p>
            <w:pPr>
              <w:pStyle w:val="249"/>
              <w:adjustRightInd/>
              <w:snapToGrid/>
              <w:spacing w:line="240" w:lineRule="auto"/>
              <w:jc w:val="center"/>
              <w:rPr>
                <w:rFonts w:hAnsi="宋体"/>
                <w:szCs w:val="21"/>
              </w:rPr>
            </w:pPr>
            <w:r>
              <w:rPr>
                <w:rFonts w:hAnsi="宋体"/>
                <w:szCs w:val="21"/>
              </w:rPr>
              <w:t>《大气污染物综合排放标准》</w:t>
            </w:r>
            <w:r>
              <w:rPr>
                <w:rFonts w:hint="eastAsia" w:hAnsi="宋体"/>
                <w:szCs w:val="21"/>
              </w:rPr>
              <w:t>，颗粒物120mg/m</w:t>
            </w:r>
            <w:r>
              <w:rPr>
                <w:rFonts w:hint="eastAsia" w:hAnsi="宋体"/>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6" w:type="dxa"/>
            <w:vMerge w:val="continue"/>
            <w:vAlign w:val="center"/>
          </w:tcPr>
          <w:p>
            <w:pPr>
              <w:pStyle w:val="249"/>
              <w:adjustRightInd/>
              <w:snapToGrid/>
              <w:spacing w:line="240" w:lineRule="auto"/>
              <w:jc w:val="center"/>
              <w:rPr>
                <w:szCs w:val="21"/>
              </w:rPr>
            </w:pPr>
          </w:p>
        </w:tc>
        <w:tc>
          <w:tcPr>
            <w:tcW w:w="425" w:type="dxa"/>
            <w:vMerge w:val="continue"/>
            <w:vAlign w:val="center"/>
          </w:tcPr>
          <w:p>
            <w:pPr>
              <w:pStyle w:val="249"/>
              <w:adjustRightInd/>
              <w:snapToGrid/>
              <w:spacing w:line="240" w:lineRule="auto"/>
              <w:jc w:val="center"/>
              <w:rPr>
                <w:szCs w:val="21"/>
              </w:rPr>
            </w:pPr>
          </w:p>
        </w:tc>
        <w:tc>
          <w:tcPr>
            <w:tcW w:w="1418"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建筑骨料生产线冲击破系统</w:t>
            </w:r>
          </w:p>
        </w:tc>
        <w:tc>
          <w:tcPr>
            <w:tcW w:w="1276" w:type="dxa"/>
            <w:vAlign w:val="center"/>
          </w:tcPr>
          <w:p>
            <w:pPr>
              <w:pStyle w:val="142"/>
              <w:snapToGrid/>
            </w:pPr>
            <w:r>
              <w:rPr>
                <w:rFonts w:hint="eastAsia" w:hAnsi="宋体"/>
              </w:rPr>
              <w:t>粉尘</w:t>
            </w:r>
          </w:p>
        </w:tc>
        <w:tc>
          <w:tcPr>
            <w:tcW w:w="4389" w:type="dxa"/>
            <w:vAlign w:val="center"/>
          </w:tcPr>
          <w:p>
            <w:pPr>
              <w:spacing w:line="240" w:lineRule="auto"/>
              <w:ind w:firstLine="0" w:firstLineChars="0"/>
              <w:jc w:val="center"/>
              <w:rPr>
                <w:sz w:val="21"/>
                <w:szCs w:val="21"/>
              </w:rPr>
            </w:pPr>
            <w:r>
              <w:rPr>
                <w:rFonts w:hint="eastAsia" w:hAnsi="宋体"/>
                <w:bCs/>
                <w:sz w:val="21"/>
                <w:szCs w:val="21"/>
              </w:rPr>
              <w:t>建筑骨料生产线冲击破系统各产尘点分设集尘罩（冲击破入料口、冲击破、振动筛、料仓），上料、冲击破、振动筛、出料粉尘</w:t>
            </w:r>
            <w:r>
              <w:rPr>
                <w:rFonts w:hint="eastAsia"/>
                <w:sz w:val="21"/>
                <w:szCs w:val="21"/>
              </w:rPr>
              <w:t>收集后经1套脉冲布袋除尘器过滤处理后由1根15m高排气筒外排。</w:t>
            </w:r>
          </w:p>
        </w:tc>
        <w:tc>
          <w:tcPr>
            <w:tcW w:w="1984" w:type="dxa"/>
            <w:vAlign w:val="center"/>
          </w:tcPr>
          <w:p>
            <w:pPr>
              <w:pStyle w:val="249"/>
              <w:adjustRightInd/>
              <w:snapToGrid/>
              <w:spacing w:line="240" w:lineRule="auto"/>
              <w:jc w:val="center"/>
              <w:rPr>
                <w:szCs w:val="21"/>
              </w:rPr>
            </w:pPr>
            <w:r>
              <w:rPr>
                <w:szCs w:val="21"/>
              </w:rPr>
              <w:t>1</w:t>
            </w:r>
            <w:r>
              <w:rPr>
                <w:rFonts w:hint="eastAsia"/>
                <w:szCs w:val="21"/>
              </w:rPr>
              <w:t>0</w:t>
            </w:r>
            <w:r>
              <w:rPr>
                <w:szCs w:val="21"/>
              </w:rPr>
              <w:t>mg/m</w:t>
            </w:r>
            <w:r>
              <w:rPr>
                <w:szCs w:val="21"/>
                <w:vertAlign w:val="superscript"/>
              </w:rPr>
              <w:t>3</w:t>
            </w:r>
            <w:r>
              <w:rPr>
                <w:rFonts w:hint="eastAsia"/>
                <w:szCs w:val="21"/>
              </w:rPr>
              <w:t>，</w:t>
            </w:r>
            <w:r>
              <w:rPr>
                <w:szCs w:val="21"/>
              </w:rPr>
              <w:t>0.72</w:t>
            </w:r>
            <w:r>
              <w:rPr>
                <w:rFonts w:hint="eastAsia"/>
                <w:szCs w:val="21"/>
              </w:rPr>
              <w:t xml:space="preserve"> t/a</w:t>
            </w:r>
          </w:p>
        </w:tc>
        <w:tc>
          <w:tcPr>
            <w:tcW w:w="1134" w:type="dxa"/>
            <w:vAlign w:val="center"/>
          </w:tcPr>
          <w:p>
            <w:pPr>
              <w:pStyle w:val="249"/>
              <w:adjustRightInd/>
              <w:snapToGrid/>
              <w:spacing w:line="240" w:lineRule="auto"/>
              <w:jc w:val="center"/>
              <w:rPr>
                <w:szCs w:val="21"/>
              </w:rPr>
            </w:pPr>
            <w:r>
              <w:rPr>
                <w:rFonts w:hint="eastAsia"/>
                <w:szCs w:val="21"/>
              </w:rPr>
              <w:t>排气筒</w:t>
            </w:r>
          </w:p>
          <w:p>
            <w:pPr>
              <w:pStyle w:val="249"/>
              <w:adjustRightInd/>
              <w:snapToGrid/>
              <w:spacing w:line="240" w:lineRule="auto"/>
              <w:jc w:val="center"/>
              <w:rPr>
                <w:szCs w:val="21"/>
              </w:rPr>
            </w:pPr>
            <w:r>
              <w:rPr>
                <w:szCs w:val="21"/>
              </w:rPr>
              <w:t>H=15m</w:t>
            </w:r>
          </w:p>
          <w:p>
            <w:pPr>
              <w:pStyle w:val="249"/>
              <w:adjustRightInd/>
              <w:snapToGrid/>
              <w:spacing w:line="240" w:lineRule="auto"/>
              <w:jc w:val="center"/>
              <w:rPr>
                <w:szCs w:val="21"/>
              </w:rPr>
            </w:pPr>
            <w:r>
              <w:rPr>
                <w:rFonts w:hint="eastAsia"/>
                <w:szCs w:val="21"/>
              </w:rPr>
              <w:t>φ=</w:t>
            </w:r>
            <w:r>
              <w:rPr>
                <w:szCs w:val="21"/>
              </w:rPr>
              <w:t>0.8</w:t>
            </w:r>
            <w:r>
              <w:rPr>
                <w:rFonts w:hint="eastAsia"/>
                <w:szCs w:val="21"/>
              </w:rPr>
              <w:t>m</w:t>
            </w:r>
          </w:p>
        </w:tc>
        <w:tc>
          <w:tcPr>
            <w:tcW w:w="3819" w:type="dxa"/>
            <w:vMerge w:val="continue"/>
            <w:vAlign w:val="center"/>
          </w:tcPr>
          <w:p>
            <w:pPr>
              <w:pStyle w:val="249"/>
              <w:adjustRightInd/>
              <w:snapToGrid/>
              <w:spacing w:line="240" w:lineRule="auto"/>
              <w:jc w:val="center"/>
              <w:rPr>
                <w:rFonts w:hAnsi="宋体"/>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6" w:type="dxa"/>
            <w:vMerge w:val="continue"/>
            <w:vAlign w:val="center"/>
          </w:tcPr>
          <w:p>
            <w:pPr>
              <w:pStyle w:val="249"/>
              <w:adjustRightInd/>
              <w:snapToGrid/>
              <w:spacing w:line="240" w:lineRule="auto"/>
              <w:jc w:val="center"/>
              <w:rPr>
                <w:szCs w:val="21"/>
              </w:rPr>
            </w:pPr>
          </w:p>
        </w:tc>
        <w:tc>
          <w:tcPr>
            <w:tcW w:w="425" w:type="dxa"/>
            <w:vMerge w:val="continue"/>
            <w:vAlign w:val="center"/>
          </w:tcPr>
          <w:p>
            <w:pPr>
              <w:pStyle w:val="249"/>
              <w:adjustRightInd/>
              <w:snapToGrid/>
              <w:spacing w:line="240" w:lineRule="auto"/>
              <w:jc w:val="center"/>
              <w:rPr>
                <w:szCs w:val="21"/>
              </w:rPr>
            </w:pPr>
          </w:p>
        </w:tc>
        <w:tc>
          <w:tcPr>
            <w:tcW w:w="1418"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微粉生产线鄂破系统</w:t>
            </w:r>
          </w:p>
        </w:tc>
        <w:tc>
          <w:tcPr>
            <w:tcW w:w="1276" w:type="dxa"/>
            <w:vAlign w:val="center"/>
          </w:tcPr>
          <w:p>
            <w:pPr>
              <w:pStyle w:val="142"/>
              <w:snapToGrid/>
            </w:pPr>
            <w:r>
              <w:rPr>
                <w:rFonts w:hint="eastAsia" w:hAnsi="宋体"/>
              </w:rPr>
              <w:t>粉尘</w:t>
            </w:r>
          </w:p>
        </w:tc>
        <w:tc>
          <w:tcPr>
            <w:tcW w:w="4389"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微粉生产线鄂破系统各产尘点分设集尘罩（粗鄂破破入料口、粗鄂破、细鄂破、超细破碎机入料口），上料、鄂破粉尘</w:t>
            </w:r>
            <w:r>
              <w:rPr>
                <w:rFonts w:hint="eastAsia"/>
                <w:sz w:val="21"/>
                <w:szCs w:val="21"/>
              </w:rPr>
              <w:t>收集后经1套脉冲布袋除尘器过滤处理后由1根15m高排气筒外排。</w:t>
            </w:r>
          </w:p>
        </w:tc>
        <w:tc>
          <w:tcPr>
            <w:tcW w:w="1984" w:type="dxa"/>
            <w:vAlign w:val="center"/>
          </w:tcPr>
          <w:p>
            <w:pPr>
              <w:pStyle w:val="249"/>
              <w:adjustRightInd/>
              <w:snapToGrid/>
              <w:spacing w:line="240" w:lineRule="auto"/>
              <w:jc w:val="center"/>
              <w:rPr>
                <w:szCs w:val="21"/>
              </w:rPr>
            </w:pPr>
            <w:r>
              <w:rPr>
                <w:szCs w:val="21"/>
              </w:rPr>
              <w:t>1</w:t>
            </w:r>
            <w:r>
              <w:rPr>
                <w:rFonts w:hint="eastAsia"/>
                <w:szCs w:val="21"/>
              </w:rPr>
              <w:t>0</w:t>
            </w:r>
            <w:r>
              <w:rPr>
                <w:szCs w:val="21"/>
              </w:rPr>
              <w:t>mg/m</w:t>
            </w:r>
            <w:r>
              <w:rPr>
                <w:szCs w:val="21"/>
                <w:vertAlign w:val="superscript"/>
              </w:rPr>
              <w:t>3</w:t>
            </w:r>
            <w:r>
              <w:rPr>
                <w:rFonts w:hint="eastAsia"/>
                <w:szCs w:val="21"/>
              </w:rPr>
              <w:t>，</w:t>
            </w:r>
            <w:r>
              <w:rPr>
                <w:szCs w:val="21"/>
              </w:rPr>
              <w:t>0.72</w:t>
            </w:r>
            <w:r>
              <w:rPr>
                <w:rFonts w:hint="eastAsia"/>
                <w:szCs w:val="21"/>
              </w:rPr>
              <w:t xml:space="preserve"> t/a</w:t>
            </w:r>
          </w:p>
        </w:tc>
        <w:tc>
          <w:tcPr>
            <w:tcW w:w="1134" w:type="dxa"/>
            <w:vAlign w:val="center"/>
          </w:tcPr>
          <w:p>
            <w:pPr>
              <w:pStyle w:val="249"/>
              <w:adjustRightInd/>
              <w:snapToGrid/>
              <w:spacing w:line="240" w:lineRule="auto"/>
              <w:jc w:val="center"/>
              <w:rPr>
                <w:szCs w:val="21"/>
              </w:rPr>
            </w:pPr>
            <w:r>
              <w:rPr>
                <w:rFonts w:hint="eastAsia"/>
                <w:szCs w:val="21"/>
              </w:rPr>
              <w:t>排气筒</w:t>
            </w:r>
          </w:p>
          <w:p>
            <w:pPr>
              <w:pStyle w:val="249"/>
              <w:adjustRightInd/>
              <w:snapToGrid/>
              <w:spacing w:line="240" w:lineRule="auto"/>
              <w:jc w:val="center"/>
              <w:rPr>
                <w:szCs w:val="21"/>
              </w:rPr>
            </w:pPr>
            <w:r>
              <w:rPr>
                <w:szCs w:val="21"/>
              </w:rPr>
              <w:t>H=15m</w:t>
            </w:r>
          </w:p>
          <w:p>
            <w:pPr>
              <w:pStyle w:val="249"/>
              <w:adjustRightInd/>
              <w:snapToGrid/>
              <w:spacing w:line="240" w:lineRule="auto"/>
              <w:jc w:val="center"/>
              <w:rPr>
                <w:szCs w:val="21"/>
              </w:rPr>
            </w:pPr>
            <w:r>
              <w:rPr>
                <w:rFonts w:hint="eastAsia"/>
                <w:szCs w:val="21"/>
              </w:rPr>
              <w:t>φ=</w:t>
            </w:r>
            <w:r>
              <w:rPr>
                <w:szCs w:val="21"/>
              </w:rPr>
              <w:t>0.8</w:t>
            </w:r>
            <w:r>
              <w:rPr>
                <w:rFonts w:hint="eastAsia"/>
                <w:szCs w:val="21"/>
              </w:rPr>
              <w:t>m</w:t>
            </w:r>
          </w:p>
        </w:tc>
        <w:tc>
          <w:tcPr>
            <w:tcW w:w="3819" w:type="dxa"/>
            <w:vMerge w:val="continue"/>
            <w:vAlign w:val="center"/>
          </w:tcPr>
          <w:p>
            <w:pPr>
              <w:pStyle w:val="249"/>
              <w:adjustRightInd/>
              <w:snapToGrid/>
              <w:spacing w:line="240" w:lineRule="auto"/>
              <w:jc w:val="center"/>
              <w:rPr>
                <w:rFonts w:hAnsi="宋体"/>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6" w:type="dxa"/>
            <w:vMerge w:val="continue"/>
            <w:vAlign w:val="center"/>
          </w:tcPr>
          <w:p>
            <w:pPr>
              <w:pStyle w:val="249"/>
              <w:adjustRightInd/>
              <w:snapToGrid/>
              <w:spacing w:line="240" w:lineRule="auto"/>
              <w:jc w:val="center"/>
              <w:rPr>
                <w:szCs w:val="21"/>
              </w:rPr>
            </w:pPr>
          </w:p>
        </w:tc>
        <w:tc>
          <w:tcPr>
            <w:tcW w:w="425" w:type="dxa"/>
            <w:vMerge w:val="continue"/>
            <w:vAlign w:val="center"/>
          </w:tcPr>
          <w:p>
            <w:pPr>
              <w:pStyle w:val="249"/>
              <w:adjustRightInd/>
              <w:snapToGrid/>
              <w:spacing w:line="240" w:lineRule="auto"/>
              <w:jc w:val="center"/>
              <w:rPr>
                <w:szCs w:val="21"/>
              </w:rPr>
            </w:pPr>
          </w:p>
        </w:tc>
        <w:tc>
          <w:tcPr>
            <w:tcW w:w="1418" w:type="dxa"/>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微粉生产线超细破碎机系统</w:t>
            </w:r>
          </w:p>
        </w:tc>
        <w:tc>
          <w:tcPr>
            <w:tcW w:w="1276" w:type="dxa"/>
            <w:vAlign w:val="center"/>
          </w:tcPr>
          <w:p>
            <w:pPr>
              <w:pStyle w:val="142"/>
              <w:snapToGrid/>
            </w:pPr>
            <w:r>
              <w:rPr>
                <w:rFonts w:hint="eastAsia" w:hAnsi="宋体"/>
              </w:rPr>
              <w:t>粉尘</w:t>
            </w:r>
          </w:p>
        </w:tc>
        <w:tc>
          <w:tcPr>
            <w:tcW w:w="4389" w:type="dxa"/>
            <w:vAlign w:val="center"/>
          </w:tcPr>
          <w:p>
            <w:pPr>
              <w:pStyle w:val="144"/>
              <w:snapToGrid/>
              <w:spacing w:before="0" w:after="0" w:line="240" w:lineRule="auto"/>
              <w:ind w:firstLine="0" w:firstLineChars="0"/>
              <w:jc w:val="center"/>
              <w:rPr>
                <w:rFonts w:hAnsi="宋体"/>
                <w:bCs/>
                <w:sz w:val="21"/>
                <w:szCs w:val="21"/>
              </w:rPr>
            </w:pPr>
            <w:r>
              <w:rPr>
                <w:rFonts w:hint="eastAsia"/>
                <w:bCs/>
                <w:sz w:val="21"/>
                <w:szCs w:val="21"/>
              </w:rPr>
              <w:t>超细破碎系统</w:t>
            </w:r>
            <w:r>
              <w:rPr>
                <w:rFonts w:hint="eastAsia" w:hAnsi="宋体"/>
                <w:bCs/>
                <w:sz w:val="21"/>
                <w:szCs w:val="21"/>
              </w:rPr>
              <w:t>各产尘点分设集尘罩（</w:t>
            </w:r>
            <w:r>
              <w:rPr>
                <w:rFonts w:hint="eastAsia"/>
                <w:bCs/>
                <w:sz w:val="21"/>
                <w:szCs w:val="21"/>
              </w:rPr>
              <w:t>上料仓、超细破碎机、振动筛、成品料仓</w:t>
            </w:r>
            <w:r>
              <w:rPr>
                <w:rFonts w:hint="eastAsia" w:hAnsi="宋体"/>
                <w:bCs/>
                <w:sz w:val="21"/>
                <w:szCs w:val="21"/>
              </w:rPr>
              <w:t>）</w:t>
            </w:r>
            <w:r>
              <w:rPr>
                <w:rFonts w:hint="eastAsia"/>
                <w:bCs/>
                <w:sz w:val="21"/>
                <w:szCs w:val="21"/>
              </w:rPr>
              <w:t>，破碎、筛分粉尘收集后由1套脉冲布袋除尘器过滤处理后由1根1</w:t>
            </w:r>
            <w:r>
              <w:rPr>
                <w:bCs/>
                <w:sz w:val="21"/>
                <w:szCs w:val="21"/>
              </w:rPr>
              <w:t>5</w:t>
            </w:r>
            <w:r>
              <w:rPr>
                <w:rFonts w:hint="eastAsia"/>
                <w:bCs/>
                <w:sz w:val="21"/>
                <w:szCs w:val="21"/>
              </w:rPr>
              <w:t>m高排气筒外排</w:t>
            </w:r>
            <w:r>
              <w:rPr>
                <w:rFonts w:hint="eastAsia"/>
                <w:sz w:val="21"/>
                <w:szCs w:val="21"/>
              </w:rPr>
              <w:t>。</w:t>
            </w:r>
          </w:p>
        </w:tc>
        <w:tc>
          <w:tcPr>
            <w:tcW w:w="1984" w:type="dxa"/>
            <w:vAlign w:val="center"/>
          </w:tcPr>
          <w:p>
            <w:pPr>
              <w:pStyle w:val="249"/>
              <w:adjustRightInd/>
              <w:snapToGrid/>
              <w:spacing w:line="240" w:lineRule="auto"/>
              <w:jc w:val="center"/>
              <w:rPr>
                <w:szCs w:val="21"/>
              </w:rPr>
            </w:pPr>
            <w:r>
              <w:rPr>
                <w:szCs w:val="21"/>
              </w:rPr>
              <w:t>1</w:t>
            </w:r>
            <w:r>
              <w:rPr>
                <w:rFonts w:hint="eastAsia"/>
                <w:szCs w:val="21"/>
              </w:rPr>
              <w:t>0</w:t>
            </w:r>
            <w:r>
              <w:rPr>
                <w:szCs w:val="21"/>
              </w:rPr>
              <w:t>mg/m</w:t>
            </w:r>
            <w:r>
              <w:rPr>
                <w:szCs w:val="21"/>
                <w:vertAlign w:val="superscript"/>
              </w:rPr>
              <w:t>3</w:t>
            </w:r>
            <w:r>
              <w:rPr>
                <w:rFonts w:hint="eastAsia"/>
                <w:szCs w:val="21"/>
              </w:rPr>
              <w:t>，</w:t>
            </w:r>
            <w:r>
              <w:rPr>
                <w:szCs w:val="21"/>
              </w:rPr>
              <w:t>0.72</w:t>
            </w:r>
            <w:r>
              <w:rPr>
                <w:rFonts w:hint="eastAsia"/>
                <w:szCs w:val="21"/>
              </w:rPr>
              <w:t xml:space="preserve"> t/a</w:t>
            </w:r>
          </w:p>
        </w:tc>
        <w:tc>
          <w:tcPr>
            <w:tcW w:w="1134" w:type="dxa"/>
            <w:vAlign w:val="center"/>
          </w:tcPr>
          <w:p>
            <w:pPr>
              <w:pStyle w:val="249"/>
              <w:adjustRightInd/>
              <w:snapToGrid/>
              <w:spacing w:line="240" w:lineRule="auto"/>
              <w:jc w:val="center"/>
              <w:rPr>
                <w:szCs w:val="21"/>
              </w:rPr>
            </w:pPr>
            <w:r>
              <w:rPr>
                <w:rFonts w:hint="eastAsia"/>
                <w:szCs w:val="21"/>
              </w:rPr>
              <w:t>排气筒</w:t>
            </w:r>
          </w:p>
          <w:p>
            <w:pPr>
              <w:pStyle w:val="249"/>
              <w:adjustRightInd/>
              <w:snapToGrid/>
              <w:spacing w:line="240" w:lineRule="auto"/>
              <w:jc w:val="center"/>
              <w:rPr>
                <w:szCs w:val="21"/>
              </w:rPr>
            </w:pPr>
            <w:r>
              <w:rPr>
                <w:szCs w:val="21"/>
              </w:rPr>
              <w:t>H=15m</w:t>
            </w:r>
          </w:p>
          <w:p>
            <w:pPr>
              <w:pStyle w:val="249"/>
              <w:adjustRightInd/>
              <w:snapToGrid/>
              <w:spacing w:line="240" w:lineRule="auto"/>
              <w:jc w:val="center"/>
              <w:rPr>
                <w:szCs w:val="21"/>
              </w:rPr>
            </w:pPr>
            <w:r>
              <w:rPr>
                <w:rFonts w:hint="eastAsia"/>
                <w:szCs w:val="21"/>
              </w:rPr>
              <w:t>φ=</w:t>
            </w:r>
            <w:r>
              <w:rPr>
                <w:szCs w:val="21"/>
              </w:rPr>
              <w:t>0.8</w:t>
            </w:r>
            <w:r>
              <w:rPr>
                <w:rFonts w:hint="eastAsia"/>
                <w:szCs w:val="21"/>
              </w:rPr>
              <w:t>m</w:t>
            </w:r>
          </w:p>
        </w:tc>
        <w:tc>
          <w:tcPr>
            <w:tcW w:w="3819" w:type="dxa"/>
            <w:vMerge w:val="continue"/>
            <w:vAlign w:val="center"/>
          </w:tcPr>
          <w:p>
            <w:pPr>
              <w:pStyle w:val="249"/>
              <w:adjustRightInd/>
              <w:snapToGrid/>
              <w:spacing w:line="240" w:lineRule="auto"/>
              <w:jc w:val="center"/>
              <w:rPr>
                <w:rFonts w:hAnsi="宋体"/>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6" w:type="dxa"/>
            <w:vMerge w:val="continue"/>
            <w:vAlign w:val="center"/>
          </w:tcPr>
          <w:p>
            <w:pPr>
              <w:pStyle w:val="249"/>
              <w:adjustRightInd/>
              <w:snapToGrid/>
              <w:spacing w:line="240" w:lineRule="auto"/>
              <w:jc w:val="center"/>
              <w:rPr>
                <w:szCs w:val="21"/>
              </w:rPr>
            </w:pPr>
          </w:p>
        </w:tc>
        <w:tc>
          <w:tcPr>
            <w:tcW w:w="425" w:type="dxa"/>
            <w:vMerge w:val="restart"/>
            <w:vAlign w:val="center"/>
          </w:tcPr>
          <w:p>
            <w:pPr>
              <w:pStyle w:val="249"/>
              <w:adjustRightInd/>
              <w:snapToGrid/>
              <w:spacing w:line="240" w:lineRule="auto"/>
              <w:jc w:val="center"/>
              <w:rPr>
                <w:szCs w:val="21"/>
              </w:rPr>
            </w:pPr>
            <w:r>
              <w:rPr>
                <w:szCs w:val="21"/>
              </w:rPr>
              <w:t>废水</w:t>
            </w:r>
          </w:p>
        </w:tc>
        <w:tc>
          <w:tcPr>
            <w:tcW w:w="1418" w:type="dxa"/>
            <w:vAlign w:val="center"/>
          </w:tcPr>
          <w:p>
            <w:pPr>
              <w:pStyle w:val="142"/>
              <w:snapToGrid/>
            </w:pPr>
            <w:r>
              <w:rPr>
                <w:rFonts w:hint="eastAsia"/>
              </w:rPr>
              <w:t>生活污水</w:t>
            </w:r>
          </w:p>
        </w:tc>
        <w:tc>
          <w:tcPr>
            <w:tcW w:w="1276" w:type="dxa"/>
            <w:vAlign w:val="center"/>
          </w:tcPr>
          <w:p>
            <w:pPr>
              <w:pStyle w:val="142"/>
              <w:snapToGrid/>
            </w:pPr>
            <w:r>
              <w:rPr>
                <w:rFonts w:hint="eastAsia"/>
              </w:rPr>
              <w:t>COD、BOD、SS</w:t>
            </w:r>
          </w:p>
        </w:tc>
        <w:tc>
          <w:tcPr>
            <w:tcW w:w="4389" w:type="dxa"/>
            <w:vAlign w:val="center"/>
          </w:tcPr>
          <w:p>
            <w:pPr>
              <w:pStyle w:val="144"/>
              <w:snapToGrid/>
              <w:spacing w:before="0" w:after="0" w:line="240" w:lineRule="auto"/>
              <w:ind w:firstLine="0" w:firstLineChars="0"/>
              <w:jc w:val="center"/>
              <w:rPr>
                <w:rFonts w:hAnsi="宋体"/>
                <w:bCs/>
                <w:color w:val="FF0000"/>
                <w:sz w:val="21"/>
                <w:szCs w:val="21"/>
              </w:rPr>
            </w:pPr>
            <w:r>
              <w:rPr>
                <w:rFonts w:hint="eastAsia"/>
                <w:sz w:val="21"/>
                <w:szCs w:val="21"/>
              </w:rPr>
              <w:t>少量盥洗废水</w:t>
            </w:r>
            <w:r>
              <w:rPr>
                <w:rFonts w:hint="eastAsia"/>
                <w:bCs/>
                <w:sz w:val="21"/>
                <w:szCs w:val="21"/>
              </w:rPr>
              <w:t>（0.24</w:t>
            </w:r>
            <w:r>
              <w:rPr>
                <w:bCs/>
                <w:sz w:val="21"/>
                <w:szCs w:val="21"/>
              </w:rPr>
              <w:t xml:space="preserve"> m</w:t>
            </w:r>
            <w:r>
              <w:rPr>
                <w:bCs/>
                <w:sz w:val="21"/>
                <w:szCs w:val="21"/>
                <w:vertAlign w:val="superscript"/>
              </w:rPr>
              <w:t>3</w:t>
            </w:r>
            <w:r>
              <w:rPr>
                <w:bCs/>
                <w:sz w:val="21"/>
                <w:szCs w:val="21"/>
              </w:rPr>
              <w:t>/d</w:t>
            </w:r>
            <w:r>
              <w:rPr>
                <w:rFonts w:hint="eastAsia"/>
                <w:bCs/>
                <w:sz w:val="21"/>
                <w:szCs w:val="21"/>
              </w:rPr>
              <w:t>）</w:t>
            </w:r>
            <w:r>
              <w:rPr>
                <w:rFonts w:hint="eastAsia"/>
                <w:sz w:val="21"/>
                <w:szCs w:val="21"/>
              </w:rPr>
              <w:t>用于泼洒抑尘；</w:t>
            </w:r>
            <w:r>
              <w:rPr>
                <w:rFonts w:hint="eastAsia"/>
                <w:bCs/>
                <w:sz w:val="21"/>
                <w:szCs w:val="21"/>
              </w:rPr>
              <w:t>食堂餐余物及食堂废水（0.24</w:t>
            </w:r>
            <w:r>
              <w:rPr>
                <w:bCs/>
                <w:sz w:val="21"/>
                <w:szCs w:val="21"/>
              </w:rPr>
              <w:t>m</w:t>
            </w:r>
            <w:r>
              <w:rPr>
                <w:bCs/>
                <w:sz w:val="21"/>
                <w:szCs w:val="21"/>
                <w:vertAlign w:val="superscript"/>
              </w:rPr>
              <w:t>3</w:t>
            </w:r>
            <w:r>
              <w:rPr>
                <w:bCs/>
                <w:sz w:val="21"/>
                <w:szCs w:val="21"/>
              </w:rPr>
              <w:t>/d</w:t>
            </w:r>
            <w:r>
              <w:rPr>
                <w:rFonts w:hint="eastAsia"/>
                <w:bCs/>
                <w:sz w:val="21"/>
                <w:szCs w:val="21"/>
              </w:rPr>
              <w:t>）</w:t>
            </w:r>
            <w:r>
              <w:rPr>
                <w:rFonts w:hint="eastAsia"/>
                <w:sz w:val="21"/>
                <w:szCs w:val="21"/>
              </w:rPr>
              <w:t>经收集后委托有相关资质的单位外运处置</w:t>
            </w:r>
          </w:p>
        </w:tc>
        <w:tc>
          <w:tcPr>
            <w:tcW w:w="1984" w:type="dxa"/>
            <w:vAlign w:val="center"/>
          </w:tcPr>
          <w:p>
            <w:pPr>
              <w:pStyle w:val="249"/>
              <w:adjustRightInd/>
              <w:snapToGrid/>
              <w:spacing w:line="240" w:lineRule="auto"/>
              <w:jc w:val="center"/>
              <w:rPr>
                <w:szCs w:val="21"/>
              </w:rPr>
            </w:pPr>
            <w:r>
              <w:rPr>
                <w:rFonts w:hint="eastAsia"/>
                <w:szCs w:val="21"/>
              </w:rPr>
              <w:t>/</w:t>
            </w:r>
          </w:p>
        </w:tc>
        <w:tc>
          <w:tcPr>
            <w:tcW w:w="1134" w:type="dxa"/>
            <w:vAlign w:val="center"/>
          </w:tcPr>
          <w:p>
            <w:pPr>
              <w:pStyle w:val="249"/>
              <w:adjustRightInd/>
              <w:snapToGrid/>
              <w:spacing w:line="240" w:lineRule="auto"/>
              <w:jc w:val="center"/>
              <w:rPr>
                <w:szCs w:val="21"/>
              </w:rPr>
            </w:pPr>
            <w:r>
              <w:rPr>
                <w:rFonts w:hint="eastAsia"/>
                <w:szCs w:val="21"/>
              </w:rPr>
              <w:t>不外排</w:t>
            </w:r>
          </w:p>
        </w:tc>
        <w:tc>
          <w:tcPr>
            <w:tcW w:w="3819" w:type="dxa"/>
            <w:vAlign w:val="center"/>
          </w:tcPr>
          <w:p>
            <w:pPr>
              <w:autoSpaceDE w:val="0"/>
              <w:autoSpaceDN w:val="0"/>
              <w:spacing w:line="240" w:lineRule="auto"/>
              <w:ind w:firstLine="0" w:firstLineChars="0"/>
              <w:jc w:val="center"/>
              <w:rPr>
                <w:sz w:val="21"/>
                <w:szCs w:val="21"/>
              </w:rPr>
            </w:pPr>
            <w:r>
              <w:rPr>
                <w:rFonts w:hint="eastAsia"/>
                <w:bCs/>
                <w:sz w:val="21"/>
                <w:szCs w:val="21"/>
              </w:rPr>
              <w:t>综合利用，不外排</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6" w:type="dxa"/>
            <w:vMerge w:val="continue"/>
            <w:vAlign w:val="center"/>
          </w:tcPr>
          <w:p>
            <w:pPr>
              <w:pStyle w:val="249"/>
              <w:adjustRightInd/>
              <w:snapToGrid/>
              <w:spacing w:line="240" w:lineRule="auto"/>
              <w:jc w:val="center"/>
              <w:rPr>
                <w:szCs w:val="21"/>
              </w:rPr>
            </w:pPr>
          </w:p>
        </w:tc>
        <w:tc>
          <w:tcPr>
            <w:tcW w:w="425" w:type="dxa"/>
            <w:vMerge w:val="continue"/>
            <w:vAlign w:val="center"/>
          </w:tcPr>
          <w:p>
            <w:pPr>
              <w:pStyle w:val="249"/>
              <w:adjustRightInd/>
              <w:snapToGrid/>
              <w:spacing w:line="240" w:lineRule="auto"/>
              <w:jc w:val="center"/>
              <w:rPr>
                <w:szCs w:val="21"/>
              </w:rPr>
            </w:pPr>
          </w:p>
        </w:tc>
        <w:tc>
          <w:tcPr>
            <w:tcW w:w="1418" w:type="dxa"/>
            <w:vAlign w:val="center"/>
          </w:tcPr>
          <w:p>
            <w:pPr>
              <w:pStyle w:val="142"/>
              <w:snapToGrid/>
            </w:pPr>
            <w:r>
              <w:rPr>
                <w:rFonts w:hint="eastAsia"/>
              </w:rPr>
              <w:t>洗车废水</w:t>
            </w:r>
          </w:p>
        </w:tc>
        <w:tc>
          <w:tcPr>
            <w:tcW w:w="1276" w:type="dxa"/>
            <w:vAlign w:val="center"/>
          </w:tcPr>
          <w:p>
            <w:pPr>
              <w:pStyle w:val="142"/>
              <w:snapToGrid/>
            </w:pPr>
            <w:r>
              <w:rPr>
                <w:rFonts w:hint="eastAsia"/>
              </w:rPr>
              <w:t>COD、SS</w:t>
            </w:r>
          </w:p>
        </w:tc>
        <w:tc>
          <w:tcPr>
            <w:tcW w:w="4389" w:type="dxa"/>
            <w:vAlign w:val="center"/>
          </w:tcPr>
          <w:p>
            <w:pPr>
              <w:pStyle w:val="144"/>
              <w:snapToGrid/>
              <w:spacing w:before="0" w:after="0" w:line="240" w:lineRule="auto"/>
              <w:ind w:firstLine="0" w:firstLineChars="0"/>
              <w:jc w:val="center"/>
              <w:rPr>
                <w:rFonts w:hAnsi="宋体"/>
                <w:sz w:val="21"/>
                <w:szCs w:val="21"/>
              </w:rPr>
            </w:pPr>
            <w:r>
              <w:rPr>
                <w:rFonts w:hint="eastAsia"/>
                <w:sz w:val="21"/>
                <w:szCs w:val="21"/>
              </w:rPr>
              <w:t>洗车废水排至沉淀池沉淀处理后排入清水池循环使用，不外排；设1座1</w:t>
            </w:r>
            <w:r>
              <w:rPr>
                <w:sz w:val="21"/>
                <w:szCs w:val="21"/>
              </w:rPr>
              <w:t>0</w:t>
            </w:r>
            <w:r>
              <w:rPr>
                <w:rFonts w:hint="eastAsia"/>
                <w:sz w:val="21"/>
                <w:szCs w:val="21"/>
              </w:rPr>
              <w:t>m</w:t>
            </w:r>
            <w:r>
              <w:rPr>
                <w:sz w:val="21"/>
                <w:szCs w:val="21"/>
                <w:vertAlign w:val="superscript"/>
              </w:rPr>
              <w:t>3</w:t>
            </w:r>
            <w:r>
              <w:rPr>
                <w:rFonts w:hint="eastAsia"/>
                <w:sz w:val="21"/>
                <w:szCs w:val="21"/>
              </w:rPr>
              <w:t>沉淀池，1座1</w:t>
            </w:r>
            <w:r>
              <w:rPr>
                <w:sz w:val="21"/>
                <w:szCs w:val="21"/>
              </w:rPr>
              <w:t>0</w:t>
            </w:r>
            <w:r>
              <w:rPr>
                <w:rFonts w:hint="eastAsia"/>
                <w:sz w:val="21"/>
                <w:szCs w:val="21"/>
              </w:rPr>
              <w:t>m</w:t>
            </w:r>
            <w:r>
              <w:rPr>
                <w:sz w:val="21"/>
                <w:szCs w:val="21"/>
                <w:vertAlign w:val="superscript"/>
              </w:rPr>
              <w:t>3</w:t>
            </w:r>
            <w:r>
              <w:rPr>
                <w:rFonts w:hint="eastAsia"/>
                <w:sz w:val="21"/>
                <w:szCs w:val="21"/>
              </w:rPr>
              <w:t>清水池</w:t>
            </w:r>
          </w:p>
        </w:tc>
        <w:tc>
          <w:tcPr>
            <w:tcW w:w="1984" w:type="dxa"/>
            <w:vAlign w:val="center"/>
          </w:tcPr>
          <w:p>
            <w:pPr>
              <w:pStyle w:val="249"/>
              <w:adjustRightInd/>
              <w:snapToGrid/>
              <w:spacing w:line="240" w:lineRule="auto"/>
              <w:jc w:val="center"/>
              <w:rPr>
                <w:szCs w:val="21"/>
              </w:rPr>
            </w:pPr>
            <w:r>
              <w:rPr>
                <w:rFonts w:hint="eastAsia"/>
                <w:szCs w:val="21"/>
              </w:rPr>
              <w:t>/</w:t>
            </w:r>
          </w:p>
        </w:tc>
        <w:tc>
          <w:tcPr>
            <w:tcW w:w="1134" w:type="dxa"/>
            <w:vAlign w:val="center"/>
          </w:tcPr>
          <w:p>
            <w:pPr>
              <w:pStyle w:val="249"/>
              <w:adjustRightInd/>
              <w:snapToGrid/>
              <w:spacing w:line="240" w:lineRule="auto"/>
              <w:jc w:val="center"/>
              <w:rPr>
                <w:szCs w:val="21"/>
              </w:rPr>
            </w:pPr>
            <w:r>
              <w:rPr>
                <w:rFonts w:hint="eastAsia"/>
                <w:szCs w:val="21"/>
              </w:rPr>
              <w:t>不外排</w:t>
            </w:r>
          </w:p>
        </w:tc>
        <w:tc>
          <w:tcPr>
            <w:tcW w:w="3819" w:type="dxa"/>
            <w:vAlign w:val="center"/>
          </w:tcPr>
          <w:p>
            <w:pPr>
              <w:autoSpaceDE w:val="0"/>
              <w:autoSpaceDN w:val="0"/>
              <w:spacing w:line="240" w:lineRule="auto"/>
              <w:ind w:firstLine="0" w:firstLineChars="0"/>
              <w:jc w:val="center"/>
              <w:rPr>
                <w:bCs/>
                <w:sz w:val="21"/>
                <w:szCs w:val="21"/>
              </w:rPr>
            </w:pPr>
            <w:r>
              <w:rPr>
                <w:rFonts w:hint="eastAsia"/>
                <w:bCs/>
                <w:sz w:val="21"/>
                <w:szCs w:val="21"/>
              </w:rPr>
              <w:t>综合利用，不外排</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6" w:type="dxa"/>
            <w:vMerge w:val="continue"/>
            <w:vAlign w:val="center"/>
          </w:tcPr>
          <w:p>
            <w:pPr>
              <w:pStyle w:val="249"/>
              <w:adjustRightInd/>
              <w:snapToGrid/>
              <w:spacing w:line="240" w:lineRule="auto"/>
              <w:jc w:val="center"/>
              <w:rPr>
                <w:szCs w:val="21"/>
              </w:rPr>
            </w:pPr>
          </w:p>
        </w:tc>
        <w:tc>
          <w:tcPr>
            <w:tcW w:w="425" w:type="dxa"/>
            <w:vAlign w:val="center"/>
          </w:tcPr>
          <w:p>
            <w:pPr>
              <w:spacing w:line="240" w:lineRule="auto"/>
              <w:ind w:firstLine="0" w:firstLineChars="0"/>
              <w:jc w:val="center"/>
              <w:rPr>
                <w:sz w:val="21"/>
                <w:szCs w:val="21"/>
              </w:rPr>
            </w:pPr>
            <w:r>
              <w:rPr>
                <w:color w:val="000000"/>
                <w:sz w:val="21"/>
                <w:szCs w:val="21"/>
              </w:rPr>
              <w:t>噪声</w:t>
            </w:r>
          </w:p>
        </w:tc>
        <w:tc>
          <w:tcPr>
            <w:tcW w:w="1418" w:type="dxa"/>
            <w:vAlign w:val="center"/>
          </w:tcPr>
          <w:p>
            <w:pPr>
              <w:autoSpaceDE w:val="0"/>
              <w:autoSpaceDN w:val="0"/>
              <w:spacing w:line="240" w:lineRule="auto"/>
              <w:ind w:firstLine="0" w:firstLineChars="0"/>
              <w:jc w:val="center"/>
              <w:rPr>
                <w:color w:val="000000"/>
                <w:sz w:val="21"/>
                <w:szCs w:val="21"/>
              </w:rPr>
            </w:pPr>
            <w:r>
              <w:rPr>
                <w:rFonts w:hint="eastAsia"/>
                <w:sz w:val="21"/>
                <w:szCs w:val="21"/>
              </w:rPr>
              <w:t>各产噪设备</w:t>
            </w:r>
          </w:p>
        </w:tc>
        <w:tc>
          <w:tcPr>
            <w:tcW w:w="1276" w:type="dxa"/>
            <w:vAlign w:val="center"/>
          </w:tcPr>
          <w:p>
            <w:pPr>
              <w:spacing w:line="240" w:lineRule="auto"/>
              <w:ind w:firstLine="0" w:firstLineChars="0"/>
              <w:jc w:val="center"/>
              <w:rPr>
                <w:sz w:val="21"/>
                <w:szCs w:val="21"/>
              </w:rPr>
            </w:pPr>
            <w:r>
              <w:rPr>
                <w:color w:val="000000"/>
                <w:sz w:val="21"/>
                <w:szCs w:val="21"/>
              </w:rPr>
              <w:t>噪声</w:t>
            </w:r>
          </w:p>
        </w:tc>
        <w:tc>
          <w:tcPr>
            <w:tcW w:w="4389" w:type="dxa"/>
            <w:vAlign w:val="center"/>
          </w:tcPr>
          <w:p>
            <w:pPr>
              <w:autoSpaceDE w:val="0"/>
              <w:autoSpaceDN w:val="0"/>
              <w:spacing w:line="240" w:lineRule="auto"/>
              <w:ind w:firstLine="0" w:firstLineChars="0"/>
              <w:jc w:val="center"/>
              <w:rPr>
                <w:sz w:val="21"/>
                <w:szCs w:val="21"/>
              </w:rPr>
            </w:pPr>
            <w:r>
              <w:rPr>
                <w:rFonts w:hint="eastAsia" w:hAnsi="宋体"/>
                <w:bCs/>
                <w:sz w:val="21"/>
                <w:szCs w:val="21"/>
              </w:rPr>
              <w:t>选用低噪设备，对主要污染源采取消声、吸声、建筑隔声、基础减震等防噪措施。</w:t>
            </w:r>
          </w:p>
        </w:tc>
        <w:tc>
          <w:tcPr>
            <w:tcW w:w="1984" w:type="dxa"/>
            <w:vAlign w:val="center"/>
          </w:tcPr>
          <w:p>
            <w:pPr>
              <w:pStyle w:val="37"/>
              <w:spacing w:line="240" w:lineRule="auto"/>
              <w:ind w:firstLine="0" w:firstLineChars="0"/>
              <w:jc w:val="center"/>
              <w:rPr>
                <w:rFonts w:ascii="Times New Roman" w:hAnsi="Times New Roman"/>
                <w:szCs w:val="21"/>
              </w:rPr>
            </w:pPr>
            <w:r>
              <w:rPr>
                <w:rFonts w:hint="eastAsia" w:ascii="Times New Roman" w:hAnsi="Times New Roman"/>
                <w:szCs w:val="21"/>
              </w:rPr>
              <w:t>/</w:t>
            </w:r>
          </w:p>
        </w:tc>
        <w:tc>
          <w:tcPr>
            <w:tcW w:w="1134" w:type="dxa"/>
            <w:vAlign w:val="center"/>
          </w:tcPr>
          <w:p>
            <w:pPr>
              <w:pStyle w:val="249"/>
              <w:adjustRightInd/>
              <w:snapToGrid/>
              <w:spacing w:line="240" w:lineRule="auto"/>
              <w:jc w:val="center"/>
              <w:rPr>
                <w:szCs w:val="21"/>
              </w:rPr>
            </w:pPr>
            <w:r>
              <w:rPr>
                <w:rFonts w:hint="eastAsia"/>
                <w:szCs w:val="21"/>
              </w:rPr>
              <w:t>厂界</w:t>
            </w:r>
          </w:p>
        </w:tc>
        <w:tc>
          <w:tcPr>
            <w:tcW w:w="3819" w:type="dxa"/>
            <w:vAlign w:val="center"/>
          </w:tcPr>
          <w:p>
            <w:pPr>
              <w:pStyle w:val="249"/>
              <w:adjustRightInd/>
              <w:snapToGrid/>
              <w:spacing w:line="240" w:lineRule="auto"/>
              <w:jc w:val="center"/>
              <w:rPr>
                <w:szCs w:val="21"/>
              </w:rPr>
            </w:pPr>
            <w:r>
              <w:rPr>
                <w:rFonts w:hint="eastAsia"/>
                <w:bCs/>
                <w:kern w:val="0"/>
                <w:szCs w:val="21"/>
              </w:rPr>
              <w:t>《工业企业厂界环境噪声排放标准》2类声环境功能区排放限值</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6" w:type="dxa"/>
            <w:vMerge w:val="continue"/>
            <w:vAlign w:val="center"/>
          </w:tcPr>
          <w:p>
            <w:pPr>
              <w:pStyle w:val="249"/>
              <w:adjustRightInd/>
              <w:snapToGrid/>
              <w:spacing w:line="240" w:lineRule="auto"/>
              <w:jc w:val="center"/>
              <w:rPr>
                <w:szCs w:val="21"/>
              </w:rPr>
            </w:pPr>
          </w:p>
        </w:tc>
        <w:tc>
          <w:tcPr>
            <w:tcW w:w="425" w:type="dxa"/>
            <w:vMerge w:val="restart"/>
            <w:vAlign w:val="center"/>
          </w:tcPr>
          <w:p>
            <w:pPr>
              <w:spacing w:line="240" w:lineRule="auto"/>
              <w:ind w:firstLine="0" w:firstLineChars="0"/>
              <w:jc w:val="center"/>
              <w:rPr>
                <w:color w:val="000000"/>
                <w:sz w:val="21"/>
                <w:szCs w:val="21"/>
              </w:rPr>
            </w:pPr>
            <w:r>
              <w:rPr>
                <w:rFonts w:hint="eastAsia"/>
                <w:color w:val="000000"/>
                <w:sz w:val="21"/>
                <w:szCs w:val="21"/>
              </w:rPr>
              <w:t>固废</w:t>
            </w:r>
          </w:p>
        </w:tc>
        <w:tc>
          <w:tcPr>
            <w:tcW w:w="1418" w:type="dxa"/>
            <w:vAlign w:val="center"/>
          </w:tcPr>
          <w:p>
            <w:pPr>
              <w:autoSpaceDE w:val="0"/>
              <w:autoSpaceDN w:val="0"/>
              <w:spacing w:line="240" w:lineRule="auto"/>
              <w:ind w:firstLine="0" w:firstLineChars="0"/>
              <w:jc w:val="center"/>
              <w:rPr>
                <w:rFonts w:hAnsi="宋体"/>
                <w:sz w:val="21"/>
                <w:szCs w:val="21"/>
              </w:rPr>
            </w:pPr>
            <w:r>
              <w:rPr>
                <w:rFonts w:hint="eastAsia" w:hAnsi="宋体"/>
                <w:sz w:val="21"/>
                <w:szCs w:val="21"/>
              </w:rPr>
              <w:t>除铁器</w:t>
            </w:r>
          </w:p>
        </w:tc>
        <w:tc>
          <w:tcPr>
            <w:tcW w:w="1276" w:type="dxa"/>
            <w:vAlign w:val="center"/>
          </w:tcPr>
          <w:p>
            <w:pPr>
              <w:pStyle w:val="142"/>
              <w:snapToGrid/>
              <w:rPr>
                <w:rFonts w:hAnsi="宋体"/>
              </w:rPr>
            </w:pPr>
            <w:r>
              <w:rPr>
                <w:rFonts w:hint="eastAsia" w:hAnsi="宋体"/>
              </w:rPr>
              <w:t>含铁废矿石</w:t>
            </w:r>
          </w:p>
        </w:tc>
        <w:tc>
          <w:tcPr>
            <w:tcW w:w="4389" w:type="dxa"/>
            <w:vAlign w:val="center"/>
          </w:tcPr>
          <w:p>
            <w:pPr>
              <w:widowControl/>
              <w:spacing w:line="240" w:lineRule="auto"/>
              <w:ind w:firstLine="0" w:firstLineChars="0"/>
              <w:jc w:val="center"/>
              <w:rPr>
                <w:sz w:val="21"/>
                <w:szCs w:val="21"/>
              </w:rPr>
            </w:pPr>
            <w:r>
              <w:rPr>
                <w:rFonts w:hint="eastAsia"/>
                <w:sz w:val="21"/>
                <w:szCs w:val="21"/>
              </w:rPr>
              <w:t>外售于铁厂综合利用</w:t>
            </w:r>
          </w:p>
        </w:tc>
        <w:tc>
          <w:tcPr>
            <w:tcW w:w="1984" w:type="dxa"/>
            <w:vAlign w:val="center"/>
          </w:tcPr>
          <w:p>
            <w:pPr>
              <w:keepNext/>
              <w:spacing w:line="240" w:lineRule="auto"/>
              <w:ind w:firstLine="0" w:firstLineChars="0"/>
              <w:jc w:val="center"/>
              <w:rPr>
                <w:sz w:val="21"/>
                <w:szCs w:val="21"/>
              </w:rPr>
            </w:pPr>
            <w:r>
              <w:rPr>
                <w:rFonts w:hint="eastAsia"/>
                <w:sz w:val="21"/>
                <w:szCs w:val="21"/>
              </w:rPr>
              <w:t>/</w:t>
            </w:r>
          </w:p>
        </w:tc>
        <w:tc>
          <w:tcPr>
            <w:tcW w:w="1134" w:type="dxa"/>
            <w:vAlign w:val="center"/>
          </w:tcPr>
          <w:p>
            <w:pPr>
              <w:keepNext/>
              <w:spacing w:line="240" w:lineRule="auto"/>
              <w:ind w:firstLine="0" w:firstLineChars="0"/>
              <w:jc w:val="center"/>
              <w:rPr>
                <w:sz w:val="21"/>
                <w:szCs w:val="21"/>
              </w:rPr>
            </w:pPr>
            <w:r>
              <w:rPr>
                <w:rFonts w:hint="eastAsia"/>
                <w:sz w:val="21"/>
                <w:szCs w:val="21"/>
              </w:rPr>
              <w:t>/</w:t>
            </w:r>
          </w:p>
        </w:tc>
        <w:tc>
          <w:tcPr>
            <w:tcW w:w="3819" w:type="dxa"/>
            <w:vAlign w:val="center"/>
          </w:tcPr>
          <w:p>
            <w:pPr>
              <w:widowControl/>
              <w:spacing w:line="240" w:lineRule="auto"/>
              <w:ind w:firstLine="0" w:firstLineChars="0"/>
              <w:jc w:val="center"/>
              <w:rPr>
                <w:sz w:val="21"/>
                <w:szCs w:val="21"/>
              </w:rPr>
            </w:pPr>
            <w:r>
              <w:rPr>
                <w:rFonts w:hint="eastAsia"/>
                <w:sz w:val="21"/>
                <w:szCs w:val="21"/>
              </w:rPr>
              <w:t>外售于铁厂综合利用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6" w:type="dxa"/>
            <w:vMerge w:val="continue"/>
            <w:vAlign w:val="center"/>
          </w:tcPr>
          <w:p>
            <w:pPr>
              <w:pStyle w:val="249"/>
              <w:adjustRightInd/>
              <w:snapToGrid/>
              <w:spacing w:line="240" w:lineRule="auto"/>
              <w:jc w:val="center"/>
              <w:rPr>
                <w:szCs w:val="21"/>
              </w:rPr>
            </w:pPr>
          </w:p>
        </w:tc>
        <w:tc>
          <w:tcPr>
            <w:tcW w:w="425" w:type="dxa"/>
            <w:vMerge w:val="continue"/>
            <w:vAlign w:val="center"/>
          </w:tcPr>
          <w:p>
            <w:pPr>
              <w:spacing w:line="240" w:lineRule="auto"/>
              <w:ind w:firstLine="0" w:firstLineChars="0"/>
              <w:jc w:val="center"/>
              <w:rPr>
                <w:color w:val="000000"/>
                <w:sz w:val="21"/>
                <w:szCs w:val="21"/>
              </w:rPr>
            </w:pPr>
          </w:p>
        </w:tc>
        <w:tc>
          <w:tcPr>
            <w:tcW w:w="1418" w:type="dxa"/>
            <w:vAlign w:val="center"/>
          </w:tcPr>
          <w:p>
            <w:pPr>
              <w:autoSpaceDE w:val="0"/>
              <w:autoSpaceDN w:val="0"/>
              <w:spacing w:line="240" w:lineRule="auto"/>
              <w:ind w:firstLine="0" w:firstLineChars="0"/>
              <w:jc w:val="center"/>
              <w:rPr>
                <w:sz w:val="21"/>
                <w:szCs w:val="21"/>
              </w:rPr>
            </w:pPr>
            <w:r>
              <w:rPr>
                <w:rFonts w:hint="eastAsia" w:hAnsi="宋体"/>
                <w:sz w:val="21"/>
                <w:szCs w:val="21"/>
              </w:rPr>
              <w:t>除尘器</w:t>
            </w:r>
          </w:p>
        </w:tc>
        <w:tc>
          <w:tcPr>
            <w:tcW w:w="1276" w:type="dxa"/>
            <w:vAlign w:val="center"/>
          </w:tcPr>
          <w:p>
            <w:pPr>
              <w:pStyle w:val="142"/>
              <w:snapToGrid/>
            </w:pPr>
            <w:r>
              <w:rPr>
                <w:rFonts w:hint="eastAsia" w:hAnsi="宋体"/>
              </w:rPr>
              <w:t>集尘灰</w:t>
            </w:r>
          </w:p>
        </w:tc>
        <w:tc>
          <w:tcPr>
            <w:tcW w:w="4389" w:type="dxa"/>
            <w:vAlign w:val="center"/>
          </w:tcPr>
          <w:p>
            <w:pPr>
              <w:pStyle w:val="144"/>
              <w:snapToGrid/>
              <w:spacing w:before="0" w:after="0" w:line="240" w:lineRule="auto"/>
              <w:ind w:firstLine="0" w:firstLineChars="0"/>
              <w:jc w:val="center"/>
              <w:rPr>
                <w:rFonts w:hAnsi="宋体"/>
                <w:bCs/>
                <w:sz w:val="21"/>
                <w:szCs w:val="21"/>
              </w:rPr>
            </w:pPr>
            <w:r>
              <w:rPr>
                <w:rFonts w:hint="eastAsia"/>
                <w:sz w:val="21"/>
                <w:szCs w:val="21"/>
              </w:rPr>
              <w:t>收集后可作为产品外售</w:t>
            </w:r>
          </w:p>
        </w:tc>
        <w:tc>
          <w:tcPr>
            <w:tcW w:w="1984" w:type="dxa"/>
            <w:vAlign w:val="center"/>
          </w:tcPr>
          <w:p>
            <w:pPr>
              <w:keepNext/>
              <w:spacing w:line="240" w:lineRule="auto"/>
              <w:ind w:firstLine="0" w:firstLineChars="0"/>
              <w:jc w:val="center"/>
              <w:rPr>
                <w:sz w:val="21"/>
                <w:szCs w:val="21"/>
              </w:rPr>
            </w:pPr>
            <w:r>
              <w:rPr>
                <w:rFonts w:hint="eastAsia"/>
                <w:sz w:val="21"/>
                <w:szCs w:val="21"/>
              </w:rPr>
              <w:t>/</w:t>
            </w:r>
          </w:p>
        </w:tc>
        <w:tc>
          <w:tcPr>
            <w:tcW w:w="1134" w:type="dxa"/>
            <w:vAlign w:val="center"/>
          </w:tcPr>
          <w:p>
            <w:pPr>
              <w:keepNext/>
              <w:spacing w:line="240" w:lineRule="auto"/>
              <w:ind w:firstLine="0" w:firstLineChars="0"/>
              <w:jc w:val="center"/>
              <w:rPr>
                <w:sz w:val="21"/>
                <w:szCs w:val="21"/>
              </w:rPr>
            </w:pPr>
            <w:r>
              <w:rPr>
                <w:rFonts w:hint="eastAsia"/>
                <w:sz w:val="21"/>
                <w:szCs w:val="21"/>
              </w:rPr>
              <w:t>/</w:t>
            </w:r>
          </w:p>
        </w:tc>
        <w:tc>
          <w:tcPr>
            <w:tcW w:w="3819" w:type="dxa"/>
            <w:vAlign w:val="center"/>
          </w:tcPr>
          <w:p>
            <w:pPr>
              <w:pStyle w:val="144"/>
              <w:snapToGrid/>
              <w:spacing w:before="0" w:after="0" w:line="240" w:lineRule="auto"/>
              <w:ind w:firstLine="0" w:firstLineChars="0"/>
              <w:jc w:val="center"/>
              <w:rPr>
                <w:rFonts w:hAnsi="宋体"/>
                <w:bCs/>
                <w:sz w:val="21"/>
                <w:szCs w:val="21"/>
              </w:rPr>
            </w:pPr>
            <w:r>
              <w:rPr>
                <w:rFonts w:hint="eastAsia"/>
                <w:sz w:val="21"/>
                <w:szCs w:val="21"/>
              </w:rPr>
              <w:t>收集后可作为产品外售</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6" w:type="dxa"/>
            <w:vMerge w:val="continue"/>
            <w:vAlign w:val="center"/>
          </w:tcPr>
          <w:p>
            <w:pPr>
              <w:pStyle w:val="249"/>
              <w:adjustRightInd/>
              <w:snapToGrid/>
              <w:spacing w:line="240" w:lineRule="auto"/>
              <w:jc w:val="center"/>
              <w:rPr>
                <w:szCs w:val="21"/>
              </w:rPr>
            </w:pPr>
          </w:p>
        </w:tc>
        <w:tc>
          <w:tcPr>
            <w:tcW w:w="425" w:type="dxa"/>
            <w:vMerge w:val="continue"/>
            <w:vAlign w:val="center"/>
          </w:tcPr>
          <w:p>
            <w:pPr>
              <w:spacing w:line="240" w:lineRule="auto"/>
              <w:ind w:firstLine="0" w:firstLineChars="0"/>
              <w:jc w:val="center"/>
              <w:rPr>
                <w:color w:val="000000"/>
                <w:sz w:val="21"/>
                <w:szCs w:val="21"/>
              </w:rPr>
            </w:pPr>
          </w:p>
        </w:tc>
        <w:tc>
          <w:tcPr>
            <w:tcW w:w="1418" w:type="dxa"/>
            <w:vAlign w:val="center"/>
          </w:tcPr>
          <w:p>
            <w:pPr>
              <w:autoSpaceDE w:val="0"/>
              <w:autoSpaceDN w:val="0"/>
              <w:spacing w:line="240" w:lineRule="auto"/>
              <w:ind w:firstLine="0" w:firstLineChars="0"/>
              <w:jc w:val="center"/>
              <w:rPr>
                <w:sz w:val="21"/>
                <w:szCs w:val="21"/>
              </w:rPr>
            </w:pPr>
            <w:r>
              <w:rPr>
                <w:rFonts w:hint="eastAsia"/>
                <w:sz w:val="21"/>
                <w:szCs w:val="21"/>
              </w:rPr>
              <w:t>设备维护</w:t>
            </w:r>
          </w:p>
        </w:tc>
        <w:tc>
          <w:tcPr>
            <w:tcW w:w="1276" w:type="dxa"/>
            <w:vAlign w:val="center"/>
          </w:tcPr>
          <w:p>
            <w:pPr>
              <w:pStyle w:val="142"/>
              <w:snapToGrid/>
            </w:pPr>
            <w:r>
              <w:rPr>
                <w:rFonts w:hint="eastAsia" w:hAnsi="宋体"/>
              </w:rPr>
              <w:t>废矿物油</w:t>
            </w:r>
          </w:p>
        </w:tc>
        <w:tc>
          <w:tcPr>
            <w:tcW w:w="4389" w:type="dxa"/>
            <w:vAlign w:val="center"/>
          </w:tcPr>
          <w:p>
            <w:pPr>
              <w:pStyle w:val="144"/>
              <w:snapToGrid/>
              <w:spacing w:before="0" w:after="0" w:line="240" w:lineRule="auto"/>
              <w:ind w:firstLine="0" w:firstLineChars="0"/>
              <w:jc w:val="center"/>
              <w:rPr>
                <w:rFonts w:hAnsi="宋体"/>
                <w:bCs/>
                <w:sz w:val="21"/>
                <w:szCs w:val="21"/>
              </w:rPr>
            </w:pPr>
            <w:r>
              <w:rPr>
                <w:rFonts w:hint="eastAsia" w:hAnsi="宋体"/>
                <w:sz w:val="21"/>
                <w:szCs w:val="21"/>
              </w:rPr>
              <w:t>废矿物油储存于特定容器中，暂存于危废库内，委托有相关处理资质的单位定期外协处置</w:t>
            </w:r>
          </w:p>
        </w:tc>
        <w:tc>
          <w:tcPr>
            <w:tcW w:w="1984" w:type="dxa"/>
            <w:vAlign w:val="center"/>
          </w:tcPr>
          <w:p>
            <w:pPr>
              <w:keepNext/>
              <w:spacing w:line="240" w:lineRule="auto"/>
              <w:ind w:firstLine="0" w:firstLineChars="0"/>
              <w:jc w:val="center"/>
              <w:rPr>
                <w:sz w:val="21"/>
                <w:szCs w:val="21"/>
              </w:rPr>
            </w:pPr>
            <w:r>
              <w:rPr>
                <w:rFonts w:hint="eastAsia"/>
                <w:sz w:val="21"/>
                <w:szCs w:val="21"/>
              </w:rPr>
              <w:t>/</w:t>
            </w:r>
          </w:p>
        </w:tc>
        <w:tc>
          <w:tcPr>
            <w:tcW w:w="1134" w:type="dxa"/>
            <w:vAlign w:val="center"/>
          </w:tcPr>
          <w:p>
            <w:pPr>
              <w:keepNext/>
              <w:spacing w:line="240" w:lineRule="auto"/>
              <w:ind w:firstLine="0" w:firstLineChars="0"/>
              <w:jc w:val="center"/>
              <w:rPr>
                <w:sz w:val="21"/>
                <w:szCs w:val="21"/>
              </w:rPr>
            </w:pPr>
            <w:r>
              <w:rPr>
                <w:rFonts w:hint="eastAsia"/>
                <w:sz w:val="21"/>
                <w:szCs w:val="21"/>
              </w:rPr>
              <w:t>/</w:t>
            </w:r>
          </w:p>
        </w:tc>
        <w:tc>
          <w:tcPr>
            <w:tcW w:w="3819" w:type="dxa"/>
            <w:vAlign w:val="center"/>
          </w:tcPr>
          <w:p>
            <w:pPr>
              <w:pStyle w:val="144"/>
              <w:snapToGrid/>
              <w:spacing w:before="0" w:after="0" w:line="240" w:lineRule="auto"/>
              <w:ind w:firstLine="0" w:firstLineChars="0"/>
              <w:jc w:val="center"/>
              <w:rPr>
                <w:rFonts w:hAnsi="宋体"/>
                <w:bCs/>
                <w:sz w:val="21"/>
                <w:szCs w:val="21"/>
              </w:rPr>
            </w:pPr>
            <w:r>
              <w:rPr>
                <w:rFonts w:hint="eastAsia" w:hAnsi="宋体"/>
                <w:sz w:val="21"/>
                <w:szCs w:val="21"/>
              </w:rPr>
              <w:t>废矿物油储存于特定容器中，暂存于危废库内，委托有相关处理资质的单位定期外协处置</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6" w:type="dxa"/>
            <w:vMerge w:val="continue"/>
            <w:vAlign w:val="center"/>
          </w:tcPr>
          <w:p>
            <w:pPr>
              <w:pStyle w:val="249"/>
              <w:adjustRightInd/>
              <w:snapToGrid/>
              <w:spacing w:line="240" w:lineRule="auto"/>
              <w:jc w:val="center"/>
              <w:rPr>
                <w:szCs w:val="21"/>
              </w:rPr>
            </w:pPr>
          </w:p>
        </w:tc>
        <w:tc>
          <w:tcPr>
            <w:tcW w:w="425" w:type="dxa"/>
            <w:vMerge w:val="continue"/>
            <w:vAlign w:val="center"/>
          </w:tcPr>
          <w:p>
            <w:pPr>
              <w:spacing w:line="240" w:lineRule="auto"/>
              <w:ind w:firstLine="0" w:firstLineChars="0"/>
              <w:jc w:val="center"/>
              <w:rPr>
                <w:color w:val="000000"/>
                <w:sz w:val="21"/>
                <w:szCs w:val="21"/>
              </w:rPr>
            </w:pPr>
          </w:p>
        </w:tc>
        <w:tc>
          <w:tcPr>
            <w:tcW w:w="1418" w:type="dxa"/>
            <w:vAlign w:val="center"/>
          </w:tcPr>
          <w:p>
            <w:pPr>
              <w:autoSpaceDE w:val="0"/>
              <w:autoSpaceDN w:val="0"/>
              <w:spacing w:line="240" w:lineRule="auto"/>
              <w:ind w:firstLine="0" w:firstLineChars="0"/>
              <w:jc w:val="center"/>
              <w:rPr>
                <w:sz w:val="21"/>
                <w:szCs w:val="21"/>
              </w:rPr>
            </w:pPr>
            <w:r>
              <w:rPr>
                <w:rFonts w:hint="eastAsia"/>
                <w:sz w:val="21"/>
                <w:szCs w:val="21"/>
              </w:rPr>
              <w:t>生活办公</w:t>
            </w:r>
          </w:p>
        </w:tc>
        <w:tc>
          <w:tcPr>
            <w:tcW w:w="1276" w:type="dxa"/>
            <w:vAlign w:val="center"/>
          </w:tcPr>
          <w:p>
            <w:pPr>
              <w:pStyle w:val="142"/>
              <w:snapToGrid/>
              <w:rPr>
                <w:rFonts w:hAnsi="宋体"/>
              </w:rPr>
            </w:pPr>
            <w:r>
              <w:rPr>
                <w:rFonts w:hAnsi="宋体"/>
              </w:rPr>
              <w:t>生活垃圾</w:t>
            </w:r>
          </w:p>
        </w:tc>
        <w:tc>
          <w:tcPr>
            <w:tcW w:w="4389" w:type="dxa"/>
            <w:vAlign w:val="center"/>
          </w:tcPr>
          <w:p>
            <w:pPr>
              <w:pStyle w:val="144"/>
              <w:snapToGrid/>
              <w:spacing w:before="0" w:after="0" w:line="240" w:lineRule="auto"/>
              <w:ind w:firstLine="0" w:firstLineChars="0"/>
              <w:jc w:val="center"/>
              <w:rPr>
                <w:rFonts w:hAnsi="宋体"/>
                <w:bCs/>
                <w:sz w:val="21"/>
                <w:szCs w:val="21"/>
              </w:rPr>
            </w:pPr>
            <w:r>
              <w:rPr>
                <w:rFonts w:hAnsi="宋体"/>
                <w:sz w:val="21"/>
                <w:szCs w:val="21"/>
              </w:rPr>
              <w:t>设置垃圾筒，垃圾经收集后运至市政指定的地点外协处理</w:t>
            </w:r>
          </w:p>
        </w:tc>
        <w:tc>
          <w:tcPr>
            <w:tcW w:w="1984" w:type="dxa"/>
            <w:vAlign w:val="center"/>
          </w:tcPr>
          <w:p>
            <w:pPr>
              <w:keepNext/>
              <w:spacing w:line="240" w:lineRule="auto"/>
              <w:ind w:firstLine="0" w:firstLineChars="0"/>
              <w:jc w:val="center"/>
              <w:rPr>
                <w:sz w:val="21"/>
                <w:szCs w:val="21"/>
              </w:rPr>
            </w:pPr>
            <w:r>
              <w:rPr>
                <w:rFonts w:hint="eastAsia"/>
                <w:sz w:val="21"/>
                <w:szCs w:val="21"/>
              </w:rPr>
              <w:t>/</w:t>
            </w:r>
          </w:p>
        </w:tc>
        <w:tc>
          <w:tcPr>
            <w:tcW w:w="1134" w:type="dxa"/>
            <w:vAlign w:val="center"/>
          </w:tcPr>
          <w:p>
            <w:pPr>
              <w:keepNext/>
              <w:spacing w:line="240" w:lineRule="auto"/>
              <w:ind w:firstLine="0" w:firstLineChars="0"/>
              <w:jc w:val="center"/>
              <w:rPr>
                <w:sz w:val="21"/>
                <w:szCs w:val="21"/>
              </w:rPr>
            </w:pPr>
            <w:r>
              <w:rPr>
                <w:rFonts w:hint="eastAsia"/>
                <w:sz w:val="21"/>
                <w:szCs w:val="21"/>
              </w:rPr>
              <w:t>/</w:t>
            </w:r>
          </w:p>
        </w:tc>
        <w:tc>
          <w:tcPr>
            <w:tcW w:w="3819" w:type="dxa"/>
            <w:vAlign w:val="center"/>
          </w:tcPr>
          <w:p>
            <w:pPr>
              <w:pStyle w:val="144"/>
              <w:snapToGrid/>
              <w:spacing w:before="0" w:after="0" w:line="240" w:lineRule="auto"/>
              <w:ind w:firstLine="0" w:firstLineChars="0"/>
              <w:jc w:val="center"/>
              <w:rPr>
                <w:rFonts w:hAnsi="宋体"/>
                <w:bCs/>
                <w:sz w:val="21"/>
                <w:szCs w:val="21"/>
              </w:rPr>
            </w:pPr>
            <w:r>
              <w:rPr>
                <w:rFonts w:hAnsi="宋体"/>
                <w:sz w:val="21"/>
                <w:szCs w:val="21"/>
              </w:rPr>
              <w:t>设置垃圾筒，垃圾经收集后运至市政指定的地点外协处理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6" w:type="dxa"/>
            <w:vMerge w:val="continue"/>
            <w:vAlign w:val="center"/>
          </w:tcPr>
          <w:p>
            <w:pPr>
              <w:pStyle w:val="249"/>
              <w:adjustRightInd/>
              <w:snapToGrid/>
              <w:spacing w:line="240" w:lineRule="auto"/>
              <w:jc w:val="center"/>
              <w:rPr>
                <w:szCs w:val="21"/>
              </w:rPr>
            </w:pPr>
          </w:p>
        </w:tc>
        <w:tc>
          <w:tcPr>
            <w:tcW w:w="1843" w:type="dxa"/>
            <w:gridSpan w:val="2"/>
            <w:vAlign w:val="center"/>
          </w:tcPr>
          <w:p>
            <w:pPr>
              <w:keepNext/>
              <w:spacing w:line="240" w:lineRule="auto"/>
              <w:ind w:firstLine="0" w:firstLineChars="0"/>
              <w:jc w:val="center"/>
              <w:rPr>
                <w:color w:val="000000"/>
                <w:sz w:val="21"/>
                <w:szCs w:val="21"/>
              </w:rPr>
            </w:pPr>
            <w:r>
              <w:rPr>
                <w:rFonts w:hint="eastAsia"/>
                <w:color w:val="000000"/>
                <w:sz w:val="21"/>
                <w:szCs w:val="21"/>
              </w:rPr>
              <w:t>绿化</w:t>
            </w:r>
          </w:p>
        </w:tc>
        <w:tc>
          <w:tcPr>
            <w:tcW w:w="1276" w:type="dxa"/>
            <w:vAlign w:val="center"/>
          </w:tcPr>
          <w:p>
            <w:pPr>
              <w:keepNext/>
              <w:spacing w:line="240" w:lineRule="auto"/>
              <w:ind w:firstLine="0" w:firstLineChars="0"/>
              <w:jc w:val="center"/>
              <w:rPr>
                <w:sz w:val="21"/>
                <w:szCs w:val="21"/>
              </w:rPr>
            </w:pPr>
            <w:r>
              <w:rPr>
                <w:rFonts w:hint="eastAsia"/>
                <w:sz w:val="21"/>
                <w:szCs w:val="21"/>
              </w:rPr>
              <w:t>/</w:t>
            </w:r>
          </w:p>
        </w:tc>
        <w:tc>
          <w:tcPr>
            <w:tcW w:w="4389" w:type="dxa"/>
            <w:vAlign w:val="center"/>
          </w:tcPr>
          <w:p>
            <w:pPr>
              <w:pStyle w:val="144"/>
              <w:snapToGrid/>
              <w:spacing w:before="0" w:after="0" w:line="240" w:lineRule="auto"/>
              <w:ind w:firstLine="0" w:firstLineChars="0"/>
              <w:jc w:val="center"/>
              <w:rPr>
                <w:sz w:val="21"/>
                <w:szCs w:val="21"/>
                <w:vertAlign w:val="superscript"/>
              </w:rPr>
            </w:pPr>
            <w:r>
              <w:rPr>
                <w:rFonts w:hint="eastAsia" w:hAnsi="宋体"/>
                <w:bCs/>
                <w:sz w:val="21"/>
                <w:szCs w:val="21"/>
              </w:rPr>
              <w:t>加强绿化，种植乡土植物，绿化面积</w:t>
            </w:r>
            <w:r>
              <w:rPr>
                <w:rFonts w:hAnsi="宋体"/>
                <w:bCs/>
                <w:sz w:val="21"/>
                <w:szCs w:val="21"/>
              </w:rPr>
              <w:t>3750m</w:t>
            </w:r>
            <w:r>
              <w:rPr>
                <w:rFonts w:hAnsi="宋体"/>
                <w:bCs/>
                <w:sz w:val="21"/>
                <w:szCs w:val="21"/>
                <w:vertAlign w:val="superscript"/>
              </w:rPr>
              <w:t>2</w:t>
            </w:r>
            <w:r>
              <w:rPr>
                <w:rFonts w:hint="eastAsia" w:hAnsi="宋体"/>
                <w:bCs/>
                <w:sz w:val="21"/>
                <w:szCs w:val="21"/>
              </w:rPr>
              <w:t>。</w:t>
            </w:r>
          </w:p>
        </w:tc>
        <w:tc>
          <w:tcPr>
            <w:tcW w:w="1984" w:type="dxa"/>
            <w:vAlign w:val="center"/>
          </w:tcPr>
          <w:p>
            <w:pPr>
              <w:keepNext/>
              <w:spacing w:line="240" w:lineRule="auto"/>
              <w:ind w:firstLine="0" w:firstLineChars="0"/>
              <w:jc w:val="center"/>
              <w:rPr>
                <w:sz w:val="21"/>
                <w:szCs w:val="21"/>
              </w:rPr>
            </w:pPr>
            <w:r>
              <w:rPr>
                <w:rFonts w:hint="eastAsia"/>
                <w:sz w:val="21"/>
                <w:szCs w:val="21"/>
              </w:rPr>
              <w:t>/</w:t>
            </w:r>
          </w:p>
        </w:tc>
        <w:tc>
          <w:tcPr>
            <w:tcW w:w="1134" w:type="dxa"/>
            <w:vAlign w:val="center"/>
          </w:tcPr>
          <w:p>
            <w:pPr>
              <w:keepNext/>
              <w:spacing w:line="240" w:lineRule="auto"/>
              <w:ind w:firstLine="0" w:firstLineChars="0"/>
              <w:jc w:val="center"/>
              <w:rPr>
                <w:sz w:val="21"/>
                <w:szCs w:val="21"/>
              </w:rPr>
            </w:pPr>
            <w:r>
              <w:rPr>
                <w:rFonts w:hint="eastAsia"/>
                <w:sz w:val="21"/>
                <w:szCs w:val="21"/>
              </w:rPr>
              <w:t>/</w:t>
            </w:r>
          </w:p>
        </w:tc>
        <w:tc>
          <w:tcPr>
            <w:tcW w:w="3819" w:type="dxa"/>
            <w:vAlign w:val="center"/>
          </w:tcPr>
          <w:p>
            <w:pPr>
              <w:pStyle w:val="249"/>
              <w:adjustRightInd/>
              <w:snapToGrid/>
              <w:spacing w:line="240" w:lineRule="auto"/>
              <w:jc w:val="center"/>
              <w:rPr>
                <w:szCs w:val="21"/>
              </w:rPr>
            </w:pPr>
            <w:r>
              <w:rPr>
                <w:rFonts w:hint="eastAsia" w:hAnsi="宋体"/>
                <w:bCs/>
                <w:szCs w:val="21"/>
              </w:rPr>
              <w:t>加强绿化，种植乡土植物，绿化面积</w:t>
            </w:r>
            <w:r>
              <w:rPr>
                <w:rFonts w:hAnsi="宋体"/>
                <w:bCs/>
                <w:szCs w:val="21"/>
              </w:rPr>
              <w:t>3750m</w:t>
            </w:r>
            <w:r>
              <w:rPr>
                <w:rFonts w:hAnsi="宋体"/>
                <w:bCs/>
                <w:szCs w:val="21"/>
                <w:vertAlign w:val="superscript"/>
              </w:rPr>
              <w:t>2</w:t>
            </w:r>
          </w:p>
        </w:tc>
      </w:tr>
    </w:tbl>
    <w:p>
      <w:pPr>
        <w:pStyle w:val="169"/>
        <w:spacing w:line="260" w:lineRule="exact"/>
        <w:rPr>
          <w:rFonts w:ascii="黑体" w:hAnsi="黑体" w:eastAsia="黑体"/>
        </w:rPr>
      </w:pPr>
    </w:p>
    <w:p>
      <w:pPr>
        <w:pStyle w:val="169"/>
        <w:spacing w:line="260" w:lineRule="exact"/>
        <w:rPr>
          <w:rFonts w:ascii="黑体" w:hAnsi="黑体" w:eastAsia="黑体"/>
        </w:rPr>
      </w:pPr>
    </w:p>
    <w:p>
      <w:pPr>
        <w:pStyle w:val="169"/>
        <w:spacing w:line="14" w:lineRule="exact"/>
        <w:jc w:val="both"/>
        <w:rPr>
          <w:rFonts w:eastAsia="黑体"/>
          <w:bCs/>
          <w:sz w:val="21"/>
          <w:szCs w:val="21"/>
        </w:rPr>
        <w:sectPr>
          <w:pgSz w:w="16840" w:h="11907" w:orient="landscape"/>
          <w:pgMar w:top="1474" w:right="1361" w:bottom="1247" w:left="1474" w:header="851" w:footer="680" w:gutter="0"/>
          <w:cols w:space="720" w:num="1"/>
          <w:titlePg/>
          <w:docGrid w:linePitch="326" w:charSpace="0"/>
        </w:sectPr>
      </w:pPr>
    </w:p>
    <w:p>
      <w:pPr>
        <w:pStyle w:val="186"/>
      </w:pPr>
      <w:r>
        <w:t>建设项目拟采取的防治措施及预期治理效果</w:t>
      </w:r>
    </w:p>
    <w:tbl>
      <w:tblPr>
        <w:tblStyle w:val="7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39"/>
        <w:gridCol w:w="1528"/>
        <w:gridCol w:w="1104"/>
        <w:gridCol w:w="3311"/>
        <w:gridCol w:w="2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2" w:type="pct"/>
            <w:tcBorders>
              <w:tl2br w:val="single" w:color="auto" w:sz="4" w:space="0"/>
            </w:tcBorders>
            <w:vAlign w:val="center"/>
          </w:tcPr>
          <w:p>
            <w:pPr>
              <w:pStyle w:val="142"/>
              <w:snapToGrid/>
            </w:pPr>
            <w:r>
              <w:rPr>
                <w:rFonts w:hAnsi="宋体"/>
              </w:rPr>
              <w:t>内容</w:t>
            </w:r>
          </w:p>
          <w:p>
            <w:pPr>
              <w:pStyle w:val="142"/>
              <w:snapToGrid/>
            </w:pPr>
            <w:r>
              <w:rPr>
                <w:rFonts w:hAnsi="宋体"/>
              </w:rPr>
              <w:t>类型</w:t>
            </w:r>
          </w:p>
        </w:tc>
        <w:tc>
          <w:tcPr>
            <w:tcW w:w="841" w:type="pct"/>
            <w:vAlign w:val="center"/>
          </w:tcPr>
          <w:p>
            <w:pPr>
              <w:pStyle w:val="142"/>
              <w:snapToGrid/>
            </w:pPr>
            <w:r>
              <w:rPr>
                <w:rFonts w:hAnsi="宋体"/>
              </w:rPr>
              <w:t>排放源</w:t>
            </w:r>
          </w:p>
          <w:p>
            <w:pPr>
              <w:pStyle w:val="142"/>
              <w:snapToGrid/>
            </w:pPr>
            <w:r>
              <w:t>(</w:t>
            </w:r>
            <w:r>
              <w:rPr>
                <w:rFonts w:hAnsi="宋体"/>
              </w:rPr>
              <w:t>编号</w:t>
            </w:r>
            <w:r>
              <w:t>)</w:t>
            </w:r>
          </w:p>
        </w:tc>
        <w:tc>
          <w:tcPr>
            <w:tcW w:w="608" w:type="pct"/>
            <w:vAlign w:val="center"/>
          </w:tcPr>
          <w:p>
            <w:pPr>
              <w:pStyle w:val="142"/>
              <w:snapToGrid/>
            </w:pPr>
            <w:r>
              <w:rPr>
                <w:rFonts w:hAnsi="宋体"/>
              </w:rPr>
              <w:t>污染物名称</w:t>
            </w:r>
          </w:p>
        </w:tc>
        <w:tc>
          <w:tcPr>
            <w:tcW w:w="1823" w:type="pct"/>
            <w:vAlign w:val="center"/>
          </w:tcPr>
          <w:p>
            <w:pPr>
              <w:pStyle w:val="142"/>
              <w:snapToGrid/>
            </w:pPr>
            <w:r>
              <w:rPr>
                <w:rFonts w:hAnsi="宋体"/>
              </w:rPr>
              <w:t>防治措施</w:t>
            </w:r>
          </w:p>
        </w:tc>
        <w:tc>
          <w:tcPr>
            <w:tcW w:w="1266" w:type="pct"/>
            <w:vAlign w:val="center"/>
          </w:tcPr>
          <w:p>
            <w:pPr>
              <w:pStyle w:val="142"/>
              <w:snapToGrid/>
            </w:pPr>
            <w:r>
              <w:rPr>
                <w:rFonts w:hAnsi="宋体"/>
              </w:rPr>
              <w:t>预期治理效果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2" w:type="pct"/>
            <w:vMerge w:val="restart"/>
            <w:vAlign w:val="center"/>
          </w:tcPr>
          <w:p>
            <w:pPr>
              <w:pStyle w:val="142"/>
              <w:snapToGrid/>
              <w:rPr>
                <w:rFonts w:hAnsi="宋体"/>
              </w:rPr>
            </w:pPr>
            <w:r>
              <w:rPr>
                <w:rFonts w:hAnsi="宋体"/>
              </w:rPr>
              <w:t>大</w:t>
            </w:r>
          </w:p>
          <w:p>
            <w:pPr>
              <w:pStyle w:val="142"/>
              <w:snapToGrid/>
            </w:pPr>
            <w:r>
              <w:rPr>
                <w:rFonts w:hAnsi="宋体"/>
              </w:rPr>
              <w:t>气</w:t>
            </w:r>
          </w:p>
          <w:p>
            <w:pPr>
              <w:pStyle w:val="142"/>
              <w:snapToGrid/>
              <w:rPr>
                <w:rFonts w:hAnsi="宋体"/>
              </w:rPr>
            </w:pPr>
            <w:r>
              <w:rPr>
                <w:rFonts w:hAnsi="宋体"/>
              </w:rPr>
              <w:t>污</w:t>
            </w:r>
          </w:p>
          <w:p>
            <w:pPr>
              <w:pStyle w:val="142"/>
              <w:snapToGrid/>
            </w:pPr>
            <w:r>
              <w:rPr>
                <w:rFonts w:hAnsi="宋体"/>
              </w:rPr>
              <w:t>染</w:t>
            </w:r>
          </w:p>
          <w:p>
            <w:pPr>
              <w:pStyle w:val="142"/>
              <w:snapToGrid/>
            </w:pPr>
            <w:r>
              <w:rPr>
                <w:rFonts w:hAnsi="宋体"/>
              </w:rPr>
              <w:t>物</w:t>
            </w:r>
          </w:p>
        </w:tc>
        <w:tc>
          <w:tcPr>
            <w:tcW w:w="841"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堆场扬尘</w:t>
            </w:r>
          </w:p>
        </w:tc>
        <w:tc>
          <w:tcPr>
            <w:tcW w:w="608" w:type="pct"/>
            <w:vAlign w:val="center"/>
          </w:tcPr>
          <w:p>
            <w:pPr>
              <w:pStyle w:val="142"/>
              <w:snapToGrid/>
            </w:pPr>
            <w:r>
              <w:rPr>
                <w:rFonts w:hint="eastAsia"/>
              </w:rPr>
              <w:t>扬尘</w:t>
            </w:r>
          </w:p>
        </w:tc>
        <w:tc>
          <w:tcPr>
            <w:tcW w:w="1823"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原料、成品堆存设置为全封闭库，堆场地面硬化，于原料库顶设1套覆盖全堆场的库顶喷雾抑尘措施，成品为吨袋包装，成品库定期洒水抑尘、清扫。</w:t>
            </w:r>
          </w:p>
        </w:tc>
        <w:tc>
          <w:tcPr>
            <w:tcW w:w="1266" w:type="pct"/>
            <w:vAlign w:val="center"/>
          </w:tcPr>
          <w:p>
            <w:pPr>
              <w:pStyle w:val="249"/>
              <w:adjustRightInd/>
              <w:snapToGrid/>
              <w:spacing w:line="240" w:lineRule="auto"/>
              <w:jc w:val="center"/>
              <w:rPr>
                <w:rFonts w:hAnsi="宋体"/>
                <w:szCs w:val="21"/>
              </w:rPr>
            </w:pPr>
            <w:r>
              <w:rPr>
                <w:rFonts w:hAnsi="宋体"/>
                <w:szCs w:val="21"/>
              </w:rPr>
              <w:t>《大气污染物综合排放标准》</w:t>
            </w:r>
            <w:r>
              <w:rPr>
                <w:rFonts w:hint="eastAsia" w:hAnsi="宋体"/>
                <w:szCs w:val="21"/>
              </w:rPr>
              <w:t>，颗粒物周界外浓度最高点1.0 mg/m</w:t>
            </w:r>
            <w:r>
              <w:rPr>
                <w:rFonts w:hint="eastAsia" w:hAnsi="宋体"/>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2" w:type="pct"/>
            <w:vMerge w:val="continue"/>
            <w:vAlign w:val="center"/>
          </w:tcPr>
          <w:p>
            <w:pPr>
              <w:pStyle w:val="142"/>
              <w:snapToGrid/>
              <w:rPr>
                <w:rFonts w:hAnsi="宋体"/>
              </w:rPr>
            </w:pPr>
          </w:p>
        </w:tc>
        <w:tc>
          <w:tcPr>
            <w:tcW w:w="841"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建筑骨料生产线粗破、反击破系统</w:t>
            </w:r>
          </w:p>
        </w:tc>
        <w:tc>
          <w:tcPr>
            <w:tcW w:w="608" w:type="pct"/>
            <w:vAlign w:val="center"/>
          </w:tcPr>
          <w:p>
            <w:pPr>
              <w:pStyle w:val="142"/>
              <w:snapToGrid/>
            </w:pPr>
            <w:r>
              <w:rPr>
                <w:rFonts w:hint="eastAsia"/>
              </w:rPr>
              <w:t>粉尘</w:t>
            </w:r>
          </w:p>
        </w:tc>
        <w:tc>
          <w:tcPr>
            <w:tcW w:w="1823"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建筑骨料生产线粗破、细破系统各产尘点分设集尘罩（鄂破入料口、鄂破、反击破、中间料仓），上料、鄂破、反击破、出料粉尘</w:t>
            </w:r>
            <w:r>
              <w:rPr>
                <w:rFonts w:hint="eastAsia"/>
                <w:sz w:val="21"/>
                <w:szCs w:val="21"/>
              </w:rPr>
              <w:t>收集后经1套脉冲布袋除尘器过滤处理后由1根15m高排气筒外排。</w:t>
            </w:r>
          </w:p>
        </w:tc>
        <w:tc>
          <w:tcPr>
            <w:tcW w:w="1266" w:type="pct"/>
            <w:vMerge w:val="restart"/>
            <w:vAlign w:val="center"/>
          </w:tcPr>
          <w:p>
            <w:pPr>
              <w:pStyle w:val="142"/>
              <w:widowControl w:val="0"/>
              <w:snapToGrid/>
              <w:rPr>
                <w:rFonts w:hAnsi="宋体"/>
              </w:rPr>
            </w:pPr>
            <w:r>
              <w:rPr>
                <w:rFonts w:hAnsi="宋体"/>
              </w:rPr>
              <w:t>《大气污染物综合排放标准》</w:t>
            </w:r>
            <w:r>
              <w:rPr>
                <w:rFonts w:hint="eastAsia" w:hAnsi="宋体"/>
              </w:rPr>
              <w:t>，颗粒物120mg/m</w:t>
            </w:r>
            <w:r>
              <w:rPr>
                <w:rFonts w:hint="eastAsia" w:hAnsi="宋体"/>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2" w:type="pct"/>
            <w:vMerge w:val="continue"/>
            <w:vAlign w:val="center"/>
          </w:tcPr>
          <w:p>
            <w:pPr>
              <w:pStyle w:val="142"/>
              <w:snapToGrid/>
              <w:rPr>
                <w:rFonts w:hAnsi="宋体"/>
              </w:rPr>
            </w:pPr>
          </w:p>
        </w:tc>
        <w:tc>
          <w:tcPr>
            <w:tcW w:w="841"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建筑骨料生产线冲击破系统</w:t>
            </w:r>
          </w:p>
        </w:tc>
        <w:tc>
          <w:tcPr>
            <w:tcW w:w="608" w:type="pct"/>
            <w:vAlign w:val="center"/>
          </w:tcPr>
          <w:p>
            <w:pPr>
              <w:pStyle w:val="142"/>
              <w:snapToGrid/>
            </w:pPr>
            <w:r>
              <w:rPr>
                <w:rFonts w:hint="eastAsia" w:hAnsi="宋体"/>
              </w:rPr>
              <w:t>粉尘</w:t>
            </w:r>
          </w:p>
        </w:tc>
        <w:tc>
          <w:tcPr>
            <w:tcW w:w="1823" w:type="pct"/>
            <w:vAlign w:val="center"/>
          </w:tcPr>
          <w:p>
            <w:pPr>
              <w:spacing w:line="240" w:lineRule="auto"/>
              <w:ind w:firstLine="0" w:firstLineChars="0"/>
              <w:jc w:val="center"/>
              <w:rPr>
                <w:sz w:val="21"/>
                <w:szCs w:val="21"/>
              </w:rPr>
            </w:pPr>
            <w:r>
              <w:rPr>
                <w:rFonts w:hint="eastAsia" w:hAnsi="宋体"/>
                <w:bCs/>
                <w:sz w:val="21"/>
                <w:szCs w:val="21"/>
              </w:rPr>
              <w:t>建筑骨料生产线冲击破系统各产尘点分设集尘罩（冲击破入料口、冲击破、振动筛、料仓），上料、冲击破、振动筛、出料粉尘</w:t>
            </w:r>
            <w:r>
              <w:rPr>
                <w:rFonts w:hint="eastAsia"/>
                <w:sz w:val="21"/>
                <w:szCs w:val="21"/>
              </w:rPr>
              <w:t>收集后经1套脉冲布袋除尘器过滤处理后由1根15m高排气筒外排。</w:t>
            </w:r>
          </w:p>
        </w:tc>
        <w:tc>
          <w:tcPr>
            <w:tcW w:w="1266" w:type="pct"/>
            <w:vMerge w:val="continue"/>
            <w:vAlign w:val="center"/>
          </w:tcPr>
          <w:p>
            <w:pPr>
              <w:pStyle w:val="142"/>
              <w:widowControl w:val="0"/>
              <w:snapToGrid/>
              <w:rPr>
                <w:rFonts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2" w:type="pct"/>
            <w:vMerge w:val="continue"/>
            <w:vAlign w:val="center"/>
          </w:tcPr>
          <w:p>
            <w:pPr>
              <w:pStyle w:val="142"/>
              <w:snapToGrid/>
              <w:rPr>
                <w:rFonts w:hAnsi="宋体"/>
              </w:rPr>
            </w:pPr>
          </w:p>
        </w:tc>
        <w:tc>
          <w:tcPr>
            <w:tcW w:w="841"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微粉生产线鄂破系统</w:t>
            </w:r>
          </w:p>
        </w:tc>
        <w:tc>
          <w:tcPr>
            <w:tcW w:w="608" w:type="pct"/>
            <w:vAlign w:val="center"/>
          </w:tcPr>
          <w:p>
            <w:pPr>
              <w:pStyle w:val="142"/>
              <w:snapToGrid/>
            </w:pPr>
            <w:r>
              <w:rPr>
                <w:rFonts w:hint="eastAsia" w:hAnsi="宋体"/>
              </w:rPr>
              <w:t>粉尘</w:t>
            </w:r>
          </w:p>
        </w:tc>
        <w:tc>
          <w:tcPr>
            <w:tcW w:w="1823"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微粉生产线鄂破系统各产尘点分设集尘罩（粗鄂破破入料口、粗鄂破、细鄂破、超细破碎机入料口），上料、鄂破粉尘</w:t>
            </w:r>
            <w:r>
              <w:rPr>
                <w:rFonts w:hint="eastAsia"/>
                <w:sz w:val="21"/>
                <w:szCs w:val="21"/>
              </w:rPr>
              <w:t>收集后经1套脉冲布袋除尘器过滤处理后由1根15m高排气筒外排。</w:t>
            </w:r>
          </w:p>
        </w:tc>
        <w:tc>
          <w:tcPr>
            <w:tcW w:w="1266" w:type="pct"/>
            <w:vMerge w:val="continue"/>
            <w:vAlign w:val="center"/>
          </w:tcPr>
          <w:p>
            <w:pPr>
              <w:pStyle w:val="142"/>
              <w:widowControl w:val="0"/>
              <w:snapToGrid/>
              <w:rPr>
                <w:rFonts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2" w:type="pct"/>
            <w:vMerge w:val="continue"/>
            <w:vAlign w:val="center"/>
          </w:tcPr>
          <w:p>
            <w:pPr>
              <w:pStyle w:val="142"/>
              <w:snapToGrid/>
              <w:rPr>
                <w:rFonts w:hAnsi="宋体"/>
              </w:rPr>
            </w:pPr>
          </w:p>
        </w:tc>
        <w:tc>
          <w:tcPr>
            <w:tcW w:w="841"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微粉生产线超细破碎机系统</w:t>
            </w:r>
          </w:p>
        </w:tc>
        <w:tc>
          <w:tcPr>
            <w:tcW w:w="608" w:type="pct"/>
            <w:vAlign w:val="center"/>
          </w:tcPr>
          <w:p>
            <w:pPr>
              <w:pStyle w:val="142"/>
              <w:snapToGrid/>
            </w:pPr>
            <w:r>
              <w:rPr>
                <w:rFonts w:hint="eastAsia" w:hAnsi="宋体"/>
              </w:rPr>
              <w:t>粉尘</w:t>
            </w:r>
          </w:p>
        </w:tc>
        <w:tc>
          <w:tcPr>
            <w:tcW w:w="1823" w:type="pct"/>
            <w:vAlign w:val="center"/>
          </w:tcPr>
          <w:p>
            <w:pPr>
              <w:pStyle w:val="144"/>
              <w:snapToGrid/>
              <w:spacing w:before="0" w:after="0" w:line="240" w:lineRule="auto"/>
              <w:ind w:firstLine="0" w:firstLineChars="0"/>
              <w:jc w:val="center"/>
              <w:rPr>
                <w:rFonts w:hAnsi="宋体"/>
                <w:bCs/>
                <w:sz w:val="21"/>
                <w:szCs w:val="21"/>
              </w:rPr>
            </w:pPr>
            <w:r>
              <w:rPr>
                <w:rFonts w:hint="eastAsia"/>
                <w:bCs/>
                <w:sz w:val="21"/>
                <w:szCs w:val="21"/>
              </w:rPr>
              <w:t>超细破碎系统</w:t>
            </w:r>
            <w:r>
              <w:rPr>
                <w:rFonts w:hint="eastAsia" w:hAnsi="宋体"/>
                <w:bCs/>
                <w:sz w:val="21"/>
                <w:szCs w:val="21"/>
              </w:rPr>
              <w:t>各产尘点分设集尘罩（</w:t>
            </w:r>
            <w:r>
              <w:rPr>
                <w:rFonts w:hint="eastAsia"/>
                <w:bCs/>
                <w:sz w:val="21"/>
                <w:szCs w:val="21"/>
              </w:rPr>
              <w:t>上料仓、超细破碎机、振动筛、成品料仓</w:t>
            </w:r>
            <w:r>
              <w:rPr>
                <w:rFonts w:hint="eastAsia" w:hAnsi="宋体"/>
                <w:bCs/>
                <w:sz w:val="21"/>
                <w:szCs w:val="21"/>
              </w:rPr>
              <w:t>）</w:t>
            </w:r>
            <w:r>
              <w:rPr>
                <w:rFonts w:hint="eastAsia"/>
                <w:bCs/>
                <w:sz w:val="21"/>
                <w:szCs w:val="21"/>
              </w:rPr>
              <w:t>，破碎、筛分粉尘收集后由1套脉冲布袋除尘器过滤处理后由1根1</w:t>
            </w:r>
            <w:r>
              <w:rPr>
                <w:bCs/>
                <w:sz w:val="21"/>
                <w:szCs w:val="21"/>
              </w:rPr>
              <w:t>5</w:t>
            </w:r>
            <w:r>
              <w:rPr>
                <w:rFonts w:hint="eastAsia"/>
                <w:bCs/>
                <w:sz w:val="21"/>
                <w:szCs w:val="21"/>
              </w:rPr>
              <w:t>m高排气筒外排</w:t>
            </w:r>
            <w:r>
              <w:rPr>
                <w:rFonts w:hint="eastAsia"/>
                <w:sz w:val="21"/>
                <w:szCs w:val="21"/>
              </w:rPr>
              <w:t>。</w:t>
            </w:r>
          </w:p>
        </w:tc>
        <w:tc>
          <w:tcPr>
            <w:tcW w:w="1266" w:type="pct"/>
            <w:vMerge w:val="continue"/>
            <w:vAlign w:val="center"/>
          </w:tcPr>
          <w:p>
            <w:pPr>
              <w:pStyle w:val="249"/>
              <w:adjustRightInd/>
              <w:snapToGrid/>
              <w:spacing w:line="240" w:lineRule="auto"/>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2" w:type="pct"/>
            <w:vMerge w:val="restart"/>
            <w:vAlign w:val="center"/>
          </w:tcPr>
          <w:p>
            <w:pPr>
              <w:pStyle w:val="142"/>
              <w:snapToGrid/>
            </w:pPr>
            <w:r>
              <w:rPr>
                <w:rFonts w:hAnsi="宋体"/>
              </w:rPr>
              <w:t>水污</w:t>
            </w:r>
          </w:p>
          <w:p>
            <w:pPr>
              <w:pStyle w:val="142"/>
              <w:snapToGrid/>
            </w:pPr>
            <w:r>
              <w:rPr>
                <w:rFonts w:hAnsi="宋体"/>
              </w:rPr>
              <w:t>染物</w:t>
            </w:r>
          </w:p>
        </w:tc>
        <w:tc>
          <w:tcPr>
            <w:tcW w:w="841" w:type="pct"/>
            <w:vAlign w:val="center"/>
          </w:tcPr>
          <w:p>
            <w:pPr>
              <w:pStyle w:val="142"/>
              <w:snapToGrid/>
            </w:pPr>
            <w:r>
              <w:rPr>
                <w:rFonts w:hint="eastAsia"/>
              </w:rPr>
              <w:t>生活污水</w:t>
            </w:r>
          </w:p>
        </w:tc>
        <w:tc>
          <w:tcPr>
            <w:tcW w:w="608" w:type="pct"/>
            <w:vAlign w:val="center"/>
          </w:tcPr>
          <w:p>
            <w:pPr>
              <w:pStyle w:val="142"/>
              <w:snapToGrid/>
            </w:pPr>
            <w:r>
              <w:rPr>
                <w:rFonts w:hint="eastAsia"/>
              </w:rPr>
              <w:t>COD、BOD、SS</w:t>
            </w:r>
          </w:p>
        </w:tc>
        <w:tc>
          <w:tcPr>
            <w:tcW w:w="1823" w:type="pct"/>
            <w:tcBorders>
              <w:bottom w:val="single" w:color="auto" w:sz="4" w:space="0"/>
            </w:tcBorders>
            <w:vAlign w:val="center"/>
          </w:tcPr>
          <w:p>
            <w:pPr>
              <w:pStyle w:val="144"/>
              <w:snapToGrid/>
              <w:spacing w:before="0" w:after="0" w:line="240" w:lineRule="auto"/>
              <w:ind w:firstLine="0" w:firstLineChars="0"/>
              <w:jc w:val="center"/>
              <w:rPr>
                <w:rFonts w:hAnsi="宋体"/>
                <w:bCs/>
                <w:color w:val="FF0000"/>
                <w:sz w:val="21"/>
                <w:szCs w:val="21"/>
              </w:rPr>
            </w:pPr>
            <w:r>
              <w:rPr>
                <w:rFonts w:hint="eastAsia"/>
                <w:sz w:val="21"/>
                <w:szCs w:val="21"/>
              </w:rPr>
              <w:t>少量盥洗废水</w:t>
            </w:r>
            <w:r>
              <w:rPr>
                <w:rFonts w:hint="eastAsia"/>
                <w:bCs/>
                <w:sz w:val="21"/>
                <w:szCs w:val="21"/>
              </w:rPr>
              <w:t>（0.24</w:t>
            </w:r>
            <w:r>
              <w:rPr>
                <w:bCs/>
                <w:sz w:val="21"/>
                <w:szCs w:val="21"/>
              </w:rPr>
              <w:t xml:space="preserve"> m</w:t>
            </w:r>
            <w:r>
              <w:rPr>
                <w:bCs/>
                <w:sz w:val="21"/>
                <w:szCs w:val="21"/>
                <w:vertAlign w:val="superscript"/>
              </w:rPr>
              <w:t>3</w:t>
            </w:r>
            <w:r>
              <w:rPr>
                <w:bCs/>
                <w:sz w:val="21"/>
                <w:szCs w:val="21"/>
              </w:rPr>
              <w:t>/d</w:t>
            </w:r>
            <w:r>
              <w:rPr>
                <w:rFonts w:hint="eastAsia"/>
                <w:bCs/>
                <w:sz w:val="21"/>
                <w:szCs w:val="21"/>
              </w:rPr>
              <w:t>）</w:t>
            </w:r>
            <w:r>
              <w:rPr>
                <w:rFonts w:hint="eastAsia"/>
                <w:sz w:val="21"/>
                <w:szCs w:val="21"/>
              </w:rPr>
              <w:t>用于泼洒抑尘；</w:t>
            </w:r>
            <w:r>
              <w:rPr>
                <w:rFonts w:hint="eastAsia"/>
                <w:bCs/>
                <w:sz w:val="21"/>
                <w:szCs w:val="21"/>
              </w:rPr>
              <w:t>食堂餐余物及食堂废水（0.24</w:t>
            </w:r>
            <w:r>
              <w:rPr>
                <w:bCs/>
                <w:sz w:val="21"/>
                <w:szCs w:val="21"/>
              </w:rPr>
              <w:t>m</w:t>
            </w:r>
            <w:r>
              <w:rPr>
                <w:bCs/>
                <w:sz w:val="21"/>
                <w:szCs w:val="21"/>
                <w:vertAlign w:val="superscript"/>
              </w:rPr>
              <w:t>3</w:t>
            </w:r>
            <w:r>
              <w:rPr>
                <w:bCs/>
                <w:sz w:val="21"/>
                <w:szCs w:val="21"/>
              </w:rPr>
              <w:t>/d</w:t>
            </w:r>
            <w:r>
              <w:rPr>
                <w:rFonts w:hint="eastAsia"/>
                <w:bCs/>
                <w:sz w:val="21"/>
                <w:szCs w:val="21"/>
              </w:rPr>
              <w:t>）</w:t>
            </w:r>
            <w:r>
              <w:rPr>
                <w:rFonts w:hint="eastAsia"/>
                <w:sz w:val="21"/>
                <w:szCs w:val="21"/>
              </w:rPr>
              <w:t>经收集后委托有相关资质的单位外运处置</w:t>
            </w:r>
          </w:p>
        </w:tc>
        <w:tc>
          <w:tcPr>
            <w:tcW w:w="1266" w:type="pct"/>
            <w:vAlign w:val="center"/>
          </w:tcPr>
          <w:p>
            <w:pPr>
              <w:autoSpaceDE w:val="0"/>
              <w:autoSpaceDN w:val="0"/>
              <w:spacing w:line="240" w:lineRule="auto"/>
              <w:ind w:firstLine="0" w:firstLineChars="0"/>
              <w:jc w:val="center"/>
              <w:rPr>
                <w:sz w:val="21"/>
                <w:szCs w:val="21"/>
              </w:rPr>
            </w:pPr>
            <w:r>
              <w:rPr>
                <w:rFonts w:hint="eastAsia"/>
                <w:bCs/>
                <w:sz w:val="21"/>
                <w:szCs w:val="21"/>
              </w:rPr>
              <w:t>综合利用，不外排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2" w:type="pct"/>
            <w:vMerge w:val="continue"/>
            <w:vAlign w:val="center"/>
          </w:tcPr>
          <w:p>
            <w:pPr>
              <w:pStyle w:val="142"/>
              <w:snapToGrid/>
              <w:rPr>
                <w:rFonts w:hAnsi="宋体"/>
              </w:rPr>
            </w:pPr>
          </w:p>
        </w:tc>
        <w:tc>
          <w:tcPr>
            <w:tcW w:w="841" w:type="pct"/>
            <w:vAlign w:val="center"/>
          </w:tcPr>
          <w:p>
            <w:pPr>
              <w:pStyle w:val="142"/>
              <w:snapToGrid/>
            </w:pPr>
            <w:r>
              <w:rPr>
                <w:rFonts w:hint="eastAsia"/>
              </w:rPr>
              <w:t>洗车废水</w:t>
            </w:r>
          </w:p>
        </w:tc>
        <w:tc>
          <w:tcPr>
            <w:tcW w:w="608" w:type="pct"/>
            <w:vAlign w:val="center"/>
          </w:tcPr>
          <w:p>
            <w:pPr>
              <w:pStyle w:val="142"/>
              <w:snapToGrid/>
            </w:pPr>
            <w:r>
              <w:rPr>
                <w:rFonts w:hint="eastAsia"/>
              </w:rPr>
              <w:t>COD、SS</w:t>
            </w:r>
          </w:p>
        </w:tc>
        <w:tc>
          <w:tcPr>
            <w:tcW w:w="1823" w:type="pct"/>
            <w:tcBorders>
              <w:bottom w:val="single" w:color="auto" w:sz="4" w:space="0"/>
            </w:tcBorders>
            <w:vAlign w:val="center"/>
          </w:tcPr>
          <w:p>
            <w:pPr>
              <w:pStyle w:val="144"/>
              <w:snapToGrid/>
              <w:spacing w:before="0" w:after="0" w:line="240" w:lineRule="auto"/>
              <w:ind w:firstLine="0" w:firstLineChars="0"/>
              <w:jc w:val="center"/>
              <w:rPr>
                <w:rFonts w:hAnsi="宋体"/>
                <w:sz w:val="21"/>
                <w:szCs w:val="21"/>
              </w:rPr>
            </w:pPr>
            <w:r>
              <w:rPr>
                <w:rFonts w:hint="eastAsia"/>
                <w:sz w:val="21"/>
                <w:szCs w:val="21"/>
              </w:rPr>
              <w:t>洗车废水排至沉淀池沉淀处理后排入清水池循环使用，不外排；设1座1</w:t>
            </w:r>
            <w:r>
              <w:rPr>
                <w:sz w:val="21"/>
                <w:szCs w:val="21"/>
              </w:rPr>
              <w:t>0</w:t>
            </w:r>
            <w:r>
              <w:rPr>
                <w:rFonts w:hint="eastAsia"/>
                <w:sz w:val="21"/>
                <w:szCs w:val="21"/>
              </w:rPr>
              <w:t>m</w:t>
            </w:r>
            <w:r>
              <w:rPr>
                <w:sz w:val="21"/>
                <w:szCs w:val="21"/>
                <w:vertAlign w:val="superscript"/>
              </w:rPr>
              <w:t>3</w:t>
            </w:r>
            <w:r>
              <w:rPr>
                <w:rFonts w:hint="eastAsia"/>
                <w:sz w:val="21"/>
                <w:szCs w:val="21"/>
              </w:rPr>
              <w:t>沉淀池，1座1</w:t>
            </w:r>
            <w:r>
              <w:rPr>
                <w:sz w:val="21"/>
                <w:szCs w:val="21"/>
              </w:rPr>
              <w:t>0</w:t>
            </w:r>
            <w:r>
              <w:rPr>
                <w:rFonts w:hint="eastAsia"/>
                <w:sz w:val="21"/>
                <w:szCs w:val="21"/>
              </w:rPr>
              <w:t>m</w:t>
            </w:r>
            <w:r>
              <w:rPr>
                <w:sz w:val="21"/>
                <w:szCs w:val="21"/>
                <w:vertAlign w:val="superscript"/>
              </w:rPr>
              <w:t>3</w:t>
            </w:r>
            <w:r>
              <w:rPr>
                <w:rFonts w:hint="eastAsia"/>
                <w:sz w:val="21"/>
                <w:szCs w:val="21"/>
              </w:rPr>
              <w:t>清水池</w:t>
            </w:r>
          </w:p>
        </w:tc>
        <w:tc>
          <w:tcPr>
            <w:tcW w:w="1266" w:type="pct"/>
            <w:vAlign w:val="center"/>
          </w:tcPr>
          <w:p>
            <w:pPr>
              <w:autoSpaceDE w:val="0"/>
              <w:autoSpaceDN w:val="0"/>
              <w:spacing w:line="240" w:lineRule="auto"/>
              <w:ind w:firstLine="0" w:firstLineChars="0"/>
              <w:jc w:val="center"/>
              <w:rPr>
                <w:bCs/>
                <w:sz w:val="21"/>
                <w:szCs w:val="21"/>
              </w:rPr>
            </w:pPr>
            <w:r>
              <w:rPr>
                <w:rFonts w:hint="eastAsia"/>
                <w:bCs/>
                <w:sz w:val="21"/>
                <w:szCs w:val="21"/>
              </w:rPr>
              <w:t>综合利用，不外排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2" w:type="pct"/>
            <w:vMerge w:val="restart"/>
            <w:vAlign w:val="center"/>
          </w:tcPr>
          <w:p>
            <w:pPr>
              <w:pStyle w:val="142"/>
              <w:snapToGrid/>
              <w:rPr>
                <w:rFonts w:hAnsi="宋体"/>
              </w:rPr>
            </w:pPr>
            <w:r>
              <w:rPr>
                <w:rFonts w:hint="eastAsia" w:hAnsi="宋体"/>
              </w:rPr>
              <w:t>固体废物</w:t>
            </w:r>
          </w:p>
        </w:tc>
        <w:tc>
          <w:tcPr>
            <w:tcW w:w="841" w:type="pct"/>
            <w:tcBorders>
              <w:bottom w:val="single" w:color="auto" w:sz="4" w:space="0"/>
            </w:tcBorders>
            <w:vAlign w:val="center"/>
          </w:tcPr>
          <w:p>
            <w:pPr>
              <w:autoSpaceDE w:val="0"/>
              <w:autoSpaceDN w:val="0"/>
              <w:spacing w:line="240" w:lineRule="auto"/>
              <w:ind w:firstLine="0" w:firstLineChars="0"/>
              <w:jc w:val="center"/>
              <w:rPr>
                <w:rFonts w:hAnsi="宋体"/>
                <w:sz w:val="21"/>
                <w:szCs w:val="21"/>
              </w:rPr>
            </w:pPr>
            <w:r>
              <w:rPr>
                <w:rFonts w:hint="eastAsia" w:hAnsi="宋体"/>
                <w:sz w:val="21"/>
                <w:szCs w:val="21"/>
              </w:rPr>
              <w:t>除铁器</w:t>
            </w:r>
          </w:p>
        </w:tc>
        <w:tc>
          <w:tcPr>
            <w:tcW w:w="608" w:type="pct"/>
            <w:tcBorders>
              <w:bottom w:val="single" w:color="auto" w:sz="4" w:space="0"/>
            </w:tcBorders>
            <w:vAlign w:val="center"/>
          </w:tcPr>
          <w:p>
            <w:pPr>
              <w:pStyle w:val="142"/>
              <w:snapToGrid/>
              <w:rPr>
                <w:rFonts w:hAnsi="宋体"/>
              </w:rPr>
            </w:pPr>
            <w:r>
              <w:rPr>
                <w:rFonts w:hint="eastAsia" w:hAnsi="宋体"/>
              </w:rPr>
              <w:t>含铁废矿石</w:t>
            </w:r>
          </w:p>
        </w:tc>
        <w:tc>
          <w:tcPr>
            <w:tcW w:w="1823" w:type="pct"/>
            <w:tcBorders>
              <w:bottom w:val="single" w:color="auto" w:sz="4" w:space="0"/>
            </w:tcBorders>
            <w:vAlign w:val="center"/>
          </w:tcPr>
          <w:p>
            <w:pPr>
              <w:widowControl/>
              <w:spacing w:line="240" w:lineRule="auto"/>
              <w:ind w:firstLine="0" w:firstLineChars="0"/>
              <w:jc w:val="center"/>
              <w:rPr>
                <w:sz w:val="21"/>
                <w:szCs w:val="21"/>
              </w:rPr>
            </w:pPr>
            <w:r>
              <w:rPr>
                <w:rFonts w:hint="eastAsia"/>
                <w:sz w:val="21"/>
                <w:szCs w:val="21"/>
              </w:rPr>
              <w:t>外售于铁厂综合利用</w:t>
            </w:r>
          </w:p>
        </w:tc>
        <w:tc>
          <w:tcPr>
            <w:tcW w:w="1266" w:type="pct"/>
            <w:tcBorders>
              <w:bottom w:val="single" w:color="auto" w:sz="4" w:space="0"/>
            </w:tcBorders>
            <w:vAlign w:val="center"/>
          </w:tcPr>
          <w:p>
            <w:pPr>
              <w:pStyle w:val="142"/>
              <w:snapToGrid/>
            </w:pPr>
            <w:r>
              <w:rPr>
                <w:rFonts w:hint="eastAsia"/>
              </w:rPr>
              <w:t>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2" w:type="pct"/>
            <w:vMerge w:val="continue"/>
            <w:vAlign w:val="center"/>
          </w:tcPr>
          <w:p>
            <w:pPr>
              <w:pStyle w:val="142"/>
              <w:snapToGrid/>
              <w:rPr>
                <w:rFonts w:hAnsi="宋体"/>
              </w:rPr>
            </w:pPr>
          </w:p>
        </w:tc>
        <w:tc>
          <w:tcPr>
            <w:tcW w:w="841" w:type="pct"/>
            <w:tcBorders>
              <w:bottom w:val="single" w:color="auto" w:sz="4" w:space="0"/>
            </w:tcBorders>
            <w:vAlign w:val="center"/>
          </w:tcPr>
          <w:p>
            <w:pPr>
              <w:autoSpaceDE w:val="0"/>
              <w:autoSpaceDN w:val="0"/>
              <w:spacing w:line="240" w:lineRule="auto"/>
              <w:ind w:firstLine="0" w:firstLineChars="0"/>
              <w:jc w:val="center"/>
              <w:rPr>
                <w:sz w:val="21"/>
                <w:szCs w:val="21"/>
              </w:rPr>
            </w:pPr>
            <w:r>
              <w:rPr>
                <w:rFonts w:hint="eastAsia" w:hAnsi="宋体"/>
                <w:sz w:val="21"/>
                <w:szCs w:val="21"/>
              </w:rPr>
              <w:t>除尘器</w:t>
            </w:r>
          </w:p>
        </w:tc>
        <w:tc>
          <w:tcPr>
            <w:tcW w:w="608" w:type="pct"/>
            <w:tcBorders>
              <w:bottom w:val="single" w:color="auto" w:sz="4" w:space="0"/>
            </w:tcBorders>
            <w:vAlign w:val="center"/>
          </w:tcPr>
          <w:p>
            <w:pPr>
              <w:pStyle w:val="142"/>
              <w:snapToGrid/>
            </w:pPr>
            <w:r>
              <w:rPr>
                <w:rFonts w:hint="eastAsia" w:hAnsi="宋体"/>
              </w:rPr>
              <w:t>集尘灰</w:t>
            </w:r>
          </w:p>
        </w:tc>
        <w:tc>
          <w:tcPr>
            <w:tcW w:w="1823" w:type="pct"/>
            <w:tcBorders>
              <w:bottom w:val="single" w:color="auto" w:sz="4" w:space="0"/>
            </w:tcBorders>
            <w:vAlign w:val="center"/>
          </w:tcPr>
          <w:p>
            <w:pPr>
              <w:pStyle w:val="144"/>
              <w:snapToGrid/>
              <w:spacing w:before="0" w:after="0" w:line="240" w:lineRule="auto"/>
              <w:ind w:firstLine="0" w:firstLineChars="0"/>
              <w:jc w:val="center"/>
              <w:rPr>
                <w:rFonts w:hAnsi="宋体"/>
                <w:bCs/>
                <w:sz w:val="21"/>
                <w:szCs w:val="21"/>
              </w:rPr>
            </w:pPr>
            <w:r>
              <w:rPr>
                <w:rFonts w:hint="eastAsia"/>
                <w:sz w:val="21"/>
                <w:szCs w:val="21"/>
              </w:rPr>
              <w:t>收集后可作为产品外售</w:t>
            </w:r>
          </w:p>
        </w:tc>
        <w:tc>
          <w:tcPr>
            <w:tcW w:w="1266" w:type="pct"/>
            <w:tcBorders>
              <w:bottom w:val="single" w:color="auto" w:sz="4" w:space="0"/>
            </w:tcBorders>
            <w:vAlign w:val="center"/>
          </w:tcPr>
          <w:p>
            <w:pPr>
              <w:pStyle w:val="142"/>
              <w:snapToGrid/>
            </w:pPr>
            <w:r>
              <w:rPr>
                <w:rFonts w:hint="eastAsia"/>
              </w:rPr>
              <w:t>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2" w:type="pct"/>
            <w:vMerge w:val="continue"/>
            <w:vAlign w:val="center"/>
          </w:tcPr>
          <w:p>
            <w:pPr>
              <w:pStyle w:val="142"/>
              <w:snapToGrid/>
              <w:rPr>
                <w:rFonts w:hAnsi="宋体"/>
              </w:rPr>
            </w:pPr>
          </w:p>
        </w:tc>
        <w:tc>
          <w:tcPr>
            <w:tcW w:w="841" w:type="pct"/>
            <w:tcBorders>
              <w:bottom w:val="single" w:color="auto" w:sz="4" w:space="0"/>
            </w:tcBorders>
            <w:vAlign w:val="center"/>
          </w:tcPr>
          <w:p>
            <w:pPr>
              <w:autoSpaceDE w:val="0"/>
              <w:autoSpaceDN w:val="0"/>
              <w:spacing w:line="240" w:lineRule="auto"/>
              <w:ind w:firstLine="0" w:firstLineChars="0"/>
              <w:jc w:val="center"/>
              <w:rPr>
                <w:sz w:val="21"/>
                <w:szCs w:val="21"/>
              </w:rPr>
            </w:pPr>
            <w:r>
              <w:rPr>
                <w:rFonts w:hint="eastAsia"/>
                <w:sz w:val="21"/>
                <w:szCs w:val="21"/>
              </w:rPr>
              <w:t>设备维护</w:t>
            </w:r>
          </w:p>
        </w:tc>
        <w:tc>
          <w:tcPr>
            <w:tcW w:w="608" w:type="pct"/>
            <w:tcBorders>
              <w:bottom w:val="single" w:color="auto" w:sz="4" w:space="0"/>
            </w:tcBorders>
            <w:vAlign w:val="center"/>
          </w:tcPr>
          <w:p>
            <w:pPr>
              <w:pStyle w:val="142"/>
              <w:snapToGrid/>
            </w:pPr>
            <w:r>
              <w:rPr>
                <w:rFonts w:hint="eastAsia" w:hAnsi="宋体"/>
              </w:rPr>
              <w:t>废矿物油</w:t>
            </w:r>
          </w:p>
        </w:tc>
        <w:tc>
          <w:tcPr>
            <w:tcW w:w="1823" w:type="pct"/>
            <w:tcBorders>
              <w:bottom w:val="single" w:color="auto" w:sz="4" w:space="0"/>
            </w:tcBorders>
            <w:vAlign w:val="center"/>
          </w:tcPr>
          <w:p>
            <w:pPr>
              <w:pStyle w:val="144"/>
              <w:snapToGrid/>
              <w:spacing w:before="0" w:after="0" w:line="240" w:lineRule="auto"/>
              <w:ind w:firstLine="0" w:firstLineChars="0"/>
              <w:jc w:val="center"/>
              <w:rPr>
                <w:rFonts w:hAnsi="宋体"/>
                <w:bCs/>
                <w:sz w:val="21"/>
                <w:szCs w:val="21"/>
              </w:rPr>
            </w:pPr>
            <w:r>
              <w:rPr>
                <w:rFonts w:hint="eastAsia" w:hAnsi="宋体"/>
                <w:sz w:val="21"/>
                <w:szCs w:val="21"/>
              </w:rPr>
              <w:t>废矿物油储存于特定容器中，暂存于危废库内，委托有相关处理资质的单位定期外协处置</w:t>
            </w:r>
          </w:p>
        </w:tc>
        <w:tc>
          <w:tcPr>
            <w:tcW w:w="1266" w:type="pct"/>
            <w:tcBorders>
              <w:bottom w:val="single" w:color="auto" w:sz="4" w:space="0"/>
            </w:tcBorders>
            <w:vAlign w:val="center"/>
          </w:tcPr>
          <w:p>
            <w:pPr>
              <w:pStyle w:val="142"/>
              <w:snapToGrid/>
            </w:pPr>
            <w:r>
              <w:rPr>
                <w:rFonts w:hint="eastAsia"/>
              </w:rPr>
              <w:t>委托处置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2" w:type="pct"/>
            <w:vMerge w:val="continue"/>
            <w:vAlign w:val="center"/>
          </w:tcPr>
          <w:p>
            <w:pPr>
              <w:pStyle w:val="142"/>
              <w:snapToGrid/>
              <w:rPr>
                <w:rFonts w:hAnsi="宋体"/>
              </w:rPr>
            </w:pPr>
          </w:p>
        </w:tc>
        <w:tc>
          <w:tcPr>
            <w:tcW w:w="841" w:type="pct"/>
            <w:tcBorders>
              <w:bottom w:val="single" w:color="auto" w:sz="4" w:space="0"/>
            </w:tcBorders>
            <w:vAlign w:val="center"/>
          </w:tcPr>
          <w:p>
            <w:pPr>
              <w:autoSpaceDE w:val="0"/>
              <w:autoSpaceDN w:val="0"/>
              <w:spacing w:line="240" w:lineRule="auto"/>
              <w:ind w:firstLine="0" w:firstLineChars="0"/>
              <w:jc w:val="center"/>
              <w:rPr>
                <w:sz w:val="21"/>
                <w:szCs w:val="21"/>
              </w:rPr>
            </w:pPr>
            <w:r>
              <w:rPr>
                <w:rFonts w:hint="eastAsia"/>
                <w:sz w:val="21"/>
                <w:szCs w:val="21"/>
              </w:rPr>
              <w:t>生活办公</w:t>
            </w:r>
          </w:p>
        </w:tc>
        <w:tc>
          <w:tcPr>
            <w:tcW w:w="608" w:type="pct"/>
            <w:tcBorders>
              <w:bottom w:val="single" w:color="auto" w:sz="4" w:space="0"/>
            </w:tcBorders>
            <w:vAlign w:val="center"/>
          </w:tcPr>
          <w:p>
            <w:pPr>
              <w:pStyle w:val="142"/>
              <w:snapToGrid/>
              <w:rPr>
                <w:rFonts w:hAnsi="宋体"/>
              </w:rPr>
            </w:pPr>
            <w:r>
              <w:rPr>
                <w:rFonts w:hAnsi="宋体"/>
              </w:rPr>
              <w:t>生活垃圾</w:t>
            </w:r>
          </w:p>
        </w:tc>
        <w:tc>
          <w:tcPr>
            <w:tcW w:w="1823" w:type="pct"/>
            <w:tcBorders>
              <w:bottom w:val="single" w:color="auto" w:sz="4" w:space="0"/>
            </w:tcBorders>
            <w:vAlign w:val="center"/>
          </w:tcPr>
          <w:p>
            <w:pPr>
              <w:pStyle w:val="144"/>
              <w:snapToGrid/>
              <w:spacing w:before="0" w:after="0" w:line="240" w:lineRule="auto"/>
              <w:ind w:firstLine="0" w:firstLineChars="0"/>
              <w:jc w:val="center"/>
              <w:rPr>
                <w:rFonts w:hAnsi="宋体"/>
                <w:bCs/>
                <w:sz w:val="21"/>
                <w:szCs w:val="21"/>
              </w:rPr>
            </w:pPr>
            <w:r>
              <w:rPr>
                <w:rFonts w:hAnsi="宋体"/>
                <w:sz w:val="21"/>
                <w:szCs w:val="21"/>
              </w:rPr>
              <w:t>设置垃圾筒，垃圾经收集后运至市政指定的地点外协处理</w:t>
            </w:r>
          </w:p>
        </w:tc>
        <w:tc>
          <w:tcPr>
            <w:tcW w:w="1266" w:type="pct"/>
            <w:tcBorders>
              <w:bottom w:val="single" w:color="auto" w:sz="4" w:space="0"/>
            </w:tcBorders>
            <w:vAlign w:val="center"/>
          </w:tcPr>
          <w:p>
            <w:pPr>
              <w:pStyle w:val="142"/>
              <w:snapToGrid/>
            </w:pPr>
            <w:r>
              <w:rPr>
                <w:rFonts w:hint="eastAsia"/>
              </w:rPr>
              <w:t>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2" w:type="pct"/>
            <w:vAlign w:val="center"/>
          </w:tcPr>
          <w:p>
            <w:pPr>
              <w:pStyle w:val="142"/>
              <w:snapToGrid/>
            </w:pPr>
            <w:r>
              <w:rPr>
                <w:rFonts w:hAnsi="宋体"/>
              </w:rPr>
              <w:t>噪声</w:t>
            </w:r>
          </w:p>
        </w:tc>
        <w:tc>
          <w:tcPr>
            <w:tcW w:w="841" w:type="pct"/>
            <w:tcBorders>
              <w:bottom w:val="single" w:color="auto" w:sz="4" w:space="0"/>
            </w:tcBorders>
            <w:vAlign w:val="center"/>
          </w:tcPr>
          <w:p>
            <w:pPr>
              <w:autoSpaceDE w:val="0"/>
              <w:autoSpaceDN w:val="0"/>
              <w:spacing w:line="240" w:lineRule="auto"/>
              <w:ind w:firstLine="0" w:firstLineChars="0"/>
              <w:jc w:val="center"/>
              <w:rPr>
                <w:color w:val="000000"/>
                <w:sz w:val="21"/>
                <w:szCs w:val="21"/>
              </w:rPr>
            </w:pPr>
            <w:r>
              <w:rPr>
                <w:rFonts w:hint="eastAsia"/>
                <w:sz w:val="21"/>
                <w:szCs w:val="21"/>
              </w:rPr>
              <w:t>各产噪设备</w:t>
            </w:r>
          </w:p>
        </w:tc>
        <w:tc>
          <w:tcPr>
            <w:tcW w:w="608" w:type="pct"/>
            <w:tcBorders>
              <w:bottom w:val="single" w:color="auto" w:sz="4" w:space="0"/>
            </w:tcBorders>
            <w:vAlign w:val="center"/>
          </w:tcPr>
          <w:p>
            <w:pPr>
              <w:spacing w:line="240" w:lineRule="auto"/>
              <w:ind w:firstLine="0" w:firstLineChars="0"/>
              <w:jc w:val="center"/>
              <w:rPr>
                <w:sz w:val="21"/>
                <w:szCs w:val="21"/>
              </w:rPr>
            </w:pPr>
            <w:r>
              <w:rPr>
                <w:color w:val="000000"/>
                <w:sz w:val="21"/>
                <w:szCs w:val="21"/>
              </w:rPr>
              <w:t>噪声</w:t>
            </w:r>
          </w:p>
        </w:tc>
        <w:tc>
          <w:tcPr>
            <w:tcW w:w="1823" w:type="pct"/>
            <w:tcBorders>
              <w:bottom w:val="single" w:color="auto" w:sz="4" w:space="0"/>
            </w:tcBorders>
            <w:vAlign w:val="center"/>
          </w:tcPr>
          <w:p>
            <w:pPr>
              <w:autoSpaceDE w:val="0"/>
              <w:autoSpaceDN w:val="0"/>
              <w:spacing w:line="240" w:lineRule="auto"/>
              <w:ind w:firstLine="0" w:firstLineChars="0"/>
              <w:jc w:val="center"/>
              <w:rPr>
                <w:sz w:val="21"/>
                <w:szCs w:val="21"/>
              </w:rPr>
            </w:pPr>
            <w:r>
              <w:rPr>
                <w:rFonts w:hint="eastAsia" w:hAnsi="宋体"/>
                <w:bCs/>
                <w:sz w:val="21"/>
                <w:szCs w:val="21"/>
              </w:rPr>
              <w:t>选用低噪设备，对主要污染源采取消声、吸声、建筑隔声、基础减震等防噪措施。</w:t>
            </w:r>
          </w:p>
        </w:tc>
        <w:tc>
          <w:tcPr>
            <w:tcW w:w="1266" w:type="pct"/>
            <w:vAlign w:val="center"/>
          </w:tcPr>
          <w:p>
            <w:pPr>
              <w:pStyle w:val="142"/>
              <w:snapToGrid/>
            </w:pPr>
            <w:r>
              <w:rPr>
                <w:rFonts w:hint="eastAsia" w:hAnsi="宋体"/>
              </w:rPr>
              <w:t>厂界</w:t>
            </w:r>
            <w:r>
              <w:rPr>
                <w:rFonts w:hAnsi="宋体"/>
              </w:rPr>
              <w:t>昼间</w:t>
            </w:r>
            <w:r>
              <w:t xml:space="preserve"> </w:t>
            </w:r>
            <w:r>
              <w:rPr>
                <w:rFonts w:hint="eastAsia"/>
              </w:rPr>
              <w:t>60</w:t>
            </w:r>
            <w:r>
              <w:t>dB(A)</w:t>
            </w:r>
          </w:p>
          <w:p>
            <w:pPr>
              <w:pStyle w:val="142"/>
              <w:snapToGrid/>
            </w:pPr>
            <w:r>
              <w:rPr>
                <w:rFonts w:hAnsi="宋体"/>
              </w:rPr>
              <w:t>夜间</w:t>
            </w:r>
            <w:r>
              <w:t xml:space="preserve"> </w:t>
            </w:r>
            <w:r>
              <w:rPr>
                <w:rFonts w:hint="eastAsia"/>
              </w:rPr>
              <w:t>50</w:t>
            </w:r>
            <w:r>
              <w:t xml:space="preserve">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5"/>
            <w:tcBorders>
              <w:bottom w:val="single" w:color="auto" w:sz="4" w:space="0"/>
            </w:tcBorders>
            <w:vAlign w:val="center"/>
          </w:tcPr>
          <w:p>
            <w:pPr>
              <w:pStyle w:val="144"/>
              <w:snapToGrid/>
              <w:spacing w:before="0" w:after="0"/>
              <w:ind w:firstLine="0" w:firstLineChars="0"/>
            </w:pPr>
            <w:r>
              <w:rPr>
                <w:rFonts w:hint="eastAsia"/>
              </w:rPr>
              <w:t>生态保护措施及效果：</w:t>
            </w:r>
          </w:p>
          <w:p>
            <w:pPr>
              <w:pStyle w:val="144"/>
              <w:snapToGrid/>
              <w:spacing w:before="0" w:after="0"/>
              <w:ind w:firstLine="480"/>
            </w:pPr>
            <w:r>
              <w:rPr>
                <w:rFonts w:hint="eastAsia"/>
              </w:rPr>
              <w:t>本项目拟建厂址位于交城县水峪贯镇西冶村东南约4</w:t>
            </w:r>
            <w:r>
              <w:t>00m</w:t>
            </w:r>
            <w:r>
              <w:rPr>
                <w:rFonts w:hint="eastAsia"/>
              </w:rPr>
              <w:t>处，总占地面积约3</w:t>
            </w:r>
            <w:r>
              <w:t>7500</w:t>
            </w:r>
            <w:r>
              <w:rPr>
                <w:rFonts w:hint="eastAsia"/>
              </w:rPr>
              <w:t>平方米，中心点坐标为；E</w:t>
            </w:r>
            <w:r>
              <w:t>111.921354</w:t>
            </w:r>
            <w:r>
              <w:rPr>
                <w:rFonts w:hint="eastAsia"/>
              </w:rPr>
              <w:t>°，N</w:t>
            </w:r>
            <w:r>
              <w:t>37.669642</w:t>
            </w:r>
            <w:r>
              <w:rPr>
                <w:rFonts w:hint="eastAsia"/>
              </w:rPr>
              <w:t>°；本项目拟建场地利用废弃洗煤厂场地，</w:t>
            </w:r>
            <w:r>
              <w:rPr>
                <w:rFonts w:hAnsi="宋体"/>
              </w:rPr>
              <w:t>项目建设对植被破坏和土地资源的利用问题影响</w:t>
            </w:r>
            <w:r>
              <w:rPr>
                <w:rFonts w:hint="eastAsia" w:hAnsi="宋体"/>
              </w:rPr>
              <w:t>较</w:t>
            </w:r>
            <w:r>
              <w:rPr>
                <w:rFonts w:hAnsi="宋体"/>
              </w:rPr>
              <w:t>小，项目区经平整后因地制宜进行布置，</w:t>
            </w:r>
            <w:r>
              <w:rPr>
                <w:rFonts w:hint="eastAsia" w:hAnsi="宋体"/>
              </w:rPr>
              <w:t>厂址内</w:t>
            </w:r>
            <w:r>
              <w:rPr>
                <w:rFonts w:hAnsi="宋体"/>
              </w:rPr>
              <w:t>进行硬化和绿化，不会造成水土流失等，生态影响</w:t>
            </w:r>
            <w:r>
              <w:rPr>
                <w:rFonts w:hint="eastAsia" w:hAnsi="宋体"/>
              </w:rPr>
              <w:t>较</w:t>
            </w:r>
            <w:r>
              <w:rPr>
                <w:rFonts w:hAnsi="宋体"/>
              </w:rPr>
              <w:t>小。</w:t>
            </w:r>
          </w:p>
          <w:p>
            <w:pPr>
              <w:pStyle w:val="144"/>
              <w:snapToGrid/>
              <w:spacing w:before="0" w:after="0"/>
              <w:ind w:firstLine="480"/>
              <w:rPr>
                <w:rFonts w:hAnsi="宋体"/>
              </w:rPr>
            </w:pPr>
            <w:r>
              <w:rPr>
                <w:rFonts w:hAnsi="宋体"/>
              </w:rPr>
              <w:t>本次环评要求对本项目厂区进行统一规划设计，厂区进行合理绿化。在</w:t>
            </w:r>
            <w:r>
              <w:rPr>
                <w:rFonts w:hint="eastAsia" w:hAnsi="宋体"/>
              </w:rPr>
              <w:t>厂址围墙内侧、</w:t>
            </w:r>
            <w:r>
              <w:rPr>
                <w:rFonts w:hAnsi="宋体"/>
              </w:rPr>
              <w:t>办公区种植乔木、灌木和绿草，组成浓密的树丛，对粉尘进行阻挡和过滤，也可以在产生噪声的车间周围设置林带隔声。</w:t>
            </w: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rFonts w:hAnsi="宋体"/>
                <w:color w:val="FF0000"/>
              </w:rPr>
            </w:pPr>
          </w:p>
          <w:p>
            <w:pPr>
              <w:pStyle w:val="144"/>
              <w:snapToGrid/>
              <w:spacing w:before="0" w:after="0"/>
              <w:ind w:firstLine="480"/>
              <w:rPr>
                <w:color w:val="FF0000"/>
              </w:rPr>
            </w:pPr>
          </w:p>
        </w:tc>
      </w:tr>
    </w:tbl>
    <w:p>
      <w:pPr>
        <w:pStyle w:val="186"/>
      </w:pPr>
      <w:r>
        <w:t>结论与建议</w:t>
      </w:r>
    </w:p>
    <w:tbl>
      <w:tblPr>
        <w:tblStyle w:val="7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51" w:hRule="atLeast"/>
        </w:trPr>
        <w:tc>
          <w:tcPr>
            <w:tcW w:w="5000" w:type="pct"/>
          </w:tcPr>
          <w:p>
            <w:pPr>
              <w:pStyle w:val="148"/>
              <w:spacing w:before="0" w:after="0"/>
              <w:ind w:firstLine="0" w:firstLineChars="0"/>
              <w:rPr>
                <w:rFonts w:ascii="Times New Roman" w:hAnsi="Times New Roman" w:eastAsia="宋体" w:cs="Times New Roman"/>
                <w:b/>
                <w:sz w:val="24"/>
                <w:szCs w:val="24"/>
              </w:rPr>
            </w:pPr>
            <w:r>
              <w:rPr>
                <w:rFonts w:ascii="Times New Roman" w:hAnsi="宋体" w:eastAsia="宋体" w:cs="Times New Roman"/>
                <w:b/>
                <w:sz w:val="24"/>
                <w:szCs w:val="24"/>
              </w:rPr>
              <w:t>一、结论</w:t>
            </w:r>
          </w:p>
          <w:p>
            <w:pPr>
              <w:pStyle w:val="144"/>
              <w:spacing w:before="0" w:after="0"/>
              <w:ind w:firstLine="0" w:firstLineChars="0"/>
              <w:rPr>
                <w:b/>
              </w:rPr>
            </w:pPr>
            <w:r>
              <w:rPr>
                <w:b/>
              </w:rPr>
              <w:t>1</w:t>
            </w:r>
            <w:r>
              <w:rPr>
                <w:rFonts w:hAnsi="宋体"/>
                <w:b/>
              </w:rPr>
              <w:t>、</w:t>
            </w:r>
            <w:r>
              <w:rPr>
                <w:rFonts w:hint="eastAsia" w:hAnsi="宋体"/>
                <w:b/>
              </w:rPr>
              <w:t>建设项目概况</w:t>
            </w:r>
          </w:p>
          <w:p>
            <w:pPr>
              <w:pStyle w:val="144"/>
              <w:spacing w:before="0" w:after="0"/>
              <w:ind w:firstLine="480"/>
              <w:rPr>
                <w:kern w:val="0"/>
              </w:rPr>
            </w:pPr>
            <w:r>
              <w:rPr>
                <w:rFonts w:hint="eastAsia"/>
              </w:rPr>
              <w:t>交城县西冶兴威矿石加工厂于2</w:t>
            </w:r>
            <w:r>
              <w:t>019</w:t>
            </w:r>
            <w:r>
              <w:rPr>
                <w:rFonts w:hint="eastAsia"/>
              </w:rPr>
              <w:t>年决定在交城县水峪贯镇西冶村现有厂址南侧，利用废弃洗煤厂场地建设“利用尾矿石加工建筑骨料及微粉生产线技改项目”，交城县工业和信息化局于2</w:t>
            </w:r>
            <w:r>
              <w:t>019</w:t>
            </w:r>
            <w:r>
              <w:rPr>
                <w:rFonts w:hint="eastAsia"/>
              </w:rPr>
              <w:t>年7月2</w:t>
            </w:r>
            <w:r>
              <w:t>2</w:t>
            </w:r>
            <w:r>
              <w:rPr>
                <w:rFonts w:hint="eastAsia"/>
              </w:rPr>
              <w:t>日以</w:t>
            </w:r>
            <w:r>
              <w:rPr>
                <w:rFonts w:hint="eastAsia"/>
                <w:szCs w:val="21"/>
              </w:rPr>
              <w:t>交工信（审）字[</w:t>
            </w:r>
            <w:r>
              <w:rPr>
                <w:szCs w:val="21"/>
              </w:rPr>
              <w:t>2019]45</w:t>
            </w:r>
            <w:r>
              <w:rPr>
                <w:rFonts w:hint="eastAsia"/>
                <w:szCs w:val="21"/>
              </w:rPr>
              <w:t>号文对本项目予以备案。本项目利用尾矿石经破碎、筛分，生产建筑骨料及微粉，本项目设一条建筑骨料生产线，一条微粉生产线，项目建成后，形成4</w:t>
            </w:r>
            <w:r>
              <w:rPr>
                <w:szCs w:val="21"/>
              </w:rPr>
              <w:t>0</w:t>
            </w:r>
            <w:r>
              <w:rPr>
                <w:rFonts w:hint="eastAsia"/>
                <w:szCs w:val="21"/>
              </w:rPr>
              <w:t>万吨/年建筑砂石骨料、尾矿微粉的生产能力。</w:t>
            </w:r>
          </w:p>
          <w:p>
            <w:pPr>
              <w:pStyle w:val="148"/>
              <w:spacing w:before="0" w:after="0"/>
              <w:ind w:firstLine="0" w:firstLineChars="0"/>
              <w:rPr>
                <w:rFonts w:ascii="Times New Roman" w:hAnsi="宋体" w:eastAsia="宋体" w:cs="Times New Roman"/>
                <w:b/>
                <w:sz w:val="24"/>
                <w:szCs w:val="24"/>
              </w:rPr>
            </w:pPr>
            <w:r>
              <w:rPr>
                <w:rFonts w:hint="eastAsia" w:ascii="Times New Roman" w:hAnsi="宋体" w:eastAsia="宋体" w:cs="Times New Roman"/>
                <w:b/>
                <w:sz w:val="24"/>
                <w:szCs w:val="24"/>
              </w:rPr>
              <w:t>2、</w:t>
            </w:r>
            <w:r>
              <w:rPr>
                <w:rFonts w:hint="eastAsia" w:ascii="Times New Roman" w:hAnsi="Times New Roman" w:eastAsia="宋体" w:cs="Times New Roman"/>
                <w:b/>
                <w:sz w:val="24"/>
                <w:szCs w:val="24"/>
              </w:rPr>
              <w:t>区域环境质量现状</w:t>
            </w:r>
          </w:p>
          <w:p>
            <w:pPr>
              <w:pStyle w:val="142"/>
              <w:spacing w:line="480" w:lineRule="exact"/>
              <w:ind w:firstLine="480" w:firstLineChars="200"/>
              <w:jc w:val="both"/>
              <w:rPr>
                <w:sz w:val="24"/>
              </w:rPr>
            </w:pPr>
            <w:r>
              <w:rPr>
                <w:rFonts w:hint="eastAsia" w:hAnsi="宋体"/>
                <w:sz w:val="24"/>
                <w:szCs w:val="24"/>
              </w:rPr>
              <w:t>根据山西省大气污染防治工作领导组办公室发布的《2</w:t>
            </w:r>
            <w:r>
              <w:rPr>
                <w:rFonts w:hAnsi="宋体"/>
                <w:sz w:val="24"/>
                <w:szCs w:val="24"/>
              </w:rPr>
              <w:t>019</w:t>
            </w:r>
            <w:r>
              <w:rPr>
                <w:rFonts w:hint="eastAsia" w:hAnsi="宋体"/>
                <w:sz w:val="24"/>
                <w:szCs w:val="24"/>
              </w:rPr>
              <w:t>年县（市、区）环境空气质量状况通报》（2</w:t>
            </w:r>
            <w:r>
              <w:rPr>
                <w:rFonts w:hAnsi="宋体"/>
                <w:sz w:val="24"/>
                <w:szCs w:val="24"/>
              </w:rPr>
              <w:t>020</w:t>
            </w:r>
            <w:r>
              <w:rPr>
                <w:rFonts w:hint="eastAsia" w:hAnsi="宋体"/>
                <w:sz w:val="24"/>
                <w:szCs w:val="24"/>
              </w:rPr>
              <w:t>年1月2</w:t>
            </w:r>
            <w:r>
              <w:rPr>
                <w:rFonts w:hAnsi="宋体"/>
                <w:sz w:val="24"/>
                <w:szCs w:val="24"/>
              </w:rPr>
              <w:t>0</w:t>
            </w:r>
            <w:r>
              <w:rPr>
                <w:rFonts w:hint="eastAsia" w:hAnsi="宋体"/>
                <w:sz w:val="24"/>
                <w:szCs w:val="24"/>
              </w:rPr>
              <w:t>日），交城县2</w:t>
            </w:r>
            <w:r>
              <w:rPr>
                <w:rFonts w:hAnsi="宋体"/>
                <w:sz w:val="24"/>
                <w:szCs w:val="24"/>
              </w:rPr>
              <w:t>019</w:t>
            </w:r>
            <w:r>
              <w:rPr>
                <w:rFonts w:hint="eastAsia" w:hAnsi="宋体"/>
                <w:sz w:val="24"/>
                <w:szCs w:val="24"/>
              </w:rPr>
              <w:t>年</w:t>
            </w:r>
            <w:r>
              <w:rPr>
                <w:rFonts w:hAnsi="宋体"/>
                <w:sz w:val="24"/>
                <w:szCs w:val="24"/>
              </w:rPr>
              <w:t>O</w:t>
            </w:r>
            <w:r>
              <w:rPr>
                <w:rFonts w:hAnsi="宋体"/>
                <w:sz w:val="24"/>
                <w:szCs w:val="24"/>
                <w:vertAlign w:val="subscript"/>
              </w:rPr>
              <w:t>3</w:t>
            </w:r>
            <w:r>
              <w:rPr>
                <w:rFonts w:hint="eastAsia" w:hAnsi="宋体"/>
                <w:sz w:val="24"/>
                <w:szCs w:val="24"/>
              </w:rPr>
              <w:t>、PM</w:t>
            </w:r>
            <w:r>
              <w:rPr>
                <w:rFonts w:hint="eastAsia" w:hAnsi="宋体"/>
                <w:sz w:val="24"/>
                <w:szCs w:val="24"/>
                <w:vertAlign w:val="subscript"/>
              </w:rPr>
              <w:t>10</w:t>
            </w:r>
            <w:r>
              <w:rPr>
                <w:rFonts w:hint="eastAsia" w:hAnsi="宋体"/>
                <w:sz w:val="24"/>
                <w:szCs w:val="24"/>
              </w:rPr>
              <w:t>和PM</w:t>
            </w:r>
            <w:r>
              <w:rPr>
                <w:rFonts w:hint="eastAsia" w:hAnsi="宋体"/>
                <w:sz w:val="24"/>
                <w:szCs w:val="24"/>
                <w:vertAlign w:val="subscript"/>
              </w:rPr>
              <w:t>2.5</w:t>
            </w:r>
            <w:r>
              <w:rPr>
                <w:rFonts w:hint="eastAsia" w:hAnsi="宋体"/>
                <w:sz w:val="24"/>
                <w:szCs w:val="24"/>
              </w:rPr>
              <w:t>年平均质量浓度均超标，为不达标区。</w:t>
            </w:r>
            <w:r>
              <w:rPr>
                <w:rFonts w:hint="eastAsia"/>
                <w:sz w:val="24"/>
              </w:rPr>
              <w:t>超标原因主要为交城县周边工业企业生产排放污染物影响所致，同时北方地区降水少，气候干燥不利于大气污染物沉降也是影响各污染物超标的原因之一。</w:t>
            </w:r>
          </w:p>
          <w:p>
            <w:pPr>
              <w:pStyle w:val="142"/>
              <w:spacing w:line="480" w:lineRule="exact"/>
              <w:ind w:firstLine="480" w:firstLineChars="200"/>
              <w:jc w:val="both"/>
              <w:rPr>
                <w:rFonts w:hAnsi="宋体"/>
                <w:sz w:val="24"/>
                <w:szCs w:val="24"/>
              </w:rPr>
            </w:pPr>
            <w:r>
              <w:rPr>
                <w:rFonts w:hint="eastAsia" w:hAnsi="宋体"/>
                <w:sz w:val="24"/>
                <w:szCs w:val="24"/>
              </w:rPr>
              <w:t>本项目建成投入使用后，无生产废水外排，未收集相关地表水监测资料。</w:t>
            </w:r>
          </w:p>
          <w:p>
            <w:pPr>
              <w:pStyle w:val="142"/>
              <w:spacing w:line="480" w:lineRule="exact"/>
              <w:ind w:firstLine="480" w:firstLineChars="200"/>
              <w:jc w:val="both"/>
              <w:rPr>
                <w:rFonts w:hAnsi="宋体"/>
                <w:sz w:val="24"/>
                <w:szCs w:val="24"/>
              </w:rPr>
            </w:pPr>
            <w:r>
              <w:rPr>
                <w:rFonts w:hint="eastAsia" w:hAnsi="宋体"/>
                <w:sz w:val="24"/>
                <w:szCs w:val="24"/>
              </w:rPr>
              <w:t>本次评价委托山西宏境检测有限公司对厂界声环境质量现状进行了监测，监测期间项目厂界昼间噪声值在</w:t>
            </w:r>
            <w:r>
              <w:rPr>
                <w:rFonts w:hAnsi="宋体"/>
                <w:sz w:val="24"/>
                <w:szCs w:val="24"/>
              </w:rPr>
              <w:t>5</w:t>
            </w:r>
            <w:r>
              <w:rPr>
                <w:rFonts w:hint="eastAsia" w:hAnsi="宋体"/>
                <w:sz w:val="24"/>
                <w:szCs w:val="24"/>
              </w:rPr>
              <w:t>6-58</w:t>
            </w:r>
            <w:r>
              <w:rPr>
                <w:rFonts w:hAnsi="宋体"/>
                <w:sz w:val="24"/>
                <w:szCs w:val="24"/>
              </w:rPr>
              <w:t>dB(A)</w:t>
            </w:r>
            <w:r>
              <w:rPr>
                <w:rFonts w:hint="eastAsia" w:hAnsi="宋体"/>
                <w:sz w:val="24"/>
                <w:szCs w:val="24"/>
              </w:rPr>
              <w:t>，夜间噪声值在</w:t>
            </w:r>
            <w:r>
              <w:rPr>
                <w:rFonts w:hAnsi="宋体"/>
                <w:sz w:val="24"/>
                <w:szCs w:val="24"/>
              </w:rPr>
              <w:t>4</w:t>
            </w:r>
            <w:r>
              <w:rPr>
                <w:rFonts w:hint="eastAsia" w:hAnsi="宋体"/>
                <w:sz w:val="24"/>
                <w:szCs w:val="24"/>
              </w:rPr>
              <w:t>6</w:t>
            </w:r>
            <w:r>
              <w:rPr>
                <w:rFonts w:hAnsi="宋体"/>
                <w:sz w:val="24"/>
                <w:szCs w:val="24"/>
              </w:rPr>
              <w:t>-4</w:t>
            </w:r>
            <w:r>
              <w:rPr>
                <w:rFonts w:hint="eastAsia" w:hAnsi="宋体"/>
                <w:sz w:val="24"/>
                <w:szCs w:val="24"/>
              </w:rPr>
              <w:t>8</w:t>
            </w:r>
            <w:r>
              <w:rPr>
                <w:rFonts w:hAnsi="宋体"/>
                <w:sz w:val="24"/>
                <w:szCs w:val="24"/>
              </w:rPr>
              <w:t>dB(A)</w:t>
            </w:r>
            <w:r>
              <w:rPr>
                <w:rFonts w:hint="eastAsia" w:hAnsi="宋体"/>
                <w:sz w:val="24"/>
                <w:szCs w:val="24"/>
              </w:rPr>
              <w:t>，均满足</w:t>
            </w:r>
            <w:r>
              <w:rPr>
                <w:rFonts w:hAnsi="宋体"/>
                <w:sz w:val="24"/>
                <w:szCs w:val="24"/>
              </w:rPr>
              <w:t>《</w:t>
            </w:r>
            <w:r>
              <w:rPr>
                <w:rFonts w:hint="eastAsia" w:hAnsi="宋体"/>
                <w:sz w:val="24"/>
                <w:szCs w:val="24"/>
              </w:rPr>
              <w:t>工业企业厂界环境噪声排放标准</w:t>
            </w:r>
            <w:r>
              <w:rPr>
                <w:rFonts w:hAnsi="宋体"/>
                <w:sz w:val="24"/>
                <w:szCs w:val="24"/>
              </w:rPr>
              <w:t>》（GB12348-2008）2类标准</w:t>
            </w:r>
            <w:r>
              <w:rPr>
                <w:rFonts w:hint="eastAsia" w:hAnsi="宋体"/>
                <w:sz w:val="24"/>
                <w:szCs w:val="24"/>
              </w:rPr>
              <w:t>，</w:t>
            </w:r>
            <w:r>
              <w:rPr>
                <w:rFonts w:hAnsi="宋体"/>
                <w:sz w:val="24"/>
                <w:szCs w:val="24"/>
              </w:rPr>
              <w:t>说明区域声环境质量良好。</w:t>
            </w:r>
          </w:p>
          <w:p>
            <w:pPr>
              <w:pStyle w:val="148"/>
              <w:spacing w:before="0" w:after="0"/>
              <w:ind w:firstLine="0" w:firstLineChars="0"/>
              <w:rPr>
                <w:rFonts w:ascii="Times New Roman" w:hAnsi="宋体" w:eastAsia="宋体" w:cs="Times New Roman"/>
                <w:b/>
                <w:sz w:val="24"/>
                <w:szCs w:val="24"/>
              </w:rPr>
            </w:pPr>
            <w:r>
              <w:rPr>
                <w:rFonts w:hint="eastAsia" w:ascii="Times New Roman" w:hAnsi="宋体" w:eastAsia="宋体" w:cs="Times New Roman"/>
                <w:b/>
                <w:sz w:val="24"/>
                <w:szCs w:val="24"/>
              </w:rPr>
              <w:t>3、</w:t>
            </w:r>
            <w:r>
              <w:rPr>
                <w:rFonts w:hint="eastAsia" w:ascii="Times New Roman" w:hAnsi="Times New Roman" w:eastAsia="宋体" w:cs="Times New Roman"/>
                <w:b/>
                <w:sz w:val="24"/>
                <w:szCs w:val="24"/>
              </w:rPr>
              <w:t>污染物排放情况及总量控制</w:t>
            </w:r>
          </w:p>
          <w:p>
            <w:pPr>
              <w:ind w:firstLine="482"/>
              <w:rPr>
                <w:b/>
              </w:rPr>
            </w:pPr>
            <w:r>
              <w:rPr>
                <w:rFonts w:hint="eastAsia"/>
                <w:b/>
              </w:rPr>
              <w:t>（1）</w:t>
            </w:r>
            <w:r>
              <w:rPr>
                <w:rFonts w:hint="eastAsia" w:ascii="宋体" w:hAnsi="宋体" w:cs="宋体"/>
                <w:b/>
                <w:kern w:val="0"/>
              </w:rPr>
              <w:t>污染物排放情况</w:t>
            </w:r>
          </w:p>
          <w:p>
            <w:pPr>
              <w:ind w:firstLine="482"/>
            </w:pPr>
            <w:r>
              <w:rPr>
                <w:rFonts w:hint="eastAsia"/>
                <w:b/>
              </w:rPr>
              <w:t>①废气：</w:t>
            </w:r>
            <w:r>
              <w:rPr>
                <w:rFonts w:hint="eastAsia"/>
              </w:rPr>
              <w:t>本项目大气污染物排放情况见下表。</w:t>
            </w:r>
          </w:p>
          <w:p>
            <w:pPr>
              <w:ind w:firstLine="0" w:firstLineChars="0"/>
              <w:jc w:val="center"/>
              <w:rPr>
                <w:rFonts w:ascii="黑体" w:hAnsi="黑体" w:eastAsia="黑体"/>
              </w:rPr>
            </w:pPr>
            <w:r>
              <w:rPr>
                <w:rFonts w:hint="eastAsia" w:ascii="黑体" w:hAnsi="黑体" w:eastAsia="黑体"/>
              </w:rPr>
              <w:t>表</w:t>
            </w:r>
            <w:r>
              <w:rPr>
                <w:rFonts w:ascii="黑体" w:hAnsi="黑体" w:eastAsia="黑体"/>
              </w:rPr>
              <w:t xml:space="preserve">57  </w:t>
            </w:r>
            <w:r>
              <w:rPr>
                <w:rFonts w:hint="eastAsia" w:ascii="黑体" w:hAnsi="黑体" w:eastAsia="黑体"/>
              </w:rPr>
              <w:t>本项目大气污染物产排量汇总情况表</w:t>
            </w:r>
          </w:p>
          <w:tbl>
            <w:tblPr>
              <w:tblStyle w:val="7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3"/>
              <w:gridCol w:w="738"/>
              <w:gridCol w:w="881"/>
              <w:gridCol w:w="2503"/>
              <w:gridCol w:w="738"/>
              <w:gridCol w:w="884"/>
              <w:gridCol w:w="736"/>
              <w:gridCol w:w="11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13"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污染源</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产生量</w:t>
                  </w:r>
                </w:p>
                <w:p>
                  <w:pPr>
                    <w:pStyle w:val="144"/>
                    <w:spacing w:before="0" w:after="0" w:line="240" w:lineRule="auto"/>
                    <w:ind w:firstLine="0" w:firstLineChars="0"/>
                    <w:jc w:val="center"/>
                    <w:rPr>
                      <w:sz w:val="21"/>
                      <w:szCs w:val="21"/>
                    </w:rPr>
                  </w:pPr>
                  <w:r>
                    <w:rPr>
                      <w:sz w:val="21"/>
                      <w:szCs w:val="21"/>
                    </w:rPr>
                    <w:t>t/a</w:t>
                  </w:r>
                </w:p>
              </w:tc>
              <w:tc>
                <w:tcPr>
                  <w:tcW w:w="48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产生</w:t>
                  </w:r>
                </w:p>
                <w:p>
                  <w:pPr>
                    <w:pStyle w:val="144"/>
                    <w:spacing w:before="0" w:after="0" w:line="240" w:lineRule="auto"/>
                    <w:ind w:firstLine="0" w:firstLineChars="0"/>
                    <w:jc w:val="center"/>
                    <w:rPr>
                      <w:sz w:val="21"/>
                      <w:szCs w:val="21"/>
                    </w:rPr>
                  </w:pPr>
                  <w:r>
                    <w:rPr>
                      <w:rFonts w:hint="eastAsia"/>
                      <w:sz w:val="21"/>
                      <w:szCs w:val="21"/>
                    </w:rPr>
                    <w:t>浓度</w:t>
                  </w:r>
                  <w:r>
                    <w:rPr>
                      <w:sz w:val="21"/>
                      <w:szCs w:val="21"/>
                    </w:rPr>
                    <w:t>mg/m</w:t>
                  </w:r>
                  <w:r>
                    <w:rPr>
                      <w:sz w:val="21"/>
                      <w:szCs w:val="21"/>
                      <w:vertAlign w:val="superscript"/>
                    </w:rPr>
                    <w:t>3</w:t>
                  </w:r>
                </w:p>
              </w:tc>
              <w:tc>
                <w:tcPr>
                  <w:tcW w:w="1381"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处理方式</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排放量</w:t>
                  </w:r>
                </w:p>
                <w:p>
                  <w:pPr>
                    <w:pStyle w:val="144"/>
                    <w:spacing w:before="0" w:after="0" w:line="240" w:lineRule="auto"/>
                    <w:ind w:firstLine="0" w:firstLineChars="0"/>
                    <w:jc w:val="center"/>
                    <w:rPr>
                      <w:sz w:val="21"/>
                      <w:szCs w:val="21"/>
                    </w:rPr>
                  </w:pPr>
                  <w:r>
                    <w:rPr>
                      <w:sz w:val="21"/>
                      <w:szCs w:val="21"/>
                    </w:rPr>
                    <w:t>t/a</w:t>
                  </w:r>
                </w:p>
              </w:tc>
              <w:tc>
                <w:tcPr>
                  <w:tcW w:w="488"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排放</w:t>
                  </w:r>
                </w:p>
                <w:p>
                  <w:pPr>
                    <w:pStyle w:val="144"/>
                    <w:spacing w:before="0" w:after="0" w:line="240" w:lineRule="auto"/>
                    <w:ind w:firstLine="0" w:firstLineChars="0"/>
                    <w:jc w:val="center"/>
                    <w:rPr>
                      <w:sz w:val="21"/>
                      <w:szCs w:val="21"/>
                    </w:rPr>
                  </w:pPr>
                  <w:r>
                    <w:rPr>
                      <w:rFonts w:hint="eastAsia"/>
                      <w:sz w:val="21"/>
                      <w:szCs w:val="21"/>
                    </w:rPr>
                    <w:t>浓度</w:t>
                  </w:r>
                  <w:r>
                    <w:rPr>
                      <w:sz w:val="21"/>
                      <w:szCs w:val="21"/>
                    </w:rPr>
                    <w:t>mg/m</w:t>
                  </w:r>
                  <w:r>
                    <w:rPr>
                      <w:sz w:val="21"/>
                      <w:szCs w:val="21"/>
                      <w:vertAlign w:val="superscript"/>
                    </w:rPr>
                    <w:t>3</w:t>
                  </w:r>
                </w:p>
              </w:tc>
              <w:tc>
                <w:tcPr>
                  <w:tcW w:w="40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排放强度</w:t>
                  </w:r>
                  <w:r>
                    <w:rPr>
                      <w:sz w:val="21"/>
                      <w:szCs w:val="21"/>
                    </w:rPr>
                    <w:t>kg/h</w:t>
                  </w:r>
                </w:p>
              </w:tc>
              <w:tc>
                <w:tcPr>
                  <w:tcW w:w="612"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排放形式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运输扬尘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2</w:t>
                  </w:r>
                  <w:r>
                    <w:rPr>
                      <w:sz w:val="21"/>
                      <w:szCs w:val="21"/>
                    </w:rPr>
                    <w:t>7.55</w:t>
                  </w:r>
                </w:p>
              </w:tc>
              <w:tc>
                <w:tcPr>
                  <w:tcW w:w="48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w:t>
                  </w:r>
                </w:p>
              </w:tc>
              <w:tc>
                <w:tcPr>
                  <w:tcW w:w="1381"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道路硬化、汽车冲洗、洒水抑尘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0.28</w:t>
                  </w:r>
                </w:p>
              </w:tc>
              <w:tc>
                <w:tcPr>
                  <w:tcW w:w="488"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w:t>
                  </w:r>
                </w:p>
              </w:tc>
              <w:tc>
                <w:tcPr>
                  <w:tcW w:w="40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w:t>
                  </w:r>
                </w:p>
              </w:tc>
              <w:tc>
                <w:tcPr>
                  <w:tcW w:w="612"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堆场扬尘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2</w:t>
                  </w:r>
                  <w:r>
                    <w:rPr>
                      <w:sz w:val="21"/>
                      <w:szCs w:val="21"/>
                    </w:rPr>
                    <w:t>2.3</w:t>
                  </w:r>
                </w:p>
              </w:tc>
              <w:tc>
                <w:tcPr>
                  <w:tcW w:w="48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w:t>
                  </w:r>
                </w:p>
              </w:tc>
              <w:tc>
                <w:tcPr>
                  <w:tcW w:w="1381"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全封闭原料库，喷雾抑尘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0</w:t>
                  </w:r>
                </w:p>
              </w:tc>
              <w:tc>
                <w:tcPr>
                  <w:tcW w:w="488"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w:t>
                  </w:r>
                </w:p>
              </w:tc>
              <w:tc>
                <w:tcPr>
                  <w:tcW w:w="40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w:t>
                  </w:r>
                </w:p>
              </w:tc>
              <w:tc>
                <w:tcPr>
                  <w:tcW w:w="612"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装卸扬尘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4</w:t>
                  </w:r>
                  <w:r>
                    <w:rPr>
                      <w:sz w:val="21"/>
                      <w:szCs w:val="21"/>
                    </w:rPr>
                    <w:t>1.5</w:t>
                  </w:r>
                </w:p>
              </w:tc>
              <w:tc>
                <w:tcPr>
                  <w:tcW w:w="48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w:t>
                  </w:r>
                </w:p>
              </w:tc>
              <w:tc>
                <w:tcPr>
                  <w:tcW w:w="1381"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全封闭原料库，喷雾抑尘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0.42</w:t>
                  </w:r>
                </w:p>
              </w:tc>
              <w:tc>
                <w:tcPr>
                  <w:tcW w:w="488"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w:t>
                  </w:r>
                </w:p>
              </w:tc>
              <w:tc>
                <w:tcPr>
                  <w:tcW w:w="40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w:t>
                  </w:r>
                </w:p>
              </w:tc>
              <w:tc>
                <w:tcPr>
                  <w:tcW w:w="612"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建筑骨料生产线粗破、反击破系统粉尘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144</w:t>
                  </w:r>
                </w:p>
              </w:tc>
              <w:tc>
                <w:tcPr>
                  <w:tcW w:w="48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2000</w:t>
                  </w:r>
                </w:p>
              </w:tc>
              <w:tc>
                <w:tcPr>
                  <w:tcW w:w="1381"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bCs/>
                      <w:sz w:val="21"/>
                      <w:szCs w:val="21"/>
                    </w:rPr>
                    <w:t>入料口、颚式破碎机、反击式破碎机、直线筛、中间品料仓及转载点均设置集尘罩，粉尘收集后由1套脉冲布袋除尘器过滤处理后由1根1</w:t>
                  </w:r>
                  <w:r>
                    <w:rPr>
                      <w:bCs/>
                      <w:sz w:val="21"/>
                      <w:szCs w:val="21"/>
                    </w:rPr>
                    <w:t>5</w:t>
                  </w:r>
                  <w:r>
                    <w:rPr>
                      <w:rFonts w:hint="eastAsia"/>
                      <w:bCs/>
                      <w:sz w:val="21"/>
                      <w:szCs w:val="21"/>
                    </w:rPr>
                    <w:t>m高排气筒外排</w:t>
                  </w:r>
                </w:p>
              </w:tc>
              <w:tc>
                <w:tcPr>
                  <w:tcW w:w="407" w:type="pct"/>
                  <w:tcBorders>
                    <w:top w:val="single" w:color="auto" w:sz="4" w:space="0"/>
                    <w:left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0.72</w:t>
                  </w:r>
                </w:p>
              </w:tc>
              <w:tc>
                <w:tcPr>
                  <w:tcW w:w="488" w:type="pct"/>
                  <w:tcBorders>
                    <w:top w:val="single" w:color="auto" w:sz="4" w:space="0"/>
                    <w:left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10</w:t>
                  </w:r>
                </w:p>
              </w:tc>
              <w:tc>
                <w:tcPr>
                  <w:tcW w:w="406" w:type="pct"/>
                  <w:tcBorders>
                    <w:top w:val="single" w:color="auto" w:sz="4" w:space="0"/>
                    <w:left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0.3</w:t>
                  </w:r>
                </w:p>
              </w:tc>
              <w:tc>
                <w:tcPr>
                  <w:tcW w:w="612" w:type="pct"/>
                  <w:tcBorders>
                    <w:top w:val="single" w:color="auto" w:sz="4" w:space="0"/>
                    <w:left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w:t>
                  </w:r>
                  <w:r>
                    <w:rPr>
                      <w:rFonts w:hint="eastAsia"/>
                      <w:sz w:val="21"/>
                      <w:szCs w:val="21"/>
                    </w:rPr>
                    <w:t>根</w:t>
                  </w:r>
                  <w:r>
                    <w:rPr>
                      <w:sz w:val="21"/>
                      <w:szCs w:val="21"/>
                    </w:rPr>
                    <w:t>15m</w:t>
                  </w:r>
                  <w:r>
                    <w:rPr>
                      <w:rFonts w:hint="eastAsia"/>
                      <w:sz w:val="21"/>
                      <w:szCs w:val="21"/>
                    </w:rPr>
                    <w:t>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建筑骨料生产线冲击破系统产生的粉尘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144</w:t>
                  </w:r>
                </w:p>
              </w:tc>
              <w:tc>
                <w:tcPr>
                  <w:tcW w:w="48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2000</w:t>
                  </w:r>
                </w:p>
              </w:tc>
              <w:tc>
                <w:tcPr>
                  <w:tcW w:w="1381"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上料仓、立式冲击破、预分筛、成品筛、成品仓及转载点均设置集尘罩，粉尘收集后由1套脉冲布袋除尘器过滤处理后由1根15m高排气筒外排</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0.72</w:t>
                  </w:r>
                </w:p>
              </w:tc>
              <w:tc>
                <w:tcPr>
                  <w:tcW w:w="488"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10</w:t>
                  </w:r>
                </w:p>
              </w:tc>
              <w:tc>
                <w:tcPr>
                  <w:tcW w:w="40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0.3</w:t>
                  </w:r>
                </w:p>
              </w:tc>
              <w:tc>
                <w:tcPr>
                  <w:tcW w:w="612"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w:t>
                  </w:r>
                  <w:r>
                    <w:rPr>
                      <w:rFonts w:hint="eastAsia"/>
                      <w:sz w:val="21"/>
                      <w:szCs w:val="21"/>
                    </w:rPr>
                    <w:t>根</w:t>
                  </w:r>
                  <w:r>
                    <w:rPr>
                      <w:sz w:val="21"/>
                      <w:szCs w:val="21"/>
                    </w:rPr>
                    <w:t>15m</w:t>
                  </w:r>
                  <w:r>
                    <w:rPr>
                      <w:rFonts w:hint="eastAsia"/>
                      <w:sz w:val="21"/>
                      <w:szCs w:val="21"/>
                    </w:rPr>
                    <w:t>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微粉生产线鄂破系统产生的粉尘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144</w:t>
                  </w:r>
                </w:p>
              </w:tc>
              <w:tc>
                <w:tcPr>
                  <w:tcW w:w="48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2000</w:t>
                  </w:r>
                </w:p>
              </w:tc>
              <w:tc>
                <w:tcPr>
                  <w:tcW w:w="1381"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上料仓、颚式破碎机、直线筛、中间品料仓及转载点均设置集尘罩，粉尘收集后由1套脉冲布袋除尘器过滤处理后由1根15m高排气筒外排</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0.72</w:t>
                  </w:r>
                </w:p>
              </w:tc>
              <w:tc>
                <w:tcPr>
                  <w:tcW w:w="488"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10</w:t>
                  </w:r>
                </w:p>
              </w:tc>
              <w:tc>
                <w:tcPr>
                  <w:tcW w:w="40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0.3</w:t>
                  </w:r>
                </w:p>
              </w:tc>
              <w:tc>
                <w:tcPr>
                  <w:tcW w:w="612"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w:t>
                  </w:r>
                  <w:r>
                    <w:rPr>
                      <w:rFonts w:hint="eastAsia"/>
                      <w:sz w:val="21"/>
                      <w:szCs w:val="21"/>
                    </w:rPr>
                    <w:t>根</w:t>
                  </w:r>
                  <w:r>
                    <w:rPr>
                      <w:sz w:val="21"/>
                      <w:szCs w:val="21"/>
                    </w:rPr>
                    <w:t>15m</w:t>
                  </w:r>
                  <w:r>
                    <w:rPr>
                      <w:rFonts w:hint="eastAsia"/>
                      <w:sz w:val="21"/>
                      <w:szCs w:val="21"/>
                    </w:rPr>
                    <w:t>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3"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sz w:val="21"/>
                      <w:szCs w:val="21"/>
                    </w:rPr>
                    <w:t>微粉生产线超细破碎机系统产生的粉尘</w:t>
                  </w:r>
                </w:p>
              </w:tc>
              <w:tc>
                <w:tcPr>
                  <w:tcW w:w="407"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144</w:t>
                  </w:r>
                </w:p>
              </w:tc>
              <w:tc>
                <w:tcPr>
                  <w:tcW w:w="486"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2000</w:t>
                  </w:r>
                </w:p>
              </w:tc>
              <w:tc>
                <w:tcPr>
                  <w:tcW w:w="1381" w:type="pct"/>
                  <w:tcBorders>
                    <w:top w:val="single" w:color="auto" w:sz="4" w:space="0"/>
                    <w:left w:val="single" w:color="auto" w:sz="4" w:space="0"/>
                    <w:bottom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rFonts w:hint="eastAsia"/>
                      <w:bCs/>
                      <w:sz w:val="21"/>
                      <w:szCs w:val="21"/>
                    </w:rPr>
                    <w:t>超细破碎系统上料仓、超细破碎机、振动筛、成品料仓及转载点均设置集尘罩，粉尘收集后由1套脉冲布袋除尘器过滤处理后由1根1</w:t>
                  </w:r>
                  <w:r>
                    <w:rPr>
                      <w:bCs/>
                      <w:sz w:val="21"/>
                      <w:szCs w:val="21"/>
                    </w:rPr>
                    <w:t>5</w:t>
                  </w:r>
                  <w:r>
                    <w:rPr>
                      <w:rFonts w:hint="eastAsia"/>
                      <w:bCs/>
                      <w:sz w:val="21"/>
                      <w:szCs w:val="21"/>
                    </w:rPr>
                    <w:t>m高排气筒外排</w:t>
                  </w:r>
                </w:p>
              </w:tc>
              <w:tc>
                <w:tcPr>
                  <w:tcW w:w="407" w:type="pct"/>
                  <w:tcBorders>
                    <w:top w:val="single" w:color="auto" w:sz="4" w:space="0"/>
                    <w:left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0.72</w:t>
                  </w:r>
                </w:p>
              </w:tc>
              <w:tc>
                <w:tcPr>
                  <w:tcW w:w="488" w:type="pct"/>
                  <w:tcBorders>
                    <w:top w:val="single" w:color="auto" w:sz="4" w:space="0"/>
                    <w:left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10</w:t>
                  </w:r>
                </w:p>
              </w:tc>
              <w:tc>
                <w:tcPr>
                  <w:tcW w:w="406" w:type="pct"/>
                  <w:tcBorders>
                    <w:top w:val="single" w:color="auto" w:sz="4" w:space="0"/>
                    <w:left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0.3</w:t>
                  </w:r>
                </w:p>
              </w:tc>
              <w:tc>
                <w:tcPr>
                  <w:tcW w:w="612" w:type="pct"/>
                  <w:tcBorders>
                    <w:top w:val="single" w:color="auto" w:sz="4" w:space="0"/>
                    <w:left w:val="single" w:color="auto" w:sz="4" w:space="0"/>
                    <w:right w:val="single" w:color="auto" w:sz="4" w:space="0"/>
                  </w:tcBorders>
                  <w:vAlign w:val="center"/>
                </w:tcPr>
                <w:p>
                  <w:pPr>
                    <w:pStyle w:val="144"/>
                    <w:spacing w:before="0" w:after="0" w:line="240" w:lineRule="auto"/>
                    <w:ind w:firstLine="0" w:firstLineChars="0"/>
                    <w:jc w:val="center"/>
                    <w:rPr>
                      <w:sz w:val="21"/>
                      <w:szCs w:val="21"/>
                    </w:rPr>
                  </w:pPr>
                  <w:r>
                    <w:rPr>
                      <w:sz w:val="21"/>
                      <w:szCs w:val="21"/>
                    </w:rPr>
                    <w:t>1</w:t>
                  </w:r>
                  <w:r>
                    <w:rPr>
                      <w:rFonts w:hint="eastAsia"/>
                      <w:sz w:val="21"/>
                      <w:szCs w:val="21"/>
                    </w:rPr>
                    <w:t>根</w:t>
                  </w:r>
                  <w:r>
                    <w:rPr>
                      <w:sz w:val="21"/>
                      <w:szCs w:val="21"/>
                    </w:rPr>
                    <w:t>15m</w:t>
                  </w:r>
                  <w:r>
                    <w:rPr>
                      <w:rFonts w:hint="eastAsia"/>
                      <w:sz w:val="21"/>
                      <w:szCs w:val="21"/>
                    </w:rPr>
                    <w:t>排气筒</w:t>
                  </w:r>
                </w:p>
              </w:tc>
            </w:tr>
          </w:tbl>
          <w:p>
            <w:pPr>
              <w:ind w:firstLine="482"/>
            </w:pPr>
            <w:r>
              <w:rPr>
                <w:rFonts w:hint="eastAsia"/>
                <w:b/>
              </w:rPr>
              <w:t>②废水：</w:t>
            </w:r>
            <w:r>
              <w:rPr>
                <w:rFonts w:hint="eastAsia"/>
              </w:rPr>
              <w:t>本项目水污染物排放情况见下表。</w:t>
            </w:r>
          </w:p>
          <w:p>
            <w:pPr>
              <w:ind w:firstLine="0" w:firstLineChars="0"/>
              <w:jc w:val="center"/>
              <w:rPr>
                <w:rFonts w:ascii="黑体" w:hAnsi="黑体" w:eastAsia="黑体"/>
              </w:rPr>
            </w:pPr>
            <w:r>
              <w:rPr>
                <w:rFonts w:hint="eastAsia" w:ascii="黑体" w:hAnsi="黑体" w:eastAsia="黑体"/>
              </w:rPr>
              <w:t>表</w:t>
            </w:r>
            <w:r>
              <w:rPr>
                <w:rFonts w:ascii="黑体" w:hAnsi="黑体" w:eastAsia="黑体"/>
              </w:rPr>
              <w:t xml:space="preserve">58  </w:t>
            </w:r>
            <w:r>
              <w:rPr>
                <w:rFonts w:hint="eastAsia" w:ascii="黑体" w:hAnsi="黑体" w:eastAsia="黑体"/>
              </w:rPr>
              <w:t>本项目水污染物产排量汇总情况表</w:t>
            </w:r>
          </w:p>
          <w:tbl>
            <w:tblPr>
              <w:tblStyle w:val="7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01"/>
              <w:gridCol w:w="1180"/>
              <w:gridCol w:w="4332"/>
              <w:gridCol w:w="10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80" w:type="pct"/>
                  <w:vAlign w:val="center"/>
                </w:tcPr>
                <w:p>
                  <w:pPr>
                    <w:autoSpaceDE w:val="0"/>
                    <w:autoSpaceDN w:val="0"/>
                    <w:adjustRightInd w:val="0"/>
                    <w:spacing w:line="240" w:lineRule="auto"/>
                    <w:ind w:firstLine="0" w:firstLineChars="0"/>
                    <w:jc w:val="center"/>
                    <w:rPr>
                      <w:sz w:val="21"/>
                      <w:szCs w:val="21"/>
                    </w:rPr>
                  </w:pPr>
                  <w:r>
                    <w:rPr>
                      <w:rFonts w:hAnsi="宋体"/>
                      <w:sz w:val="21"/>
                      <w:szCs w:val="21"/>
                    </w:rPr>
                    <w:t>项目</w:t>
                  </w:r>
                </w:p>
              </w:tc>
              <w:tc>
                <w:tcPr>
                  <w:tcW w:w="651" w:type="pct"/>
                  <w:vAlign w:val="center"/>
                </w:tcPr>
                <w:p>
                  <w:pPr>
                    <w:autoSpaceDE w:val="0"/>
                    <w:autoSpaceDN w:val="0"/>
                    <w:adjustRightInd w:val="0"/>
                    <w:spacing w:line="240" w:lineRule="auto"/>
                    <w:ind w:firstLine="0" w:firstLineChars="0"/>
                    <w:jc w:val="center"/>
                    <w:rPr>
                      <w:sz w:val="21"/>
                      <w:szCs w:val="21"/>
                    </w:rPr>
                  </w:pPr>
                  <w:r>
                    <w:rPr>
                      <w:rFonts w:hAnsi="宋体"/>
                      <w:sz w:val="21"/>
                      <w:szCs w:val="21"/>
                    </w:rPr>
                    <w:t>产生量</w:t>
                  </w:r>
                  <w:r>
                    <w:rPr>
                      <w:rFonts w:hint="eastAsia" w:hAnsi="宋体"/>
                      <w:sz w:val="21"/>
                      <w:szCs w:val="21"/>
                    </w:rPr>
                    <w:t>m</w:t>
                  </w:r>
                  <w:r>
                    <w:rPr>
                      <w:rFonts w:hAnsi="宋体"/>
                      <w:sz w:val="21"/>
                      <w:szCs w:val="21"/>
                      <w:vertAlign w:val="superscript"/>
                    </w:rPr>
                    <w:t>3</w:t>
                  </w:r>
                  <w:r>
                    <w:rPr>
                      <w:rFonts w:hAnsi="宋体"/>
                      <w:sz w:val="21"/>
                      <w:szCs w:val="21"/>
                    </w:rPr>
                    <w:t>/d</w:t>
                  </w:r>
                </w:p>
              </w:tc>
              <w:tc>
                <w:tcPr>
                  <w:tcW w:w="2390" w:type="pct"/>
                  <w:vAlign w:val="center"/>
                </w:tcPr>
                <w:p>
                  <w:pPr>
                    <w:autoSpaceDE w:val="0"/>
                    <w:autoSpaceDN w:val="0"/>
                    <w:adjustRightInd w:val="0"/>
                    <w:spacing w:line="240" w:lineRule="auto"/>
                    <w:ind w:firstLine="0" w:firstLineChars="0"/>
                    <w:jc w:val="center"/>
                    <w:rPr>
                      <w:sz w:val="21"/>
                      <w:szCs w:val="21"/>
                    </w:rPr>
                  </w:pPr>
                  <w:r>
                    <w:rPr>
                      <w:rFonts w:hAnsi="宋体"/>
                      <w:sz w:val="21"/>
                      <w:szCs w:val="21"/>
                    </w:rPr>
                    <w:t>处理方式</w:t>
                  </w:r>
                </w:p>
              </w:tc>
              <w:tc>
                <w:tcPr>
                  <w:tcW w:w="579" w:type="pct"/>
                  <w:vAlign w:val="center"/>
                </w:tcPr>
                <w:p>
                  <w:pPr>
                    <w:autoSpaceDE w:val="0"/>
                    <w:autoSpaceDN w:val="0"/>
                    <w:adjustRightInd w:val="0"/>
                    <w:spacing w:line="240" w:lineRule="auto"/>
                    <w:ind w:firstLine="0" w:firstLineChars="0"/>
                    <w:jc w:val="center"/>
                    <w:rPr>
                      <w:sz w:val="21"/>
                      <w:szCs w:val="21"/>
                    </w:rPr>
                  </w:pPr>
                  <w:r>
                    <w:rPr>
                      <w:rFonts w:hAnsi="宋体"/>
                      <w:sz w:val="21"/>
                      <w:szCs w:val="21"/>
                    </w:rPr>
                    <w:t>排放量</w:t>
                  </w:r>
                  <w:r>
                    <w:rPr>
                      <w:rFonts w:hint="eastAsia" w:hAnsi="宋体"/>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380" w:type="pct"/>
                  <w:vAlign w:val="center"/>
                </w:tcPr>
                <w:p>
                  <w:pPr>
                    <w:autoSpaceDE w:val="0"/>
                    <w:autoSpaceDN w:val="0"/>
                    <w:adjustRightInd w:val="0"/>
                    <w:spacing w:line="240" w:lineRule="auto"/>
                    <w:ind w:firstLine="0" w:firstLineChars="0"/>
                    <w:jc w:val="center"/>
                    <w:rPr>
                      <w:sz w:val="21"/>
                      <w:szCs w:val="21"/>
                    </w:rPr>
                  </w:pPr>
                  <w:r>
                    <w:rPr>
                      <w:rFonts w:hint="eastAsia"/>
                      <w:sz w:val="21"/>
                      <w:szCs w:val="21"/>
                    </w:rPr>
                    <w:t>生活污水</w:t>
                  </w:r>
                </w:p>
              </w:tc>
              <w:tc>
                <w:tcPr>
                  <w:tcW w:w="651" w:type="pct"/>
                  <w:vAlign w:val="center"/>
                </w:tcPr>
                <w:p>
                  <w:pPr>
                    <w:autoSpaceDE w:val="0"/>
                    <w:autoSpaceDN w:val="0"/>
                    <w:adjustRightInd w:val="0"/>
                    <w:spacing w:line="240" w:lineRule="auto"/>
                    <w:ind w:firstLine="0" w:firstLineChars="0"/>
                    <w:jc w:val="center"/>
                    <w:rPr>
                      <w:sz w:val="21"/>
                      <w:szCs w:val="21"/>
                    </w:rPr>
                  </w:pPr>
                  <w:r>
                    <w:rPr>
                      <w:rFonts w:hint="eastAsia"/>
                      <w:sz w:val="21"/>
                      <w:szCs w:val="21"/>
                    </w:rPr>
                    <w:t>0</w:t>
                  </w:r>
                  <w:r>
                    <w:rPr>
                      <w:sz w:val="21"/>
                      <w:szCs w:val="21"/>
                    </w:rPr>
                    <w:t>.48</w:t>
                  </w:r>
                </w:p>
              </w:tc>
              <w:tc>
                <w:tcPr>
                  <w:tcW w:w="2390" w:type="pct"/>
                  <w:vAlign w:val="center"/>
                </w:tcPr>
                <w:p>
                  <w:pPr>
                    <w:autoSpaceDE w:val="0"/>
                    <w:autoSpaceDN w:val="0"/>
                    <w:adjustRightInd w:val="0"/>
                    <w:spacing w:line="240" w:lineRule="auto"/>
                    <w:ind w:firstLine="0" w:firstLineChars="0"/>
                    <w:jc w:val="center"/>
                    <w:rPr>
                      <w:sz w:val="21"/>
                      <w:szCs w:val="21"/>
                    </w:rPr>
                  </w:pPr>
                  <w:r>
                    <w:rPr>
                      <w:rFonts w:hint="eastAsia"/>
                      <w:sz w:val="21"/>
                      <w:szCs w:val="21"/>
                    </w:rPr>
                    <w:t>少量盥洗废水</w:t>
                  </w:r>
                  <w:r>
                    <w:rPr>
                      <w:rFonts w:hint="eastAsia"/>
                      <w:bCs/>
                      <w:sz w:val="21"/>
                      <w:szCs w:val="21"/>
                    </w:rPr>
                    <w:t>（0.24</w:t>
                  </w:r>
                  <w:r>
                    <w:rPr>
                      <w:bCs/>
                      <w:sz w:val="21"/>
                      <w:szCs w:val="21"/>
                    </w:rPr>
                    <w:t xml:space="preserve"> m</w:t>
                  </w:r>
                  <w:r>
                    <w:rPr>
                      <w:bCs/>
                      <w:sz w:val="21"/>
                      <w:szCs w:val="21"/>
                      <w:vertAlign w:val="superscript"/>
                    </w:rPr>
                    <w:t>3</w:t>
                  </w:r>
                  <w:r>
                    <w:rPr>
                      <w:bCs/>
                      <w:sz w:val="21"/>
                      <w:szCs w:val="21"/>
                    </w:rPr>
                    <w:t>/d</w:t>
                  </w:r>
                  <w:r>
                    <w:rPr>
                      <w:rFonts w:hint="eastAsia"/>
                      <w:bCs/>
                      <w:sz w:val="21"/>
                      <w:szCs w:val="21"/>
                    </w:rPr>
                    <w:t>）</w:t>
                  </w:r>
                  <w:r>
                    <w:rPr>
                      <w:rFonts w:hint="eastAsia"/>
                      <w:sz w:val="21"/>
                      <w:szCs w:val="21"/>
                    </w:rPr>
                    <w:t>用于泼洒抑尘；</w:t>
                  </w:r>
                  <w:r>
                    <w:rPr>
                      <w:rFonts w:hint="eastAsia"/>
                      <w:bCs/>
                      <w:sz w:val="21"/>
                      <w:szCs w:val="21"/>
                    </w:rPr>
                    <w:t>食堂餐余物及食堂废水（0.24</w:t>
                  </w:r>
                  <w:r>
                    <w:rPr>
                      <w:bCs/>
                      <w:sz w:val="21"/>
                      <w:szCs w:val="21"/>
                    </w:rPr>
                    <w:t>m</w:t>
                  </w:r>
                  <w:r>
                    <w:rPr>
                      <w:bCs/>
                      <w:sz w:val="21"/>
                      <w:szCs w:val="21"/>
                      <w:vertAlign w:val="superscript"/>
                    </w:rPr>
                    <w:t>3</w:t>
                  </w:r>
                  <w:r>
                    <w:rPr>
                      <w:bCs/>
                      <w:sz w:val="21"/>
                      <w:szCs w:val="21"/>
                    </w:rPr>
                    <w:t>/d</w:t>
                  </w:r>
                  <w:r>
                    <w:rPr>
                      <w:rFonts w:hint="eastAsia"/>
                      <w:bCs/>
                      <w:sz w:val="21"/>
                      <w:szCs w:val="21"/>
                    </w:rPr>
                    <w:t>）</w:t>
                  </w:r>
                  <w:r>
                    <w:rPr>
                      <w:rFonts w:hint="eastAsia"/>
                      <w:sz w:val="21"/>
                      <w:szCs w:val="21"/>
                    </w:rPr>
                    <w:t>经收集后委托有相关资质的单位外运处置</w:t>
                  </w:r>
                </w:p>
              </w:tc>
              <w:tc>
                <w:tcPr>
                  <w:tcW w:w="579" w:type="pct"/>
                  <w:vAlign w:val="center"/>
                </w:tcPr>
                <w:p>
                  <w:pPr>
                    <w:autoSpaceDE w:val="0"/>
                    <w:autoSpaceDN w:val="0"/>
                    <w:adjustRightInd w:val="0"/>
                    <w:spacing w:line="240" w:lineRule="auto"/>
                    <w:ind w:firstLine="0" w:firstLineChars="0"/>
                    <w:jc w:val="center"/>
                    <w:rPr>
                      <w:sz w:val="21"/>
                      <w:szCs w:val="21"/>
                    </w:rPr>
                  </w:pPr>
                  <w:r>
                    <w:rPr>
                      <w:rFonts w:hint="eastAsia"/>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80" w:type="pct"/>
                  <w:vAlign w:val="center"/>
                </w:tcPr>
                <w:p>
                  <w:pPr>
                    <w:autoSpaceDE w:val="0"/>
                    <w:autoSpaceDN w:val="0"/>
                    <w:adjustRightInd w:val="0"/>
                    <w:spacing w:line="240" w:lineRule="auto"/>
                    <w:ind w:firstLine="0" w:firstLineChars="0"/>
                    <w:jc w:val="center"/>
                    <w:rPr>
                      <w:sz w:val="21"/>
                      <w:szCs w:val="21"/>
                    </w:rPr>
                  </w:pPr>
                  <w:r>
                    <w:rPr>
                      <w:rFonts w:hint="eastAsia"/>
                      <w:sz w:val="21"/>
                      <w:szCs w:val="21"/>
                    </w:rPr>
                    <w:t>洗车废水</w:t>
                  </w:r>
                </w:p>
              </w:tc>
              <w:tc>
                <w:tcPr>
                  <w:tcW w:w="651" w:type="pct"/>
                  <w:vAlign w:val="center"/>
                </w:tcPr>
                <w:p>
                  <w:pPr>
                    <w:autoSpaceDE w:val="0"/>
                    <w:autoSpaceDN w:val="0"/>
                    <w:adjustRightInd w:val="0"/>
                    <w:spacing w:line="240" w:lineRule="auto"/>
                    <w:ind w:firstLine="0" w:firstLineChars="0"/>
                    <w:jc w:val="center"/>
                    <w:rPr>
                      <w:sz w:val="21"/>
                      <w:szCs w:val="21"/>
                    </w:rPr>
                  </w:pPr>
                  <w:r>
                    <w:rPr>
                      <w:sz w:val="21"/>
                      <w:szCs w:val="21"/>
                    </w:rPr>
                    <w:t>8.56</w:t>
                  </w:r>
                </w:p>
              </w:tc>
              <w:tc>
                <w:tcPr>
                  <w:tcW w:w="2390" w:type="pct"/>
                  <w:vAlign w:val="center"/>
                </w:tcPr>
                <w:p>
                  <w:pPr>
                    <w:autoSpaceDE w:val="0"/>
                    <w:autoSpaceDN w:val="0"/>
                    <w:adjustRightInd w:val="0"/>
                    <w:spacing w:line="240" w:lineRule="auto"/>
                    <w:ind w:firstLine="0" w:firstLineChars="0"/>
                    <w:jc w:val="center"/>
                    <w:rPr>
                      <w:sz w:val="21"/>
                      <w:szCs w:val="21"/>
                    </w:rPr>
                  </w:pPr>
                  <w:r>
                    <w:rPr>
                      <w:rFonts w:hint="eastAsia"/>
                      <w:sz w:val="21"/>
                      <w:szCs w:val="21"/>
                    </w:rPr>
                    <w:t>洗车废水排至沉淀池沉淀处理后排入清水池循环使用，不外排</w:t>
                  </w:r>
                </w:p>
              </w:tc>
              <w:tc>
                <w:tcPr>
                  <w:tcW w:w="579" w:type="pct"/>
                  <w:vAlign w:val="center"/>
                </w:tcPr>
                <w:p>
                  <w:pPr>
                    <w:autoSpaceDE w:val="0"/>
                    <w:autoSpaceDN w:val="0"/>
                    <w:adjustRightInd w:val="0"/>
                    <w:spacing w:line="240" w:lineRule="auto"/>
                    <w:ind w:firstLine="0" w:firstLineChars="0"/>
                    <w:jc w:val="center"/>
                    <w:rPr>
                      <w:sz w:val="21"/>
                      <w:szCs w:val="21"/>
                    </w:rPr>
                  </w:pPr>
                  <w:r>
                    <w:rPr>
                      <w:sz w:val="21"/>
                      <w:szCs w:val="21"/>
                    </w:rPr>
                    <w:t>0</w:t>
                  </w:r>
                </w:p>
              </w:tc>
            </w:tr>
          </w:tbl>
          <w:p>
            <w:pPr>
              <w:pStyle w:val="172"/>
              <w:rPr>
                <w:rFonts w:ascii="宋体" w:hAnsi="宋体" w:eastAsia="宋体"/>
              </w:rPr>
            </w:pPr>
            <w:r>
              <w:rPr>
                <w:rFonts w:hint="eastAsia" w:ascii="Times New Roman" w:hAnsi="Times New Roman" w:eastAsia="宋体"/>
                <w:b/>
                <w:szCs w:val="20"/>
              </w:rPr>
              <w:t>③固废：</w:t>
            </w:r>
            <w:r>
              <w:rPr>
                <w:rFonts w:hint="eastAsia" w:ascii="宋体" w:hAnsi="宋体" w:eastAsia="宋体"/>
              </w:rPr>
              <w:t>本项目固废污染物排放情况见下表。</w:t>
            </w:r>
          </w:p>
          <w:p>
            <w:pPr>
              <w:autoSpaceDE w:val="0"/>
              <w:autoSpaceDN w:val="0"/>
              <w:adjustRightInd w:val="0"/>
              <w:ind w:firstLine="0" w:firstLineChars="0"/>
              <w:jc w:val="center"/>
              <w:rPr>
                <w:rFonts w:ascii="黑体" w:hAnsi="黑体" w:eastAsia="黑体"/>
              </w:rPr>
            </w:pPr>
            <w:r>
              <w:rPr>
                <w:rFonts w:hint="eastAsia" w:ascii="黑体" w:hAnsi="黑体" w:eastAsia="黑体"/>
              </w:rPr>
              <w:t>表</w:t>
            </w:r>
            <w:r>
              <w:rPr>
                <w:rFonts w:ascii="黑体" w:hAnsi="黑体" w:eastAsia="黑体"/>
              </w:rPr>
              <w:t>59</w:t>
            </w:r>
            <w:r>
              <w:rPr>
                <w:rFonts w:hint="eastAsia" w:ascii="黑体" w:hAnsi="黑体" w:eastAsia="黑体"/>
              </w:rPr>
              <w:t xml:space="preserve">  </w:t>
            </w:r>
            <w:r>
              <w:rPr>
                <w:rFonts w:ascii="黑体" w:hAnsi="黑体" w:eastAsia="黑体"/>
              </w:rPr>
              <w:t>本项目</w:t>
            </w:r>
            <w:r>
              <w:rPr>
                <w:rFonts w:hint="eastAsia" w:ascii="黑体" w:hAnsi="黑体" w:eastAsia="黑体"/>
              </w:rPr>
              <w:t>固体</w:t>
            </w:r>
            <w:r>
              <w:rPr>
                <w:rFonts w:ascii="黑体" w:hAnsi="黑体" w:eastAsia="黑体"/>
              </w:rPr>
              <w:t>污染物汇总表</w:t>
            </w:r>
          </w:p>
          <w:tbl>
            <w:tblPr>
              <w:tblStyle w:val="7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17"/>
              <w:gridCol w:w="1162"/>
              <w:gridCol w:w="3434"/>
              <w:gridCol w:w="12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75"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Ansi="宋体"/>
                      <w:sz w:val="21"/>
                      <w:szCs w:val="21"/>
                    </w:rPr>
                    <w:t>项目</w:t>
                  </w:r>
                </w:p>
              </w:tc>
              <w:tc>
                <w:tcPr>
                  <w:tcW w:w="641"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Ansi="宋体"/>
                      <w:sz w:val="21"/>
                      <w:szCs w:val="21"/>
                    </w:rPr>
                    <w:t>产生量</w:t>
                  </w:r>
                  <w:r>
                    <w:rPr>
                      <w:sz w:val="21"/>
                      <w:szCs w:val="21"/>
                    </w:rPr>
                    <w:t>t/a</w:t>
                  </w:r>
                </w:p>
              </w:tc>
              <w:tc>
                <w:tcPr>
                  <w:tcW w:w="1895"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Ansi="宋体"/>
                      <w:sz w:val="21"/>
                      <w:szCs w:val="21"/>
                    </w:rPr>
                    <w:t>处理方式</w:t>
                  </w:r>
                </w:p>
              </w:tc>
              <w:tc>
                <w:tcPr>
                  <w:tcW w:w="689"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Ansi="宋体"/>
                      <w:sz w:val="21"/>
                      <w:szCs w:val="21"/>
                    </w:rPr>
                    <w:t>排放量</w:t>
                  </w:r>
                  <w:r>
                    <w:rPr>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75"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rFonts w:hAnsi="宋体"/>
                      <w:sz w:val="21"/>
                      <w:szCs w:val="21"/>
                    </w:rPr>
                  </w:pPr>
                  <w:r>
                    <w:rPr>
                      <w:rFonts w:hint="eastAsia" w:hAnsi="宋体"/>
                      <w:sz w:val="21"/>
                      <w:szCs w:val="21"/>
                    </w:rPr>
                    <w:t>除铁器收集的废矿石</w:t>
                  </w:r>
                </w:p>
              </w:tc>
              <w:tc>
                <w:tcPr>
                  <w:tcW w:w="641"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int="eastAsia"/>
                      <w:sz w:val="21"/>
                      <w:szCs w:val="21"/>
                    </w:rPr>
                    <w:t>2</w:t>
                  </w:r>
                  <w:r>
                    <w:rPr>
                      <w:sz w:val="21"/>
                      <w:szCs w:val="21"/>
                    </w:rPr>
                    <w:t>000</w:t>
                  </w:r>
                </w:p>
              </w:tc>
              <w:tc>
                <w:tcPr>
                  <w:tcW w:w="1895"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sz w:val="21"/>
                      <w:szCs w:val="21"/>
                    </w:rPr>
                  </w:pPr>
                  <w:r>
                    <w:rPr>
                      <w:rFonts w:hint="eastAsia"/>
                      <w:sz w:val="21"/>
                      <w:szCs w:val="21"/>
                    </w:rPr>
                    <w:t>外售于铁厂综合利用</w:t>
                  </w:r>
                </w:p>
              </w:tc>
              <w:tc>
                <w:tcPr>
                  <w:tcW w:w="689"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int="eastAsia"/>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75"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rFonts w:hAnsi="宋体"/>
                      <w:sz w:val="21"/>
                      <w:szCs w:val="21"/>
                    </w:rPr>
                  </w:pPr>
                  <w:r>
                    <w:rPr>
                      <w:rFonts w:hint="eastAsia" w:hAnsi="宋体"/>
                      <w:sz w:val="21"/>
                      <w:szCs w:val="21"/>
                    </w:rPr>
                    <w:t>除尘器收集的集尘灰</w:t>
                  </w:r>
                </w:p>
              </w:tc>
              <w:tc>
                <w:tcPr>
                  <w:tcW w:w="641"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sz w:val="21"/>
                      <w:szCs w:val="21"/>
                    </w:rPr>
                    <w:t>573</w:t>
                  </w:r>
                </w:p>
              </w:tc>
              <w:tc>
                <w:tcPr>
                  <w:tcW w:w="1895"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sz w:val="21"/>
                      <w:szCs w:val="21"/>
                    </w:rPr>
                  </w:pPr>
                  <w:r>
                    <w:rPr>
                      <w:rFonts w:hint="eastAsia"/>
                      <w:sz w:val="21"/>
                      <w:szCs w:val="21"/>
                    </w:rPr>
                    <w:t>收集后可作为产品外售</w:t>
                  </w:r>
                </w:p>
              </w:tc>
              <w:tc>
                <w:tcPr>
                  <w:tcW w:w="689"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int="eastAsia"/>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75"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rFonts w:hAnsi="宋体"/>
                      <w:sz w:val="21"/>
                      <w:szCs w:val="21"/>
                    </w:rPr>
                  </w:pPr>
                  <w:r>
                    <w:rPr>
                      <w:rFonts w:hint="eastAsia" w:hAnsi="宋体"/>
                      <w:sz w:val="21"/>
                      <w:szCs w:val="21"/>
                    </w:rPr>
                    <w:t>设备维护产生的废矿物油（HW08废矿物油</w:t>
                  </w:r>
                  <w:r>
                    <w:rPr>
                      <w:rFonts w:hAnsi="宋体"/>
                      <w:sz w:val="21"/>
                      <w:szCs w:val="21"/>
                    </w:rPr>
                    <w:t>900-214-08</w:t>
                  </w:r>
                  <w:r>
                    <w:rPr>
                      <w:rFonts w:hint="eastAsia" w:hAnsi="宋体"/>
                      <w:sz w:val="21"/>
                      <w:szCs w:val="21"/>
                    </w:rPr>
                    <w:t>）</w:t>
                  </w:r>
                </w:p>
              </w:tc>
              <w:tc>
                <w:tcPr>
                  <w:tcW w:w="641"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int="eastAsia"/>
                      <w:sz w:val="21"/>
                      <w:szCs w:val="21"/>
                    </w:rPr>
                    <w:t>0</w:t>
                  </w:r>
                  <w:r>
                    <w:rPr>
                      <w:sz w:val="21"/>
                      <w:szCs w:val="21"/>
                    </w:rPr>
                    <w:t>.6</w:t>
                  </w:r>
                </w:p>
              </w:tc>
              <w:tc>
                <w:tcPr>
                  <w:tcW w:w="1895"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rFonts w:hAnsi="宋体"/>
                      <w:sz w:val="21"/>
                      <w:szCs w:val="21"/>
                    </w:rPr>
                  </w:pPr>
                  <w:r>
                    <w:rPr>
                      <w:rFonts w:hint="eastAsia" w:hAnsi="宋体"/>
                      <w:sz w:val="21"/>
                      <w:szCs w:val="21"/>
                    </w:rPr>
                    <w:t>废矿物油储存于特定容器中，暂存于危废库内，委托有相关处理资质的单位定期外协处置</w:t>
                  </w:r>
                </w:p>
              </w:tc>
              <w:tc>
                <w:tcPr>
                  <w:tcW w:w="689"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int="eastAsia"/>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75"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Ansi="宋体"/>
                      <w:sz w:val="21"/>
                      <w:szCs w:val="21"/>
                    </w:rPr>
                    <w:t>生活垃圾</w:t>
                  </w:r>
                </w:p>
              </w:tc>
              <w:tc>
                <w:tcPr>
                  <w:tcW w:w="641"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int="eastAsia"/>
                      <w:sz w:val="21"/>
                      <w:szCs w:val="21"/>
                    </w:rPr>
                    <w:t>3</w:t>
                  </w:r>
                </w:p>
              </w:tc>
              <w:tc>
                <w:tcPr>
                  <w:tcW w:w="1895"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rFonts w:hAnsi="宋体"/>
                      <w:sz w:val="21"/>
                      <w:szCs w:val="21"/>
                    </w:rPr>
                    <w:t>设置垃圾筒，垃圾经收集后运至市政指定的地点外协处理</w:t>
                  </w:r>
                </w:p>
              </w:tc>
              <w:tc>
                <w:tcPr>
                  <w:tcW w:w="689"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0" w:firstLineChars="0"/>
                    <w:jc w:val="center"/>
                    <w:rPr>
                      <w:sz w:val="21"/>
                      <w:szCs w:val="21"/>
                    </w:rPr>
                  </w:pPr>
                  <w:r>
                    <w:rPr>
                      <w:sz w:val="21"/>
                      <w:szCs w:val="21"/>
                    </w:rPr>
                    <w:t>0</w:t>
                  </w:r>
                </w:p>
              </w:tc>
            </w:tr>
          </w:tbl>
          <w:p>
            <w:pPr>
              <w:ind w:firstLine="482"/>
            </w:pPr>
            <w:r>
              <w:rPr>
                <w:rFonts w:hint="eastAsia" w:hAnsi="宋体"/>
                <w:b/>
              </w:rPr>
              <w:t>④噪声：</w:t>
            </w:r>
            <w:r>
              <w:rPr>
                <w:rFonts w:hint="eastAsia"/>
              </w:rPr>
              <w:t>本项目噪声排放情况见下表。</w:t>
            </w:r>
          </w:p>
          <w:p>
            <w:pPr>
              <w:pStyle w:val="144"/>
              <w:spacing w:before="0" w:after="0"/>
              <w:ind w:firstLine="0" w:firstLineChars="0"/>
              <w:jc w:val="center"/>
              <w:rPr>
                <w:rFonts w:ascii="黑体" w:hAnsi="黑体" w:eastAsia="黑体"/>
              </w:rPr>
            </w:pPr>
            <w:r>
              <w:rPr>
                <w:rFonts w:hint="eastAsia" w:ascii="黑体" w:hAnsi="黑体" w:eastAsia="黑体"/>
              </w:rPr>
              <w:t>表</w:t>
            </w:r>
            <w:r>
              <w:rPr>
                <w:rFonts w:ascii="黑体" w:hAnsi="黑体" w:eastAsia="黑体"/>
              </w:rPr>
              <w:t xml:space="preserve">60  </w:t>
            </w:r>
            <w:r>
              <w:rPr>
                <w:rFonts w:hint="eastAsia" w:ascii="黑体" w:hAnsi="黑体" w:eastAsia="黑体"/>
              </w:rPr>
              <w:t>本项目工程主要噪声源及防治措施一览表</w:t>
            </w:r>
          </w:p>
          <w:tbl>
            <w:tblPr>
              <w:tblStyle w:val="70"/>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28" w:type="dxa"/>
                <w:bottom w:w="0" w:type="dxa"/>
                <w:right w:w="28" w:type="dxa"/>
              </w:tblCellMar>
            </w:tblPr>
            <w:tblGrid>
              <w:gridCol w:w="588"/>
              <w:gridCol w:w="1688"/>
              <w:gridCol w:w="562"/>
              <w:gridCol w:w="986"/>
              <w:gridCol w:w="1266"/>
              <w:gridCol w:w="705"/>
              <w:gridCol w:w="2392"/>
              <w:gridCol w:w="87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325"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序号</w:t>
                  </w:r>
                </w:p>
              </w:tc>
              <w:tc>
                <w:tcPr>
                  <w:tcW w:w="932"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噪声设备名称</w:t>
                  </w:r>
                </w:p>
              </w:tc>
              <w:tc>
                <w:tcPr>
                  <w:tcW w:w="31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运行</w:t>
                  </w:r>
                </w:p>
                <w:p>
                  <w:pPr>
                    <w:spacing w:line="240" w:lineRule="auto"/>
                    <w:ind w:firstLine="0" w:firstLineChars="0"/>
                    <w:jc w:val="center"/>
                    <w:rPr>
                      <w:sz w:val="21"/>
                      <w:szCs w:val="21"/>
                    </w:rPr>
                  </w:pPr>
                  <w:r>
                    <w:rPr>
                      <w:rFonts w:hint="eastAsia"/>
                      <w:sz w:val="21"/>
                      <w:szCs w:val="21"/>
                    </w:rPr>
                    <w:t>台数</w:t>
                  </w:r>
                </w:p>
              </w:tc>
              <w:tc>
                <w:tcPr>
                  <w:tcW w:w="544"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源强声级</w:t>
                  </w:r>
                </w:p>
                <w:p>
                  <w:pPr>
                    <w:spacing w:line="240" w:lineRule="auto"/>
                    <w:ind w:firstLine="0" w:firstLineChars="0"/>
                    <w:jc w:val="center"/>
                    <w:rPr>
                      <w:sz w:val="21"/>
                      <w:szCs w:val="21"/>
                    </w:rPr>
                  </w:pPr>
                  <w:r>
                    <w:rPr>
                      <w:sz w:val="21"/>
                      <w:szCs w:val="21"/>
                    </w:rPr>
                    <w:t>dB (A)</w:t>
                  </w:r>
                </w:p>
              </w:tc>
              <w:tc>
                <w:tcPr>
                  <w:tcW w:w="69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噪声类型</w:t>
                  </w:r>
                </w:p>
              </w:tc>
              <w:tc>
                <w:tcPr>
                  <w:tcW w:w="38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工作</w:t>
                  </w:r>
                </w:p>
                <w:p>
                  <w:pPr>
                    <w:spacing w:line="240" w:lineRule="auto"/>
                    <w:ind w:firstLine="0" w:firstLineChars="0"/>
                    <w:jc w:val="center"/>
                    <w:rPr>
                      <w:sz w:val="21"/>
                      <w:szCs w:val="21"/>
                    </w:rPr>
                  </w:pPr>
                  <w:r>
                    <w:rPr>
                      <w:rFonts w:hint="eastAsia"/>
                      <w:sz w:val="21"/>
                      <w:szCs w:val="21"/>
                    </w:rPr>
                    <w:t>特性</w:t>
                  </w:r>
                </w:p>
              </w:tc>
              <w:tc>
                <w:tcPr>
                  <w:tcW w:w="132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防治措施</w:t>
                  </w:r>
                </w:p>
              </w:tc>
              <w:tc>
                <w:tcPr>
                  <w:tcW w:w="48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kern w:val="0"/>
                      <w:sz w:val="21"/>
                      <w:szCs w:val="21"/>
                    </w:rPr>
                  </w:pPr>
                  <w:r>
                    <w:rPr>
                      <w:rFonts w:hint="eastAsia"/>
                      <w:kern w:val="0"/>
                      <w:sz w:val="21"/>
                      <w:szCs w:val="21"/>
                    </w:rPr>
                    <w:t>治理后</w:t>
                  </w:r>
                </w:p>
                <w:p>
                  <w:pPr>
                    <w:spacing w:line="240" w:lineRule="auto"/>
                    <w:ind w:firstLine="0" w:firstLineChars="0"/>
                    <w:jc w:val="center"/>
                    <w:rPr>
                      <w:sz w:val="21"/>
                      <w:szCs w:val="21"/>
                    </w:rPr>
                  </w:pPr>
                  <w:r>
                    <w:rPr>
                      <w:kern w:val="0"/>
                      <w:sz w:val="21"/>
                      <w:szCs w:val="21"/>
                    </w:rPr>
                    <w:t>dB(A)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325"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1</w:t>
                  </w:r>
                </w:p>
              </w:tc>
              <w:tc>
                <w:tcPr>
                  <w:tcW w:w="932"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反击式破碎机</w:t>
                  </w:r>
                </w:p>
              </w:tc>
              <w:tc>
                <w:tcPr>
                  <w:tcW w:w="31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1</w:t>
                  </w:r>
                </w:p>
              </w:tc>
              <w:tc>
                <w:tcPr>
                  <w:tcW w:w="544"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9</w:t>
                  </w:r>
                  <w:r>
                    <w:rPr>
                      <w:sz w:val="21"/>
                      <w:szCs w:val="21"/>
                    </w:rPr>
                    <w:t>0-110</w:t>
                  </w:r>
                </w:p>
              </w:tc>
              <w:tc>
                <w:tcPr>
                  <w:tcW w:w="69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ascii="Arial" w:hAnsi="Arial" w:cs="Arial"/>
                      <w:sz w:val="21"/>
                      <w:szCs w:val="21"/>
                      <w:shd w:val="clear" w:color="auto" w:fill="FFFFFF"/>
                    </w:rPr>
                    <w:t>机械噪声</w:t>
                  </w:r>
                </w:p>
              </w:tc>
              <w:tc>
                <w:tcPr>
                  <w:tcW w:w="38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连续</w:t>
                  </w:r>
                </w:p>
              </w:tc>
              <w:tc>
                <w:tcPr>
                  <w:tcW w:w="132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基础减振</w:t>
                  </w:r>
                </w:p>
              </w:tc>
              <w:tc>
                <w:tcPr>
                  <w:tcW w:w="48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60</w:t>
                  </w:r>
                  <w:r>
                    <w:rPr>
                      <w:rFonts w:hint="eastAsia"/>
                      <w:sz w:val="21"/>
                      <w:szCs w:val="21"/>
                    </w:rPr>
                    <w:t>～</w:t>
                  </w:r>
                  <w:r>
                    <w:rPr>
                      <w:sz w:val="21"/>
                      <w:szCs w:val="21"/>
                    </w:rPr>
                    <w:t>70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325"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2</w:t>
                  </w:r>
                </w:p>
              </w:tc>
              <w:tc>
                <w:tcPr>
                  <w:tcW w:w="932"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颚式破碎机</w:t>
                  </w:r>
                </w:p>
              </w:tc>
              <w:tc>
                <w:tcPr>
                  <w:tcW w:w="31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4</w:t>
                  </w:r>
                </w:p>
              </w:tc>
              <w:tc>
                <w:tcPr>
                  <w:tcW w:w="544"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9</w:t>
                  </w:r>
                  <w:r>
                    <w:rPr>
                      <w:sz w:val="21"/>
                      <w:szCs w:val="21"/>
                    </w:rPr>
                    <w:t>0-110</w:t>
                  </w:r>
                </w:p>
              </w:tc>
              <w:tc>
                <w:tcPr>
                  <w:tcW w:w="69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机械噪声</w:t>
                  </w:r>
                </w:p>
              </w:tc>
              <w:tc>
                <w:tcPr>
                  <w:tcW w:w="38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连续</w:t>
                  </w:r>
                </w:p>
              </w:tc>
              <w:tc>
                <w:tcPr>
                  <w:tcW w:w="132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基础减振、车间隔声</w:t>
                  </w:r>
                </w:p>
              </w:tc>
              <w:tc>
                <w:tcPr>
                  <w:tcW w:w="48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kern w:val="0"/>
                      <w:sz w:val="21"/>
                      <w:szCs w:val="21"/>
                    </w:rPr>
                  </w:pPr>
                  <w:r>
                    <w:rPr>
                      <w:sz w:val="21"/>
                      <w:szCs w:val="21"/>
                    </w:rPr>
                    <w:t>75</w:t>
                  </w:r>
                  <w:r>
                    <w:rPr>
                      <w:rFonts w:hint="eastAsia"/>
                      <w:sz w:val="21"/>
                      <w:szCs w:val="21"/>
                    </w:rPr>
                    <w:t>～</w:t>
                  </w:r>
                  <w:r>
                    <w:rPr>
                      <w:sz w:val="21"/>
                      <w:szCs w:val="21"/>
                    </w:rPr>
                    <w:t>85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325"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3</w:t>
                  </w:r>
                </w:p>
              </w:tc>
              <w:tc>
                <w:tcPr>
                  <w:tcW w:w="932"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立式冲击破</w:t>
                  </w:r>
                </w:p>
              </w:tc>
              <w:tc>
                <w:tcPr>
                  <w:tcW w:w="31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1</w:t>
                  </w:r>
                </w:p>
              </w:tc>
              <w:tc>
                <w:tcPr>
                  <w:tcW w:w="544"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9</w:t>
                  </w:r>
                  <w:r>
                    <w:rPr>
                      <w:sz w:val="21"/>
                      <w:szCs w:val="21"/>
                    </w:rPr>
                    <w:t>0-110</w:t>
                  </w:r>
                </w:p>
              </w:tc>
              <w:tc>
                <w:tcPr>
                  <w:tcW w:w="69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机械噪声</w:t>
                  </w:r>
                </w:p>
              </w:tc>
              <w:tc>
                <w:tcPr>
                  <w:tcW w:w="38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连续</w:t>
                  </w:r>
                </w:p>
              </w:tc>
              <w:tc>
                <w:tcPr>
                  <w:tcW w:w="132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基础减振、车间隔声</w:t>
                  </w:r>
                </w:p>
              </w:tc>
              <w:tc>
                <w:tcPr>
                  <w:tcW w:w="48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kern w:val="0"/>
                      <w:sz w:val="21"/>
                      <w:szCs w:val="21"/>
                    </w:rPr>
                  </w:pPr>
                  <w:r>
                    <w:rPr>
                      <w:sz w:val="21"/>
                      <w:szCs w:val="21"/>
                    </w:rPr>
                    <w:t>75</w:t>
                  </w:r>
                  <w:r>
                    <w:rPr>
                      <w:rFonts w:hint="eastAsia"/>
                      <w:sz w:val="21"/>
                      <w:szCs w:val="21"/>
                    </w:rPr>
                    <w:t>～</w:t>
                  </w:r>
                  <w:r>
                    <w:rPr>
                      <w:sz w:val="21"/>
                      <w:szCs w:val="21"/>
                    </w:rPr>
                    <w:t>85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325"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4</w:t>
                  </w:r>
                </w:p>
              </w:tc>
              <w:tc>
                <w:tcPr>
                  <w:tcW w:w="932"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超细破碎机</w:t>
                  </w:r>
                </w:p>
              </w:tc>
              <w:tc>
                <w:tcPr>
                  <w:tcW w:w="31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1</w:t>
                  </w:r>
                </w:p>
              </w:tc>
              <w:tc>
                <w:tcPr>
                  <w:tcW w:w="544"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9</w:t>
                  </w:r>
                  <w:r>
                    <w:rPr>
                      <w:sz w:val="21"/>
                      <w:szCs w:val="21"/>
                    </w:rPr>
                    <w:t>0-110</w:t>
                  </w:r>
                </w:p>
              </w:tc>
              <w:tc>
                <w:tcPr>
                  <w:tcW w:w="69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机械噪声</w:t>
                  </w:r>
                </w:p>
              </w:tc>
              <w:tc>
                <w:tcPr>
                  <w:tcW w:w="38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连续</w:t>
                  </w:r>
                </w:p>
              </w:tc>
              <w:tc>
                <w:tcPr>
                  <w:tcW w:w="132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基础减振、车间隔声</w:t>
                  </w:r>
                </w:p>
              </w:tc>
              <w:tc>
                <w:tcPr>
                  <w:tcW w:w="48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kern w:val="0"/>
                      <w:sz w:val="21"/>
                      <w:szCs w:val="21"/>
                    </w:rPr>
                  </w:pPr>
                  <w:r>
                    <w:rPr>
                      <w:sz w:val="21"/>
                      <w:szCs w:val="21"/>
                    </w:rPr>
                    <w:t>75</w:t>
                  </w:r>
                  <w:r>
                    <w:rPr>
                      <w:rFonts w:hint="eastAsia"/>
                      <w:sz w:val="21"/>
                      <w:szCs w:val="21"/>
                    </w:rPr>
                    <w:t>～</w:t>
                  </w:r>
                  <w:r>
                    <w:rPr>
                      <w:sz w:val="21"/>
                      <w:szCs w:val="21"/>
                    </w:rPr>
                    <w:t>85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325"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5</w:t>
                  </w:r>
                </w:p>
              </w:tc>
              <w:tc>
                <w:tcPr>
                  <w:tcW w:w="932"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振动筛分机</w:t>
                  </w:r>
                </w:p>
              </w:tc>
              <w:tc>
                <w:tcPr>
                  <w:tcW w:w="31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4</w:t>
                  </w:r>
                </w:p>
              </w:tc>
              <w:tc>
                <w:tcPr>
                  <w:tcW w:w="544"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8</w:t>
                  </w:r>
                  <w:r>
                    <w:rPr>
                      <w:sz w:val="21"/>
                      <w:szCs w:val="21"/>
                    </w:rPr>
                    <w:t>5-105</w:t>
                  </w:r>
                </w:p>
              </w:tc>
              <w:tc>
                <w:tcPr>
                  <w:tcW w:w="69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机械噪声</w:t>
                  </w:r>
                </w:p>
              </w:tc>
              <w:tc>
                <w:tcPr>
                  <w:tcW w:w="38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连续</w:t>
                  </w:r>
                </w:p>
              </w:tc>
              <w:tc>
                <w:tcPr>
                  <w:tcW w:w="132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基础减振、车间隔声</w:t>
                  </w:r>
                </w:p>
              </w:tc>
              <w:tc>
                <w:tcPr>
                  <w:tcW w:w="48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kern w:val="0"/>
                      <w:sz w:val="21"/>
                      <w:szCs w:val="21"/>
                    </w:rPr>
                  </w:pPr>
                  <w:r>
                    <w:rPr>
                      <w:sz w:val="21"/>
                      <w:szCs w:val="21"/>
                    </w:rPr>
                    <w:t>75</w:t>
                  </w:r>
                  <w:r>
                    <w:rPr>
                      <w:rFonts w:hint="eastAsia"/>
                      <w:sz w:val="21"/>
                      <w:szCs w:val="21"/>
                    </w:rPr>
                    <w:t>～</w:t>
                  </w:r>
                  <w:r>
                    <w:rPr>
                      <w:sz w:val="21"/>
                      <w:szCs w:val="21"/>
                    </w:rPr>
                    <w:t>85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325"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6</w:t>
                  </w:r>
                </w:p>
              </w:tc>
              <w:tc>
                <w:tcPr>
                  <w:tcW w:w="932"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风机</w:t>
                  </w:r>
                </w:p>
              </w:tc>
              <w:tc>
                <w:tcPr>
                  <w:tcW w:w="31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4</w:t>
                  </w:r>
                </w:p>
              </w:tc>
              <w:tc>
                <w:tcPr>
                  <w:tcW w:w="544"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80</w:t>
                  </w:r>
                  <w:r>
                    <w:rPr>
                      <w:rFonts w:hint="eastAsia"/>
                      <w:sz w:val="21"/>
                      <w:szCs w:val="21"/>
                    </w:rPr>
                    <w:t>～105</w:t>
                  </w:r>
                </w:p>
              </w:tc>
              <w:tc>
                <w:tcPr>
                  <w:tcW w:w="69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ascii="Arial" w:hAnsi="Arial" w:cs="Arial"/>
                      <w:sz w:val="21"/>
                      <w:szCs w:val="21"/>
                      <w:shd w:val="clear" w:color="auto" w:fill="FFFFFF"/>
                    </w:rPr>
                    <w:t>气体动力</w:t>
                  </w:r>
                </w:p>
              </w:tc>
              <w:tc>
                <w:tcPr>
                  <w:tcW w:w="38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连续</w:t>
                  </w:r>
                </w:p>
              </w:tc>
              <w:tc>
                <w:tcPr>
                  <w:tcW w:w="132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基础减振、车间隔声</w:t>
                  </w:r>
                </w:p>
              </w:tc>
              <w:tc>
                <w:tcPr>
                  <w:tcW w:w="48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70</w:t>
                  </w:r>
                  <w:r>
                    <w:rPr>
                      <w:rFonts w:hint="eastAsia"/>
                      <w:sz w:val="21"/>
                      <w:szCs w:val="21"/>
                    </w:rPr>
                    <w:t>～</w:t>
                  </w:r>
                  <w:r>
                    <w:rPr>
                      <w:sz w:val="21"/>
                      <w:szCs w:val="21"/>
                    </w:rPr>
                    <w:t>75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325"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7</w:t>
                  </w:r>
                </w:p>
              </w:tc>
              <w:tc>
                <w:tcPr>
                  <w:tcW w:w="932"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运输车辆</w:t>
                  </w:r>
                </w:p>
              </w:tc>
              <w:tc>
                <w:tcPr>
                  <w:tcW w:w="31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w:t>
                  </w:r>
                </w:p>
              </w:tc>
              <w:tc>
                <w:tcPr>
                  <w:tcW w:w="544"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70</w:t>
                  </w:r>
                  <w:r>
                    <w:rPr>
                      <w:rFonts w:hint="eastAsia"/>
                      <w:sz w:val="21"/>
                      <w:szCs w:val="21"/>
                    </w:rPr>
                    <w:t>～</w:t>
                  </w:r>
                  <w:r>
                    <w:rPr>
                      <w:sz w:val="21"/>
                      <w:szCs w:val="21"/>
                    </w:rPr>
                    <w:t>80</w:t>
                  </w:r>
                </w:p>
              </w:tc>
              <w:tc>
                <w:tcPr>
                  <w:tcW w:w="69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交通噪声</w:t>
                  </w:r>
                </w:p>
              </w:tc>
              <w:tc>
                <w:tcPr>
                  <w:tcW w:w="389"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连续</w:t>
                  </w:r>
                </w:p>
              </w:tc>
              <w:tc>
                <w:tcPr>
                  <w:tcW w:w="132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rFonts w:hint="eastAsia"/>
                      <w:sz w:val="21"/>
                      <w:szCs w:val="21"/>
                    </w:rPr>
                    <w:t>减速行驶，减少鸣笛</w:t>
                  </w:r>
                </w:p>
              </w:tc>
              <w:tc>
                <w:tcPr>
                  <w:tcW w:w="480" w:type="pct"/>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sz w:val="21"/>
                      <w:szCs w:val="21"/>
                    </w:rPr>
                  </w:pPr>
                  <w:r>
                    <w:rPr>
                      <w:sz w:val="21"/>
                      <w:szCs w:val="21"/>
                    </w:rPr>
                    <w:t>65</w:t>
                  </w:r>
                  <w:r>
                    <w:rPr>
                      <w:rFonts w:hint="eastAsia"/>
                      <w:sz w:val="21"/>
                      <w:szCs w:val="21"/>
                    </w:rPr>
                    <w:t>～</w:t>
                  </w:r>
                  <w:r>
                    <w:rPr>
                      <w:sz w:val="21"/>
                      <w:szCs w:val="21"/>
                    </w:rPr>
                    <w:t>70</w:t>
                  </w:r>
                </w:p>
              </w:tc>
            </w:tr>
          </w:tbl>
          <w:p>
            <w:pPr>
              <w:ind w:firstLine="482"/>
              <w:rPr>
                <w:b/>
              </w:rPr>
            </w:pPr>
            <w:r>
              <w:rPr>
                <w:rFonts w:hint="eastAsia"/>
                <w:b/>
              </w:rPr>
              <w:t>（2）</w:t>
            </w:r>
            <w:r>
              <w:rPr>
                <w:rFonts w:hint="eastAsia" w:ascii="宋体" w:hAnsi="宋体" w:cs="宋体"/>
                <w:b/>
                <w:kern w:val="0"/>
              </w:rPr>
              <w:t>总量控制</w:t>
            </w:r>
          </w:p>
          <w:p>
            <w:pPr>
              <w:ind w:firstLine="480"/>
            </w:pPr>
            <w:r>
              <w:rPr>
                <w:rFonts w:hint="eastAsia" w:ascii="宋体" w:hAnsi="宋体"/>
              </w:rPr>
              <w:t>根据</w:t>
            </w:r>
            <w:r>
              <w:rPr>
                <w:rFonts w:hAnsi="宋体"/>
              </w:rPr>
              <w:t>《</w:t>
            </w:r>
            <w:r>
              <w:rPr>
                <w:rFonts w:hint="eastAsia" w:hAnsi="宋体"/>
              </w:rPr>
              <w:t>山西省环保厅建设项目主要污染物排放总量核定办法</w:t>
            </w:r>
            <w:r>
              <w:rPr>
                <w:rFonts w:hint="eastAsia" w:ascii="宋体" w:hAnsi="宋体"/>
              </w:rPr>
              <w:t>》</w:t>
            </w:r>
            <w:r>
              <w:t>(</w:t>
            </w:r>
            <w:r>
              <w:rPr>
                <w:rFonts w:hAnsi="宋体"/>
              </w:rPr>
              <w:t>晋环发</w:t>
            </w:r>
            <w:r>
              <w:t>[201</w:t>
            </w:r>
            <w:r>
              <w:rPr>
                <w:rFonts w:hint="eastAsia"/>
              </w:rPr>
              <w:t>5</w:t>
            </w:r>
            <w:r>
              <w:t>]</w:t>
            </w:r>
            <w:r>
              <w:rPr>
                <w:rFonts w:hint="eastAsia"/>
              </w:rPr>
              <w:t>25</w:t>
            </w:r>
            <w:r>
              <w:rPr>
                <w:rFonts w:hAnsi="宋体"/>
              </w:rPr>
              <w:t>号文</w:t>
            </w:r>
            <w:r>
              <w:t>)</w:t>
            </w:r>
            <w:r>
              <w:rPr>
                <w:rFonts w:hint="eastAsia"/>
              </w:rPr>
              <w:t>文件，我省实施总量控制的主要污染因子为：二氧化硫、氮氧化物、烟尘、工业粉尘、化学需氧量、氨氮。</w:t>
            </w:r>
          </w:p>
          <w:p>
            <w:pPr>
              <w:ind w:firstLine="480"/>
            </w:pPr>
            <w:r>
              <w:rPr>
                <w:rFonts w:hint="eastAsia" w:hAnsi="宋体"/>
              </w:rPr>
              <w:t>根据工程分析，</w:t>
            </w:r>
            <w:r>
              <w:rPr>
                <w:rFonts w:hint="eastAsia"/>
              </w:rPr>
              <w:t>本项目</w:t>
            </w:r>
            <w:r>
              <w:rPr>
                <w:rFonts w:hint="eastAsia" w:hAnsi="宋体"/>
              </w:rPr>
              <w:t>主要污染物排放总量控制指标</w:t>
            </w:r>
            <w:r>
              <w:rPr>
                <w:rFonts w:hint="eastAsia"/>
              </w:rPr>
              <w:t>为：工业粉尘</w:t>
            </w:r>
            <w:r>
              <w:t>2.88</w:t>
            </w:r>
            <w:r>
              <w:rPr>
                <w:rFonts w:hint="eastAsia"/>
              </w:rPr>
              <w:t>t/a</w:t>
            </w:r>
            <w:r>
              <w:rPr>
                <w:rFonts w:hint="eastAsia" w:hAnsi="宋体"/>
              </w:rPr>
              <w:t>。</w:t>
            </w:r>
            <w:r>
              <w:t>2020</w:t>
            </w:r>
            <w:r>
              <w:rPr>
                <w:rFonts w:hint="eastAsia"/>
              </w:rPr>
              <w:t>年</w:t>
            </w:r>
            <w:r>
              <w:t>10</w:t>
            </w:r>
            <w:r>
              <w:rPr>
                <w:rFonts w:hint="eastAsia"/>
              </w:rPr>
              <w:t>月</w:t>
            </w:r>
            <w:r>
              <w:t>22</w:t>
            </w:r>
            <w:r>
              <w:rPr>
                <w:rFonts w:hint="eastAsia"/>
              </w:rPr>
              <w:t>日，</w:t>
            </w:r>
            <w:r>
              <w:rPr>
                <w:rFonts w:hint="eastAsia" w:hAnsi="宋体"/>
                <w:szCs w:val="24"/>
              </w:rPr>
              <w:t>吕梁市生态环境局交城分局以交环总量[</w:t>
            </w:r>
            <w:r>
              <w:rPr>
                <w:rFonts w:hAnsi="宋体"/>
                <w:szCs w:val="24"/>
              </w:rPr>
              <w:t>2020]46</w:t>
            </w:r>
            <w:r>
              <w:rPr>
                <w:rFonts w:hint="eastAsia" w:hAnsi="宋体"/>
                <w:szCs w:val="24"/>
              </w:rPr>
              <w:t>号文对项目污染物排放总量控制指标予以核定。</w:t>
            </w:r>
          </w:p>
          <w:p>
            <w:pPr>
              <w:pStyle w:val="148"/>
              <w:spacing w:before="0" w:after="0"/>
              <w:ind w:firstLine="0" w:firstLineChars="0"/>
              <w:rPr>
                <w:rFonts w:ascii="Times New Roman" w:hAnsi="Times New Roman" w:eastAsia="宋体" w:cs="Times New Roman"/>
                <w:b/>
                <w:sz w:val="24"/>
                <w:szCs w:val="24"/>
              </w:rPr>
            </w:pPr>
            <w:r>
              <w:rPr>
                <w:rFonts w:hint="eastAsia" w:ascii="Times New Roman" w:hAnsi="Times New Roman" w:eastAsia="宋体" w:cs="Times New Roman"/>
                <w:b/>
                <w:sz w:val="24"/>
                <w:szCs w:val="24"/>
              </w:rPr>
              <w:t>4</w:t>
            </w:r>
            <w:r>
              <w:rPr>
                <w:rFonts w:ascii="Times New Roman" w:hAnsi="Times New Roman" w:eastAsia="宋体" w:cs="Times New Roman"/>
                <w:b/>
                <w:sz w:val="24"/>
                <w:szCs w:val="24"/>
              </w:rPr>
              <w:t>、</w:t>
            </w:r>
            <w:r>
              <w:rPr>
                <w:rFonts w:hint="eastAsia" w:ascii="Times New Roman" w:hAnsi="Times New Roman" w:eastAsia="宋体" w:cs="Times New Roman"/>
                <w:b/>
                <w:sz w:val="24"/>
                <w:szCs w:val="24"/>
              </w:rPr>
              <w:t>环保措施分析及主要环境影响</w:t>
            </w:r>
          </w:p>
          <w:p>
            <w:pPr>
              <w:pStyle w:val="144"/>
              <w:spacing w:before="0" w:after="0"/>
              <w:ind w:firstLine="480"/>
            </w:pPr>
            <w:r>
              <w:rPr>
                <w:rFonts w:hint="eastAsia"/>
              </w:rPr>
              <w:t>本项目环保设施、措施汇总情况见下表。</w:t>
            </w:r>
          </w:p>
          <w:p>
            <w:pPr>
              <w:pStyle w:val="169"/>
              <w:spacing w:line="480" w:lineRule="exact"/>
              <w:ind w:firstLine="480"/>
              <w:rPr>
                <w:rFonts w:ascii="黑体" w:hAnsi="黑体" w:eastAsia="黑体"/>
              </w:rPr>
            </w:pPr>
            <w:r>
              <w:rPr>
                <w:rFonts w:ascii="黑体" w:hAnsi="黑体" w:eastAsia="黑体"/>
              </w:rPr>
              <w:t xml:space="preserve">表61  </w:t>
            </w:r>
            <w:r>
              <w:rPr>
                <w:rFonts w:hint="eastAsia" w:ascii="黑体" w:hAnsi="黑体" w:eastAsia="黑体"/>
              </w:rPr>
              <w:t>环保设施、措施汇总情况表</w:t>
            </w:r>
          </w:p>
          <w:tbl>
            <w:tblPr>
              <w:tblStyle w:val="7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8"/>
              <w:gridCol w:w="1410"/>
              <w:gridCol w:w="1309"/>
              <w:gridCol w:w="55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5" w:type="pct"/>
                  <w:vAlign w:val="center"/>
                </w:tcPr>
                <w:p>
                  <w:pPr>
                    <w:pStyle w:val="142"/>
                    <w:snapToGrid/>
                  </w:pPr>
                  <w:r>
                    <w:t>序号</w:t>
                  </w:r>
                </w:p>
              </w:tc>
              <w:tc>
                <w:tcPr>
                  <w:tcW w:w="778" w:type="pct"/>
                  <w:vAlign w:val="center"/>
                </w:tcPr>
                <w:p>
                  <w:pPr>
                    <w:pStyle w:val="142"/>
                    <w:snapToGrid/>
                  </w:pPr>
                  <w:r>
                    <w:rPr>
                      <w:rFonts w:hint="eastAsia"/>
                    </w:rPr>
                    <w:t>污染源</w:t>
                  </w:r>
                </w:p>
              </w:tc>
              <w:tc>
                <w:tcPr>
                  <w:tcW w:w="722" w:type="pct"/>
                  <w:vAlign w:val="center"/>
                </w:tcPr>
                <w:p>
                  <w:pPr>
                    <w:pStyle w:val="142"/>
                    <w:snapToGrid/>
                  </w:pPr>
                  <w:r>
                    <w:rPr>
                      <w:rFonts w:hint="eastAsia"/>
                    </w:rPr>
                    <w:t>污染物</w:t>
                  </w:r>
                </w:p>
              </w:tc>
              <w:tc>
                <w:tcPr>
                  <w:tcW w:w="3065" w:type="pct"/>
                  <w:vAlign w:val="center"/>
                </w:tcPr>
                <w:p>
                  <w:pPr>
                    <w:pStyle w:val="142"/>
                    <w:snapToGrid/>
                  </w:pPr>
                  <w:r>
                    <w:rPr>
                      <w:rFonts w:hint="eastAsia"/>
                    </w:rPr>
                    <w:t>处理方式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5" w:type="pct"/>
                  <w:vMerge w:val="restart"/>
                  <w:vAlign w:val="center"/>
                </w:tcPr>
                <w:p>
                  <w:pPr>
                    <w:pStyle w:val="142"/>
                    <w:snapToGrid/>
                  </w:pPr>
                  <w:r>
                    <w:rPr>
                      <w:rFonts w:hint="eastAsia"/>
                    </w:rPr>
                    <w:t>大气</w:t>
                  </w:r>
                </w:p>
              </w:tc>
              <w:tc>
                <w:tcPr>
                  <w:tcW w:w="778"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堆场扬尘</w:t>
                  </w:r>
                </w:p>
              </w:tc>
              <w:tc>
                <w:tcPr>
                  <w:tcW w:w="722" w:type="pct"/>
                  <w:vAlign w:val="center"/>
                </w:tcPr>
                <w:p>
                  <w:pPr>
                    <w:pStyle w:val="142"/>
                    <w:snapToGrid/>
                  </w:pPr>
                  <w:r>
                    <w:rPr>
                      <w:rFonts w:hint="eastAsia"/>
                    </w:rPr>
                    <w:t>扬尘</w:t>
                  </w:r>
                </w:p>
              </w:tc>
              <w:tc>
                <w:tcPr>
                  <w:tcW w:w="3065"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原料、成品堆存设置为全封闭库，堆场地面硬化，于原料库顶设1套覆盖全堆场的库顶喷雾抑尘措施，成品为吨袋包装，成品库定期洒水抑尘、清扫。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5" w:type="pct"/>
                  <w:vMerge w:val="continue"/>
                  <w:vAlign w:val="center"/>
                </w:tcPr>
                <w:p>
                  <w:pPr>
                    <w:pStyle w:val="142"/>
                    <w:snapToGrid/>
                  </w:pPr>
                </w:p>
              </w:tc>
              <w:tc>
                <w:tcPr>
                  <w:tcW w:w="778"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建筑骨料生产线粗破、反击破系统</w:t>
                  </w:r>
                </w:p>
              </w:tc>
              <w:tc>
                <w:tcPr>
                  <w:tcW w:w="722" w:type="pct"/>
                  <w:vAlign w:val="center"/>
                </w:tcPr>
                <w:p>
                  <w:pPr>
                    <w:pStyle w:val="142"/>
                    <w:snapToGrid/>
                  </w:pPr>
                  <w:r>
                    <w:rPr>
                      <w:rFonts w:hint="eastAsia"/>
                    </w:rPr>
                    <w:t>粉尘</w:t>
                  </w:r>
                </w:p>
              </w:tc>
              <w:tc>
                <w:tcPr>
                  <w:tcW w:w="3065"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建筑骨料生产线粗破、细破系统各产尘点分设集尘罩（鄂破入料口、鄂破、反击破、中间料仓），上料、鄂破、反击破、出料粉尘</w:t>
                  </w:r>
                  <w:r>
                    <w:rPr>
                      <w:rFonts w:hint="eastAsia"/>
                      <w:sz w:val="21"/>
                      <w:szCs w:val="21"/>
                    </w:rPr>
                    <w:t>收集后经1套脉冲布袋除尘器过滤处理后由1根15m高排气筒外排。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435" w:type="pct"/>
                  <w:vMerge w:val="continue"/>
                  <w:vAlign w:val="center"/>
                </w:tcPr>
                <w:p>
                  <w:pPr>
                    <w:pStyle w:val="142"/>
                    <w:snapToGrid/>
                  </w:pPr>
                </w:p>
              </w:tc>
              <w:tc>
                <w:tcPr>
                  <w:tcW w:w="778"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建筑骨料生产线冲击破系统</w:t>
                  </w:r>
                </w:p>
              </w:tc>
              <w:tc>
                <w:tcPr>
                  <w:tcW w:w="722" w:type="pct"/>
                  <w:vAlign w:val="center"/>
                </w:tcPr>
                <w:p>
                  <w:pPr>
                    <w:pStyle w:val="142"/>
                    <w:snapToGrid/>
                  </w:pPr>
                  <w:r>
                    <w:rPr>
                      <w:rFonts w:hint="eastAsia" w:hAnsi="宋体"/>
                    </w:rPr>
                    <w:t>粉尘</w:t>
                  </w:r>
                </w:p>
              </w:tc>
              <w:tc>
                <w:tcPr>
                  <w:tcW w:w="3065" w:type="pct"/>
                  <w:vAlign w:val="center"/>
                </w:tcPr>
                <w:p>
                  <w:pPr>
                    <w:spacing w:line="240" w:lineRule="auto"/>
                    <w:ind w:firstLine="0" w:firstLineChars="0"/>
                    <w:jc w:val="center"/>
                    <w:rPr>
                      <w:rFonts w:hAnsi="宋体"/>
                      <w:bCs/>
                      <w:sz w:val="21"/>
                      <w:szCs w:val="21"/>
                    </w:rPr>
                  </w:pPr>
                  <w:r>
                    <w:rPr>
                      <w:rFonts w:hint="eastAsia" w:hAnsi="宋体"/>
                      <w:bCs/>
                      <w:sz w:val="21"/>
                      <w:szCs w:val="21"/>
                    </w:rPr>
                    <w:t>建筑骨料生产线冲击破系统各产尘点分设集尘罩（冲击破入料口、冲击破、振动筛、料仓），上料、冲击破、振动筛、出料粉尘</w:t>
                  </w:r>
                  <w:r>
                    <w:rPr>
                      <w:rFonts w:hint="eastAsia"/>
                      <w:sz w:val="21"/>
                      <w:szCs w:val="21"/>
                    </w:rPr>
                    <w:t>收集后经1套脉冲布袋除尘器过滤处理后由1根15m高排气筒外排。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5" w:type="pct"/>
                  <w:vMerge w:val="continue"/>
                  <w:vAlign w:val="center"/>
                </w:tcPr>
                <w:p>
                  <w:pPr>
                    <w:pStyle w:val="142"/>
                    <w:snapToGrid/>
                  </w:pPr>
                </w:p>
              </w:tc>
              <w:tc>
                <w:tcPr>
                  <w:tcW w:w="778"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微粉生产线鄂破系统</w:t>
                  </w:r>
                </w:p>
              </w:tc>
              <w:tc>
                <w:tcPr>
                  <w:tcW w:w="722" w:type="pct"/>
                  <w:vAlign w:val="center"/>
                </w:tcPr>
                <w:p>
                  <w:pPr>
                    <w:pStyle w:val="142"/>
                    <w:snapToGrid/>
                  </w:pPr>
                  <w:r>
                    <w:rPr>
                      <w:rFonts w:hint="eastAsia" w:hAnsi="宋体"/>
                    </w:rPr>
                    <w:t>粉尘</w:t>
                  </w:r>
                </w:p>
              </w:tc>
              <w:tc>
                <w:tcPr>
                  <w:tcW w:w="3065" w:type="pct"/>
                  <w:vAlign w:val="center"/>
                </w:tcPr>
                <w:p>
                  <w:pPr>
                    <w:spacing w:line="240" w:lineRule="auto"/>
                    <w:ind w:firstLine="0" w:firstLineChars="0"/>
                    <w:jc w:val="center"/>
                    <w:rPr>
                      <w:sz w:val="21"/>
                      <w:szCs w:val="21"/>
                    </w:rPr>
                  </w:pPr>
                  <w:r>
                    <w:rPr>
                      <w:rFonts w:hint="eastAsia" w:hAnsi="宋体"/>
                      <w:bCs/>
                      <w:sz w:val="21"/>
                      <w:szCs w:val="21"/>
                    </w:rPr>
                    <w:t>微粉生产线鄂破系统各产尘点分设集尘罩（粗鄂破破入料口、粗鄂破、细鄂破、超细破碎机入料口），上料、鄂破粉尘</w:t>
                  </w:r>
                  <w:r>
                    <w:rPr>
                      <w:rFonts w:hint="eastAsia"/>
                      <w:sz w:val="21"/>
                      <w:szCs w:val="21"/>
                    </w:rPr>
                    <w:t>收集后经1套脉冲布袋除尘器过滤处理后由1根15m高排气筒外排。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5" w:type="pct"/>
                  <w:vMerge w:val="continue"/>
                  <w:vAlign w:val="center"/>
                </w:tcPr>
                <w:p>
                  <w:pPr>
                    <w:pStyle w:val="142"/>
                    <w:snapToGrid/>
                  </w:pPr>
                </w:p>
              </w:tc>
              <w:tc>
                <w:tcPr>
                  <w:tcW w:w="778"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微粉生产线超细破碎机系统</w:t>
                  </w:r>
                </w:p>
              </w:tc>
              <w:tc>
                <w:tcPr>
                  <w:tcW w:w="722" w:type="pct"/>
                  <w:vAlign w:val="center"/>
                </w:tcPr>
                <w:p>
                  <w:pPr>
                    <w:pStyle w:val="142"/>
                    <w:snapToGrid/>
                  </w:pPr>
                  <w:r>
                    <w:rPr>
                      <w:rFonts w:hint="eastAsia" w:hAnsi="宋体"/>
                    </w:rPr>
                    <w:t>粉尘</w:t>
                  </w:r>
                </w:p>
              </w:tc>
              <w:tc>
                <w:tcPr>
                  <w:tcW w:w="3065" w:type="pct"/>
                  <w:vAlign w:val="center"/>
                </w:tcPr>
                <w:p>
                  <w:pPr>
                    <w:pStyle w:val="144"/>
                    <w:snapToGrid/>
                    <w:spacing w:before="0" w:after="0" w:line="240" w:lineRule="auto"/>
                    <w:ind w:firstLine="0" w:firstLineChars="0"/>
                    <w:jc w:val="center"/>
                    <w:rPr>
                      <w:rFonts w:hAnsi="宋体"/>
                      <w:bCs/>
                      <w:sz w:val="21"/>
                      <w:szCs w:val="21"/>
                    </w:rPr>
                  </w:pPr>
                  <w:r>
                    <w:rPr>
                      <w:rFonts w:hint="eastAsia"/>
                      <w:bCs/>
                      <w:sz w:val="21"/>
                      <w:szCs w:val="21"/>
                    </w:rPr>
                    <w:t>超细破碎系统</w:t>
                  </w:r>
                  <w:r>
                    <w:rPr>
                      <w:rFonts w:hint="eastAsia" w:hAnsi="宋体"/>
                      <w:bCs/>
                      <w:sz w:val="21"/>
                      <w:szCs w:val="21"/>
                    </w:rPr>
                    <w:t>各产尘点分设集尘罩（</w:t>
                  </w:r>
                  <w:r>
                    <w:rPr>
                      <w:rFonts w:hint="eastAsia"/>
                      <w:bCs/>
                      <w:sz w:val="21"/>
                      <w:szCs w:val="21"/>
                    </w:rPr>
                    <w:t>上料仓、超细破碎机、振动筛、成品料仓</w:t>
                  </w:r>
                  <w:r>
                    <w:rPr>
                      <w:rFonts w:hint="eastAsia" w:hAnsi="宋体"/>
                      <w:bCs/>
                      <w:sz w:val="21"/>
                      <w:szCs w:val="21"/>
                    </w:rPr>
                    <w:t>）</w:t>
                  </w:r>
                  <w:r>
                    <w:rPr>
                      <w:rFonts w:hint="eastAsia"/>
                      <w:bCs/>
                      <w:sz w:val="21"/>
                      <w:szCs w:val="21"/>
                    </w:rPr>
                    <w:t>，破碎、筛分粉尘收集后由1套脉冲布袋除尘器过滤处理后由1根1</w:t>
                  </w:r>
                  <w:r>
                    <w:rPr>
                      <w:bCs/>
                      <w:sz w:val="21"/>
                      <w:szCs w:val="21"/>
                    </w:rPr>
                    <w:t>5</w:t>
                  </w:r>
                  <w:r>
                    <w:rPr>
                      <w:rFonts w:hint="eastAsia"/>
                      <w:bCs/>
                      <w:sz w:val="21"/>
                      <w:szCs w:val="21"/>
                    </w:rPr>
                    <w:t>m高排气筒外排</w:t>
                  </w: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5" w:type="pct"/>
                  <w:vMerge w:val="restart"/>
                  <w:vAlign w:val="center"/>
                </w:tcPr>
                <w:p>
                  <w:pPr>
                    <w:pStyle w:val="142"/>
                    <w:snapToGrid/>
                  </w:pPr>
                  <w:r>
                    <w:rPr>
                      <w:rFonts w:hint="eastAsia"/>
                    </w:rPr>
                    <w:t>废水</w:t>
                  </w:r>
                </w:p>
              </w:tc>
              <w:tc>
                <w:tcPr>
                  <w:tcW w:w="778" w:type="pct"/>
                  <w:vAlign w:val="center"/>
                </w:tcPr>
                <w:p>
                  <w:pPr>
                    <w:pStyle w:val="142"/>
                    <w:snapToGrid/>
                  </w:pPr>
                  <w:r>
                    <w:rPr>
                      <w:rFonts w:hint="eastAsia"/>
                    </w:rPr>
                    <w:t>生活污水</w:t>
                  </w:r>
                </w:p>
              </w:tc>
              <w:tc>
                <w:tcPr>
                  <w:tcW w:w="722" w:type="pct"/>
                  <w:vAlign w:val="center"/>
                </w:tcPr>
                <w:p>
                  <w:pPr>
                    <w:pStyle w:val="142"/>
                    <w:snapToGrid/>
                  </w:pPr>
                  <w:r>
                    <w:rPr>
                      <w:rFonts w:hint="eastAsia"/>
                    </w:rPr>
                    <w:t>COD、BOD、SS</w:t>
                  </w:r>
                </w:p>
              </w:tc>
              <w:tc>
                <w:tcPr>
                  <w:tcW w:w="3065" w:type="pct"/>
                  <w:vAlign w:val="center"/>
                </w:tcPr>
                <w:p>
                  <w:pPr>
                    <w:pStyle w:val="144"/>
                    <w:snapToGrid/>
                    <w:spacing w:before="0" w:after="0" w:line="240" w:lineRule="auto"/>
                    <w:ind w:firstLine="0" w:firstLineChars="0"/>
                    <w:jc w:val="center"/>
                    <w:rPr>
                      <w:rFonts w:hAnsi="宋体"/>
                      <w:bCs/>
                      <w:color w:val="FF0000"/>
                      <w:sz w:val="21"/>
                      <w:szCs w:val="21"/>
                    </w:rPr>
                  </w:pPr>
                  <w:r>
                    <w:rPr>
                      <w:rFonts w:hint="eastAsia"/>
                      <w:sz w:val="21"/>
                      <w:szCs w:val="21"/>
                    </w:rPr>
                    <w:t>少量盥洗废水</w:t>
                  </w:r>
                  <w:r>
                    <w:rPr>
                      <w:rFonts w:hint="eastAsia"/>
                      <w:bCs/>
                      <w:sz w:val="21"/>
                      <w:szCs w:val="21"/>
                    </w:rPr>
                    <w:t>（0.24</w:t>
                  </w:r>
                  <w:r>
                    <w:rPr>
                      <w:bCs/>
                      <w:sz w:val="21"/>
                      <w:szCs w:val="21"/>
                    </w:rPr>
                    <w:t xml:space="preserve"> m</w:t>
                  </w:r>
                  <w:r>
                    <w:rPr>
                      <w:bCs/>
                      <w:sz w:val="21"/>
                      <w:szCs w:val="21"/>
                      <w:vertAlign w:val="superscript"/>
                    </w:rPr>
                    <w:t>3</w:t>
                  </w:r>
                  <w:r>
                    <w:rPr>
                      <w:bCs/>
                      <w:sz w:val="21"/>
                      <w:szCs w:val="21"/>
                    </w:rPr>
                    <w:t>/d</w:t>
                  </w:r>
                  <w:r>
                    <w:rPr>
                      <w:rFonts w:hint="eastAsia"/>
                      <w:bCs/>
                      <w:sz w:val="21"/>
                      <w:szCs w:val="21"/>
                    </w:rPr>
                    <w:t>）</w:t>
                  </w:r>
                  <w:r>
                    <w:rPr>
                      <w:rFonts w:hint="eastAsia"/>
                      <w:sz w:val="21"/>
                      <w:szCs w:val="21"/>
                    </w:rPr>
                    <w:t>用于泼洒抑尘；</w:t>
                  </w:r>
                  <w:r>
                    <w:rPr>
                      <w:rFonts w:hint="eastAsia"/>
                      <w:bCs/>
                      <w:sz w:val="21"/>
                      <w:szCs w:val="21"/>
                    </w:rPr>
                    <w:t>食堂餐余物及食堂废水（0.24</w:t>
                  </w:r>
                  <w:r>
                    <w:rPr>
                      <w:bCs/>
                      <w:sz w:val="21"/>
                      <w:szCs w:val="21"/>
                    </w:rPr>
                    <w:t>m</w:t>
                  </w:r>
                  <w:r>
                    <w:rPr>
                      <w:bCs/>
                      <w:sz w:val="21"/>
                      <w:szCs w:val="21"/>
                      <w:vertAlign w:val="superscript"/>
                    </w:rPr>
                    <w:t>3</w:t>
                  </w:r>
                  <w:r>
                    <w:rPr>
                      <w:bCs/>
                      <w:sz w:val="21"/>
                      <w:szCs w:val="21"/>
                    </w:rPr>
                    <w:t>/d</w:t>
                  </w:r>
                  <w:r>
                    <w:rPr>
                      <w:rFonts w:hint="eastAsia"/>
                      <w:bCs/>
                      <w:sz w:val="21"/>
                      <w:szCs w:val="21"/>
                    </w:rPr>
                    <w:t>）</w:t>
                  </w:r>
                  <w:r>
                    <w:rPr>
                      <w:rFonts w:hint="eastAsia"/>
                      <w:sz w:val="21"/>
                      <w:szCs w:val="21"/>
                    </w:rPr>
                    <w:t>经收集后委托有相关资质的单位外运处置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5" w:type="pct"/>
                  <w:vMerge w:val="continue"/>
                  <w:vAlign w:val="center"/>
                </w:tcPr>
                <w:p>
                  <w:pPr>
                    <w:pStyle w:val="142"/>
                    <w:snapToGrid/>
                  </w:pPr>
                </w:p>
              </w:tc>
              <w:tc>
                <w:tcPr>
                  <w:tcW w:w="778" w:type="pct"/>
                  <w:vAlign w:val="center"/>
                </w:tcPr>
                <w:p>
                  <w:pPr>
                    <w:pStyle w:val="142"/>
                    <w:snapToGrid/>
                  </w:pPr>
                  <w:r>
                    <w:rPr>
                      <w:rFonts w:hint="eastAsia"/>
                    </w:rPr>
                    <w:t>洗车废水</w:t>
                  </w:r>
                </w:p>
              </w:tc>
              <w:tc>
                <w:tcPr>
                  <w:tcW w:w="722" w:type="pct"/>
                  <w:vAlign w:val="center"/>
                </w:tcPr>
                <w:p>
                  <w:pPr>
                    <w:pStyle w:val="142"/>
                    <w:snapToGrid/>
                  </w:pPr>
                  <w:r>
                    <w:rPr>
                      <w:rFonts w:hint="eastAsia"/>
                    </w:rPr>
                    <w:t>COD、SS</w:t>
                  </w:r>
                </w:p>
              </w:tc>
              <w:tc>
                <w:tcPr>
                  <w:tcW w:w="3065" w:type="pct"/>
                  <w:vAlign w:val="center"/>
                </w:tcPr>
                <w:p>
                  <w:pPr>
                    <w:pStyle w:val="144"/>
                    <w:snapToGrid/>
                    <w:spacing w:before="0" w:after="0" w:line="240" w:lineRule="auto"/>
                    <w:ind w:firstLine="0" w:firstLineChars="0"/>
                    <w:jc w:val="center"/>
                    <w:rPr>
                      <w:rFonts w:hAnsi="宋体"/>
                      <w:sz w:val="21"/>
                      <w:szCs w:val="21"/>
                    </w:rPr>
                  </w:pPr>
                  <w:r>
                    <w:rPr>
                      <w:rFonts w:hint="eastAsia"/>
                      <w:sz w:val="21"/>
                      <w:szCs w:val="21"/>
                    </w:rPr>
                    <w:t>洗车废水排至沉淀池沉淀处理后排入清水池循环使用，不外排；设1座1</w:t>
                  </w:r>
                  <w:r>
                    <w:rPr>
                      <w:sz w:val="21"/>
                      <w:szCs w:val="21"/>
                    </w:rPr>
                    <w:t>0</w:t>
                  </w:r>
                  <w:r>
                    <w:rPr>
                      <w:rFonts w:hint="eastAsia"/>
                      <w:sz w:val="21"/>
                      <w:szCs w:val="21"/>
                    </w:rPr>
                    <w:t>m</w:t>
                  </w:r>
                  <w:r>
                    <w:rPr>
                      <w:sz w:val="21"/>
                      <w:szCs w:val="21"/>
                      <w:vertAlign w:val="superscript"/>
                    </w:rPr>
                    <w:t>3</w:t>
                  </w:r>
                  <w:r>
                    <w:rPr>
                      <w:rFonts w:hint="eastAsia"/>
                      <w:sz w:val="21"/>
                      <w:szCs w:val="21"/>
                    </w:rPr>
                    <w:t>沉淀池，1座1</w:t>
                  </w:r>
                  <w:r>
                    <w:rPr>
                      <w:sz w:val="21"/>
                      <w:szCs w:val="21"/>
                    </w:rPr>
                    <w:t>0</w:t>
                  </w:r>
                  <w:r>
                    <w:rPr>
                      <w:rFonts w:hint="eastAsia"/>
                      <w:sz w:val="21"/>
                      <w:szCs w:val="21"/>
                    </w:rPr>
                    <w:t>m</w:t>
                  </w:r>
                  <w:r>
                    <w:rPr>
                      <w:sz w:val="21"/>
                      <w:szCs w:val="21"/>
                      <w:vertAlign w:val="superscript"/>
                    </w:rPr>
                    <w:t>3</w:t>
                  </w:r>
                  <w:r>
                    <w:rPr>
                      <w:rFonts w:hint="eastAsia"/>
                      <w:sz w:val="21"/>
                      <w:szCs w:val="21"/>
                    </w:rPr>
                    <w:t>清水池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5" w:type="pct"/>
                  <w:vMerge w:val="restart"/>
                  <w:vAlign w:val="center"/>
                </w:tcPr>
                <w:p>
                  <w:pPr>
                    <w:pStyle w:val="142"/>
                  </w:pPr>
                  <w:r>
                    <w:rPr>
                      <w:rFonts w:hint="eastAsia"/>
                    </w:rPr>
                    <w:t>固废</w:t>
                  </w:r>
                </w:p>
              </w:tc>
              <w:tc>
                <w:tcPr>
                  <w:tcW w:w="778" w:type="pct"/>
                  <w:vAlign w:val="center"/>
                </w:tcPr>
                <w:p>
                  <w:pPr>
                    <w:autoSpaceDE w:val="0"/>
                    <w:autoSpaceDN w:val="0"/>
                    <w:spacing w:line="240" w:lineRule="auto"/>
                    <w:ind w:firstLine="0" w:firstLineChars="0"/>
                    <w:jc w:val="center"/>
                    <w:rPr>
                      <w:rFonts w:hAnsi="宋体"/>
                      <w:sz w:val="21"/>
                      <w:szCs w:val="21"/>
                    </w:rPr>
                  </w:pPr>
                  <w:r>
                    <w:rPr>
                      <w:rFonts w:hint="eastAsia" w:hAnsi="宋体"/>
                      <w:sz w:val="21"/>
                      <w:szCs w:val="21"/>
                    </w:rPr>
                    <w:t>除铁器</w:t>
                  </w:r>
                </w:p>
              </w:tc>
              <w:tc>
                <w:tcPr>
                  <w:tcW w:w="722" w:type="pct"/>
                  <w:vAlign w:val="center"/>
                </w:tcPr>
                <w:p>
                  <w:pPr>
                    <w:pStyle w:val="142"/>
                    <w:snapToGrid/>
                    <w:rPr>
                      <w:rFonts w:hAnsi="宋体"/>
                    </w:rPr>
                  </w:pPr>
                  <w:r>
                    <w:rPr>
                      <w:rFonts w:hint="eastAsia" w:hAnsi="宋体"/>
                    </w:rPr>
                    <w:t>含铁废矿石</w:t>
                  </w:r>
                </w:p>
              </w:tc>
              <w:tc>
                <w:tcPr>
                  <w:tcW w:w="3065" w:type="pct"/>
                  <w:vAlign w:val="center"/>
                </w:tcPr>
                <w:p>
                  <w:pPr>
                    <w:widowControl/>
                    <w:spacing w:line="240" w:lineRule="auto"/>
                    <w:ind w:firstLine="0" w:firstLineChars="0"/>
                    <w:jc w:val="center"/>
                    <w:rPr>
                      <w:sz w:val="21"/>
                      <w:szCs w:val="21"/>
                    </w:rPr>
                  </w:pPr>
                  <w:r>
                    <w:rPr>
                      <w:rFonts w:hint="eastAsia"/>
                      <w:sz w:val="21"/>
                      <w:szCs w:val="21"/>
                    </w:rPr>
                    <w:t>外售于铁厂综合利用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5" w:type="pct"/>
                  <w:vMerge w:val="continue"/>
                  <w:vAlign w:val="center"/>
                </w:tcPr>
                <w:p>
                  <w:pPr>
                    <w:pStyle w:val="142"/>
                    <w:snapToGrid/>
                  </w:pPr>
                </w:p>
              </w:tc>
              <w:tc>
                <w:tcPr>
                  <w:tcW w:w="778" w:type="pct"/>
                  <w:vAlign w:val="center"/>
                </w:tcPr>
                <w:p>
                  <w:pPr>
                    <w:autoSpaceDE w:val="0"/>
                    <w:autoSpaceDN w:val="0"/>
                    <w:spacing w:line="240" w:lineRule="auto"/>
                    <w:ind w:firstLine="0" w:firstLineChars="0"/>
                    <w:jc w:val="center"/>
                    <w:rPr>
                      <w:sz w:val="21"/>
                      <w:szCs w:val="21"/>
                    </w:rPr>
                  </w:pPr>
                  <w:r>
                    <w:rPr>
                      <w:rFonts w:hint="eastAsia" w:hAnsi="宋体"/>
                      <w:sz w:val="21"/>
                      <w:szCs w:val="21"/>
                    </w:rPr>
                    <w:t>除尘器</w:t>
                  </w:r>
                </w:p>
              </w:tc>
              <w:tc>
                <w:tcPr>
                  <w:tcW w:w="722" w:type="pct"/>
                  <w:vAlign w:val="center"/>
                </w:tcPr>
                <w:p>
                  <w:pPr>
                    <w:pStyle w:val="142"/>
                    <w:snapToGrid/>
                  </w:pPr>
                  <w:r>
                    <w:rPr>
                      <w:rFonts w:hint="eastAsia" w:hAnsi="宋体"/>
                    </w:rPr>
                    <w:t>集尘灰</w:t>
                  </w:r>
                </w:p>
              </w:tc>
              <w:tc>
                <w:tcPr>
                  <w:tcW w:w="3065" w:type="pct"/>
                  <w:vAlign w:val="center"/>
                </w:tcPr>
                <w:p>
                  <w:pPr>
                    <w:pStyle w:val="144"/>
                    <w:snapToGrid/>
                    <w:spacing w:before="0" w:after="0" w:line="240" w:lineRule="auto"/>
                    <w:ind w:firstLine="0" w:firstLineChars="0"/>
                    <w:jc w:val="center"/>
                    <w:rPr>
                      <w:rFonts w:hAnsi="宋体"/>
                      <w:bCs/>
                      <w:sz w:val="21"/>
                      <w:szCs w:val="21"/>
                    </w:rPr>
                  </w:pPr>
                  <w:r>
                    <w:rPr>
                      <w:rFonts w:hint="eastAsia"/>
                      <w:sz w:val="21"/>
                      <w:szCs w:val="21"/>
                    </w:rPr>
                    <w:t>收集后可作为产品外售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5" w:type="pct"/>
                  <w:vMerge w:val="continue"/>
                  <w:vAlign w:val="center"/>
                </w:tcPr>
                <w:p>
                  <w:pPr>
                    <w:pStyle w:val="142"/>
                    <w:snapToGrid/>
                  </w:pPr>
                </w:p>
              </w:tc>
              <w:tc>
                <w:tcPr>
                  <w:tcW w:w="778" w:type="pct"/>
                  <w:vAlign w:val="center"/>
                </w:tcPr>
                <w:p>
                  <w:pPr>
                    <w:autoSpaceDE w:val="0"/>
                    <w:autoSpaceDN w:val="0"/>
                    <w:spacing w:line="240" w:lineRule="auto"/>
                    <w:ind w:firstLine="0" w:firstLineChars="0"/>
                    <w:jc w:val="center"/>
                    <w:rPr>
                      <w:sz w:val="21"/>
                      <w:szCs w:val="21"/>
                    </w:rPr>
                  </w:pPr>
                  <w:r>
                    <w:rPr>
                      <w:rFonts w:hint="eastAsia"/>
                      <w:sz w:val="21"/>
                      <w:szCs w:val="21"/>
                    </w:rPr>
                    <w:t>设备维护</w:t>
                  </w:r>
                </w:p>
              </w:tc>
              <w:tc>
                <w:tcPr>
                  <w:tcW w:w="722" w:type="pct"/>
                  <w:vAlign w:val="center"/>
                </w:tcPr>
                <w:p>
                  <w:pPr>
                    <w:pStyle w:val="142"/>
                    <w:snapToGrid/>
                  </w:pPr>
                  <w:r>
                    <w:rPr>
                      <w:rFonts w:hint="eastAsia" w:hAnsi="宋体"/>
                    </w:rPr>
                    <w:t>废矿物油</w:t>
                  </w:r>
                </w:p>
              </w:tc>
              <w:tc>
                <w:tcPr>
                  <w:tcW w:w="3065" w:type="pct"/>
                  <w:vAlign w:val="center"/>
                </w:tcPr>
                <w:p>
                  <w:pPr>
                    <w:pStyle w:val="144"/>
                    <w:snapToGrid/>
                    <w:spacing w:before="0" w:after="0" w:line="240" w:lineRule="auto"/>
                    <w:ind w:firstLine="0" w:firstLineChars="0"/>
                    <w:jc w:val="center"/>
                    <w:rPr>
                      <w:rFonts w:hAnsi="宋体"/>
                      <w:bCs/>
                      <w:sz w:val="21"/>
                      <w:szCs w:val="21"/>
                    </w:rPr>
                  </w:pPr>
                  <w:r>
                    <w:rPr>
                      <w:rFonts w:hint="eastAsia" w:hAnsi="宋体"/>
                      <w:sz w:val="21"/>
                      <w:szCs w:val="21"/>
                    </w:rPr>
                    <w:t>废矿物油储存于特定容器中，暂存于危废库内，委托有相关处理资质的单位定期外协处置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5" w:type="pct"/>
                  <w:vMerge w:val="continue"/>
                  <w:vAlign w:val="center"/>
                </w:tcPr>
                <w:p>
                  <w:pPr>
                    <w:pStyle w:val="142"/>
                    <w:snapToGrid/>
                  </w:pPr>
                </w:p>
              </w:tc>
              <w:tc>
                <w:tcPr>
                  <w:tcW w:w="778" w:type="pct"/>
                  <w:vAlign w:val="center"/>
                </w:tcPr>
                <w:p>
                  <w:pPr>
                    <w:autoSpaceDE w:val="0"/>
                    <w:autoSpaceDN w:val="0"/>
                    <w:spacing w:line="240" w:lineRule="auto"/>
                    <w:ind w:firstLine="0" w:firstLineChars="0"/>
                    <w:jc w:val="center"/>
                    <w:rPr>
                      <w:sz w:val="21"/>
                      <w:szCs w:val="21"/>
                    </w:rPr>
                  </w:pPr>
                  <w:r>
                    <w:rPr>
                      <w:rFonts w:hint="eastAsia"/>
                      <w:sz w:val="21"/>
                      <w:szCs w:val="21"/>
                    </w:rPr>
                    <w:t>生活办公</w:t>
                  </w:r>
                </w:p>
              </w:tc>
              <w:tc>
                <w:tcPr>
                  <w:tcW w:w="722" w:type="pct"/>
                  <w:vAlign w:val="center"/>
                </w:tcPr>
                <w:p>
                  <w:pPr>
                    <w:pStyle w:val="142"/>
                    <w:snapToGrid/>
                    <w:rPr>
                      <w:rFonts w:hAnsi="宋体"/>
                    </w:rPr>
                  </w:pPr>
                  <w:r>
                    <w:rPr>
                      <w:rFonts w:hAnsi="宋体"/>
                    </w:rPr>
                    <w:t>生活垃圾</w:t>
                  </w:r>
                </w:p>
              </w:tc>
              <w:tc>
                <w:tcPr>
                  <w:tcW w:w="3065" w:type="pct"/>
                  <w:vAlign w:val="center"/>
                </w:tcPr>
                <w:p>
                  <w:pPr>
                    <w:pStyle w:val="144"/>
                    <w:snapToGrid/>
                    <w:spacing w:before="0" w:after="0" w:line="240" w:lineRule="auto"/>
                    <w:ind w:firstLine="0" w:firstLineChars="0"/>
                    <w:jc w:val="center"/>
                    <w:rPr>
                      <w:rFonts w:hAnsi="宋体"/>
                      <w:bCs/>
                      <w:sz w:val="21"/>
                      <w:szCs w:val="21"/>
                    </w:rPr>
                  </w:pPr>
                  <w:r>
                    <w:rPr>
                      <w:rFonts w:hAnsi="宋体"/>
                      <w:sz w:val="21"/>
                      <w:szCs w:val="21"/>
                    </w:rPr>
                    <w:t>设置垃圾筒，垃圾经收集后运至市政指定的地点外协处理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5" w:type="pct"/>
                  <w:vAlign w:val="center"/>
                </w:tcPr>
                <w:p>
                  <w:pPr>
                    <w:pStyle w:val="142"/>
                    <w:snapToGrid/>
                  </w:pPr>
                  <w:r>
                    <w:rPr>
                      <w:rFonts w:hint="eastAsia"/>
                    </w:rPr>
                    <w:t>噪声</w:t>
                  </w:r>
                </w:p>
              </w:tc>
              <w:tc>
                <w:tcPr>
                  <w:tcW w:w="778" w:type="pct"/>
                  <w:vAlign w:val="center"/>
                </w:tcPr>
                <w:p>
                  <w:pPr>
                    <w:pStyle w:val="142"/>
                    <w:snapToGrid/>
                  </w:pPr>
                  <w:r>
                    <w:rPr>
                      <w:rFonts w:hint="eastAsia"/>
                    </w:rPr>
                    <w:t>各产噪设备</w:t>
                  </w:r>
                </w:p>
              </w:tc>
              <w:tc>
                <w:tcPr>
                  <w:tcW w:w="722" w:type="pct"/>
                  <w:vAlign w:val="center"/>
                </w:tcPr>
                <w:p>
                  <w:pPr>
                    <w:pStyle w:val="142"/>
                    <w:snapToGrid/>
                  </w:pPr>
                  <w:r>
                    <w:rPr>
                      <w:rFonts w:hint="eastAsia"/>
                    </w:rPr>
                    <w:t>噪声</w:t>
                  </w:r>
                </w:p>
              </w:tc>
              <w:tc>
                <w:tcPr>
                  <w:tcW w:w="3065" w:type="pct"/>
                  <w:vAlign w:val="center"/>
                </w:tcPr>
                <w:p>
                  <w:pPr>
                    <w:pStyle w:val="142"/>
                    <w:snapToGrid/>
                  </w:pPr>
                  <w:r>
                    <w:rPr>
                      <w:rFonts w:hint="eastAsia"/>
                    </w:rPr>
                    <w:t>选用低噪设备，对主要污染源采取消声、吸声、建筑隔声、基础减震等防噪措施。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35" w:type="pct"/>
                  <w:gridSpan w:val="3"/>
                  <w:vAlign w:val="center"/>
                </w:tcPr>
                <w:p>
                  <w:pPr>
                    <w:pStyle w:val="142"/>
                    <w:snapToGrid/>
                  </w:pPr>
                  <w:r>
                    <w:rPr>
                      <w:rFonts w:hint="eastAsia" w:hAnsi="宋体"/>
                    </w:rPr>
                    <w:t>生态保护措施</w:t>
                  </w:r>
                </w:p>
              </w:tc>
              <w:tc>
                <w:tcPr>
                  <w:tcW w:w="3065" w:type="pct"/>
                  <w:vAlign w:val="center"/>
                </w:tcPr>
                <w:p>
                  <w:pPr>
                    <w:pStyle w:val="144"/>
                    <w:snapToGrid/>
                    <w:spacing w:before="0" w:after="0" w:line="240" w:lineRule="auto"/>
                    <w:ind w:firstLine="0" w:firstLineChars="0"/>
                    <w:jc w:val="center"/>
                    <w:rPr>
                      <w:rFonts w:hAnsi="宋体"/>
                      <w:bCs/>
                      <w:sz w:val="21"/>
                      <w:szCs w:val="21"/>
                    </w:rPr>
                  </w:pPr>
                  <w:r>
                    <w:rPr>
                      <w:rFonts w:hint="eastAsia" w:hAnsi="宋体"/>
                      <w:bCs/>
                      <w:sz w:val="21"/>
                      <w:szCs w:val="21"/>
                    </w:rPr>
                    <w:t>加强绿化，种植乡土植物，绿化面积</w:t>
                  </w:r>
                  <w:r>
                    <w:rPr>
                      <w:rFonts w:hAnsi="宋体"/>
                      <w:bCs/>
                      <w:sz w:val="21"/>
                      <w:szCs w:val="21"/>
                    </w:rPr>
                    <w:t>3750m</w:t>
                  </w:r>
                  <w:r>
                    <w:rPr>
                      <w:rFonts w:hAnsi="宋体"/>
                      <w:bCs/>
                      <w:sz w:val="21"/>
                      <w:szCs w:val="21"/>
                      <w:vertAlign w:val="superscript"/>
                    </w:rPr>
                    <w:t>2</w:t>
                  </w:r>
                  <w:r>
                    <w:rPr>
                      <w:rFonts w:hint="eastAsia" w:hAnsi="宋体"/>
                      <w:bCs/>
                      <w:sz w:val="21"/>
                      <w:szCs w:val="21"/>
                    </w:rPr>
                    <w:t>。</w:t>
                  </w:r>
                </w:p>
              </w:tc>
            </w:tr>
          </w:tbl>
          <w:p>
            <w:pPr>
              <w:pStyle w:val="144"/>
              <w:spacing w:before="0" w:after="0"/>
              <w:ind w:firstLine="480"/>
            </w:pPr>
            <w:r>
              <w:rPr>
                <w:rFonts w:hint="eastAsia"/>
              </w:rPr>
              <w:t>本项目运营期生产过程中产生的上料、出料、鄂式破碎、立式冲击破、超细破碎机粉尘经布袋除尘器处理后可达标排放；</w:t>
            </w:r>
            <w:r>
              <w:rPr>
                <w:rFonts w:hint="eastAsia" w:hAnsi="宋体"/>
              </w:rPr>
              <w:t>本项目产生少量生活盥洗废水及经隔油沉淀的食堂废水用于泼洒抑尘、绿化用水，不外排；洗车废水排至沉淀池沉淀处理后排入清水池循环使用，不外排；本项目运营期产生的固体废物均得到了合理处置或综合利用；本项目运营期产生的设备作业噪声以及运输车辆噪声经采取有效的降噪措施，减小了噪声排放强度；综上所述，本项目通过采取各类污染防治措施，有效降低污染物排放量，对周围环境质量的影响较小。</w:t>
            </w:r>
          </w:p>
          <w:p>
            <w:pPr>
              <w:pStyle w:val="144"/>
              <w:spacing w:before="0" w:after="0"/>
              <w:ind w:firstLine="0" w:firstLineChars="0"/>
              <w:rPr>
                <w:b/>
              </w:rPr>
            </w:pPr>
            <w:r>
              <w:rPr>
                <w:rFonts w:hint="eastAsia"/>
                <w:b/>
              </w:rPr>
              <w:t>5、环境管理及监测计划要求</w:t>
            </w:r>
          </w:p>
          <w:p>
            <w:pPr>
              <w:ind w:firstLine="480"/>
            </w:pPr>
            <w:r>
              <w:t>本报告</w:t>
            </w:r>
            <w:r>
              <w:rPr>
                <w:rFonts w:hint="eastAsia"/>
              </w:rPr>
              <w:t>要求</w:t>
            </w:r>
            <w:r>
              <w:t>建设单位在</w:t>
            </w:r>
            <w:r>
              <w:rPr>
                <w:rFonts w:hint="eastAsia"/>
              </w:rPr>
              <w:t>营运期加强</w:t>
            </w:r>
            <w:r>
              <w:t>环境管理</w:t>
            </w:r>
            <w:r>
              <w:rPr>
                <w:rFonts w:hint="eastAsia"/>
              </w:rPr>
              <w:t>；</w:t>
            </w:r>
            <w:r>
              <w:t>制定《环保领导责任制》、《环保工作管理制度》等管理制度，并设置专人检查制度的执行情况；将环境管理纳入企业生产管理和经济考核体系；制定环境保护安</w:t>
            </w:r>
            <w:r>
              <w:rPr>
                <w:rFonts w:hint="eastAsia"/>
              </w:rPr>
              <w:t>全</w:t>
            </w:r>
            <w:r>
              <w:t>生产制度和防止污染事故应急措施。</w:t>
            </w:r>
          </w:p>
          <w:p>
            <w:pPr>
              <w:ind w:firstLine="480"/>
            </w:pPr>
            <w:r>
              <w:rPr>
                <w:rFonts w:hint="eastAsia"/>
              </w:rPr>
              <w:t>同时排污单位应根据自身条件和能力，利用自有人员、场所和设备自行监测；也可委托其它有资质的检（监）测机构代其开展自行监测，并制定监测方案。监测方案内容包括：单位基本情况、监测点位及示意图、监测指标、执行标准及其限值、监测频次、采样和样品保存方法、监测分析方法和仪器、质量保证与质量控制等。</w:t>
            </w:r>
          </w:p>
          <w:p>
            <w:pPr>
              <w:pStyle w:val="148"/>
              <w:spacing w:before="0" w:after="0"/>
              <w:ind w:firstLine="0" w:firstLineChars="0"/>
              <w:rPr>
                <w:rFonts w:ascii="Times New Roman" w:hAnsi="Times New Roman" w:eastAsia="宋体" w:cs="Times New Roman"/>
                <w:b/>
                <w:sz w:val="24"/>
                <w:szCs w:val="24"/>
              </w:rPr>
            </w:pPr>
            <w:r>
              <w:rPr>
                <w:rFonts w:hint="eastAsia" w:ascii="Times New Roman" w:hAnsi="Times New Roman" w:eastAsia="宋体" w:cs="Times New Roman"/>
                <w:b/>
                <w:sz w:val="24"/>
                <w:szCs w:val="24"/>
              </w:rPr>
              <w:t>6</w:t>
            </w:r>
            <w:r>
              <w:rPr>
                <w:rFonts w:ascii="Times New Roman" w:hAnsi="Times New Roman" w:eastAsia="宋体" w:cs="Times New Roman"/>
                <w:b/>
                <w:sz w:val="24"/>
                <w:szCs w:val="24"/>
              </w:rPr>
              <w:t>、</w:t>
            </w:r>
            <w:r>
              <w:rPr>
                <w:rFonts w:hint="eastAsia" w:ascii="Times New Roman" w:hAnsi="Times New Roman" w:eastAsia="宋体" w:cs="Times New Roman"/>
                <w:b/>
                <w:sz w:val="24"/>
                <w:szCs w:val="24"/>
              </w:rPr>
              <w:t>结论</w:t>
            </w:r>
          </w:p>
          <w:p>
            <w:pPr>
              <w:pStyle w:val="144"/>
              <w:spacing w:before="0" w:after="0"/>
              <w:ind w:firstLine="482"/>
            </w:pPr>
            <w:r>
              <w:rPr>
                <w:rFonts w:hint="eastAsia" w:ascii="宋体" w:hAnsi="宋体"/>
                <w:b/>
              </w:rPr>
              <w:t>综上所述，</w:t>
            </w:r>
            <w:r>
              <w:rPr>
                <w:spacing w:val="4"/>
              </w:rPr>
              <w:t>本项目</w:t>
            </w:r>
            <w:r>
              <w:rPr>
                <w:rFonts w:hint="eastAsia"/>
                <w:spacing w:val="4"/>
              </w:rPr>
              <w:t>的</w:t>
            </w:r>
            <w:r>
              <w:rPr>
                <w:spacing w:val="4"/>
              </w:rPr>
              <w:t>建设</w:t>
            </w:r>
            <w:r>
              <w:rPr>
                <w:rFonts w:hint="eastAsia"/>
                <w:spacing w:val="4"/>
              </w:rPr>
              <w:t>不违背交城县总体规划、交城县生态功能、生态经济</w:t>
            </w:r>
            <w:r>
              <w:rPr>
                <w:spacing w:val="4"/>
              </w:rPr>
              <w:t>规划</w:t>
            </w:r>
            <w:r>
              <w:rPr>
                <w:rFonts w:hint="eastAsia"/>
                <w:spacing w:val="4"/>
              </w:rPr>
              <w:t>的要求</w:t>
            </w:r>
            <w:r>
              <w:rPr>
                <w:spacing w:val="4"/>
              </w:rPr>
              <w:t>；</w:t>
            </w:r>
            <w:r>
              <w:rPr>
                <w:rFonts w:hint="eastAsia"/>
                <w:spacing w:val="4"/>
              </w:rPr>
              <w:t>在切实履行环评提出的各项</w:t>
            </w:r>
            <w:r>
              <w:rPr>
                <w:spacing w:val="4"/>
              </w:rPr>
              <w:t>污染防治措施</w:t>
            </w:r>
            <w:r>
              <w:rPr>
                <w:rFonts w:hint="eastAsia"/>
                <w:spacing w:val="4"/>
              </w:rPr>
              <w:t>的条件下</w:t>
            </w:r>
            <w:r>
              <w:rPr>
                <w:spacing w:val="4"/>
              </w:rPr>
              <w:t>，</w:t>
            </w:r>
            <w:r>
              <w:rPr>
                <w:rFonts w:hint="eastAsia"/>
                <w:spacing w:val="4"/>
              </w:rPr>
              <w:t>项目产生的</w:t>
            </w:r>
            <w:r>
              <w:rPr>
                <w:spacing w:val="4"/>
              </w:rPr>
              <w:t>各</w:t>
            </w:r>
            <w:r>
              <w:rPr>
                <w:rFonts w:hint="eastAsia"/>
                <w:spacing w:val="4"/>
              </w:rPr>
              <w:t>类</w:t>
            </w:r>
            <w:r>
              <w:rPr>
                <w:spacing w:val="4"/>
              </w:rPr>
              <w:t>污染物</w:t>
            </w:r>
            <w:r>
              <w:rPr>
                <w:rFonts w:hint="eastAsia"/>
                <w:bCs/>
                <w:spacing w:val="4"/>
              </w:rPr>
              <w:t>可以做到达标排放和合理处置</w:t>
            </w:r>
            <w:r>
              <w:rPr>
                <w:spacing w:val="4"/>
              </w:rPr>
              <w:t>，对区域的大气、地表水、</w:t>
            </w:r>
            <w:r>
              <w:rPr>
                <w:rFonts w:hint="eastAsia"/>
                <w:spacing w:val="4"/>
              </w:rPr>
              <w:t>地下水、</w:t>
            </w:r>
            <w:r>
              <w:rPr>
                <w:spacing w:val="4"/>
              </w:rPr>
              <w:t>声环境及生态环境影响</w:t>
            </w:r>
            <w:r>
              <w:rPr>
                <w:rFonts w:hint="eastAsia"/>
                <w:spacing w:val="4"/>
              </w:rPr>
              <w:t>较</w:t>
            </w:r>
            <w:r>
              <w:rPr>
                <w:spacing w:val="4"/>
              </w:rPr>
              <w:t>小，周边环境对其建设制约因素也较小；</w:t>
            </w:r>
            <w:r>
              <w:rPr>
                <w:rFonts w:hint="eastAsia"/>
                <w:spacing w:val="4"/>
              </w:rPr>
              <w:t>因此，本</w:t>
            </w:r>
            <w:r>
              <w:rPr>
                <w:spacing w:val="4"/>
              </w:rPr>
              <w:t>项目在严格贯彻执行国家环保法律、法规，认真落实评价中所提出的污染防治措施的基础上，从环保角度考虑，本项目的建设是可行的</w:t>
            </w:r>
            <w:r>
              <w:rPr>
                <w:rFonts w:hint="eastAsia"/>
                <w:spacing w:val="4"/>
              </w:rPr>
              <w:t>。</w:t>
            </w:r>
          </w:p>
          <w:p>
            <w:pPr>
              <w:pStyle w:val="172"/>
            </w:pPr>
            <w:r>
              <w:t>二、建议</w:t>
            </w:r>
          </w:p>
          <w:p>
            <w:pPr>
              <w:ind w:firstLine="480"/>
            </w:pPr>
            <w:r>
              <w:rPr>
                <w:rFonts w:hint="eastAsia"/>
              </w:rPr>
              <w:t>（l）对各污染治理设施进行定期维护，确保各污染治理设施可以长期稳定运行，排放的污染物可以达标排放。</w:t>
            </w:r>
          </w:p>
          <w:p>
            <w:pPr>
              <w:pStyle w:val="144"/>
              <w:spacing w:before="0" w:after="0"/>
              <w:ind w:firstLine="480"/>
            </w:pPr>
            <w:r>
              <w:rPr>
                <w:rFonts w:hint="eastAsia"/>
              </w:rPr>
              <w:t>（2）加强各产噪设备的维护，确保厂界噪声达标排放。</w:t>
            </w:r>
          </w:p>
          <w:p>
            <w:pPr>
              <w:ind w:firstLine="480"/>
            </w:pPr>
            <w:r>
              <w:rPr>
                <w:rFonts w:hint="eastAsia"/>
              </w:rPr>
              <w:t>（3）加强环境管理，建立建全环保机构和环境管理制度，贯彻执行国家和地方的环境法律、法规。编制年度环境监测计划，组织环保宣传，培训和教育工作。</w:t>
            </w:r>
          </w:p>
          <w:p>
            <w:pPr>
              <w:pStyle w:val="144"/>
              <w:snapToGrid/>
              <w:spacing w:before="0" w:after="0" w:line="400" w:lineRule="exact"/>
              <w:ind w:firstLine="480"/>
            </w:pPr>
            <w:r>
              <w:rPr>
                <w:rFonts w:hint="eastAsia"/>
              </w:rPr>
              <w:t>（4）按照相关规定淘汰落后生产设备，降低环境污染，促进工业结构优化升级。</w:t>
            </w: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p>
            <w:pPr>
              <w:pStyle w:val="144"/>
              <w:snapToGrid/>
              <w:spacing w:before="0" w:after="0" w:line="400" w:lineRule="exact"/>
              <w:ind w:firstLine="48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5" w:hRule="atLeast"/>
        </w:trPr>
        <w:tc>
          <w:tcPr>
            <w:tcW w:w="5000" w:type="pct"/>
          </w:tcPr>
          <w:p>
            <w:pPr>
              <w:ind w:firstLine="0" w:firstLineChars="0"/>
              <w:rPr>
                <w:bCs/>
              </w:rPr>
            </w:pPr>
            <w:r>
              <w:rPr>
                <w:bCs/>
              </w:rPr>
              <w:t>预审意见：</w:t>
            </w: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r>
              <w:rPr>
                <w:bCs/>
              </w:rPr>
              <w:t xml:space="preserve">                                              公       章</w:t>
            </w:r>
          </w:p>
          <w:p>
            <w:pPr>
              <w:ind w:firstLine="480"/>
              <w:rPr>
                <w:bCs/>
              </w:rPr>
            </w:pPr>
          </w:p>
          <w:p>
            <w:pPr>
              <w:ind w:firstLine="480"/>
              <w:rPr>
                <w:bCs/>
              </w:rPr>
            </w:pPr>
            <w:r>
              <w:rPr>
                <w:bCs/>
              </w:rPr>
              <w:t>经办人：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1" w:hRule="atLeast"/>
        </w:trPr>
        <w:tc>
          <w:tcPr>
            <w:tcW w:w="5000" w:type="pct"/>
          </w:tcPr>
          <w:p>
            <w:pPr>
              <w:ind w:firstLine="0" w:firstLineChars="0"/>
              <w:rPr>
                <w:bCs/>
              </w:rPr>
            </w:pPr>
            <w:r>
              <w:rPr>
                <w:bCs/>
              </w:rPr>
              <w:t>下一级环境保护行政主管部门审查意见：</w:t>
            </w: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r>
              <w:rPr>
                <w:bCs/>
              </w:rPr>
              <w:t xml:space="preserve">                                                 公    章</w:t>
            </w:r>
          </w:p>
          <w:p>
            <w:pPr>
              <w:ind w:firstLine="480"/>
              <w:rPr>
                <w:bCs/>
              </w:rPr>
            </w:pPr>
          </w:p>
          <w:p>
            <w:pPr>
              <w:ind w:firstLine="480"/>
              <w:rPr>
                <w:bCs/>
              </w:rPr>
            </w:pPr>
            <w:r>
              <w:rPr>
                <w:bCs/>
              </w:rPr>
              <w:t>经办人：                                       年     月     日</w:t>
            </w:r>
          </w:p>
          <w:p>
            <w:pPr>
              <w:ind w:firstLine="480"/>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60" w:hRule="atLeast"/>
        </w:trPr>
        <w:tc>
          <w:tcPr>
            <w:tcW w:w="5000" w:type="pct"/>
          </w:tcPr>
          <w:p>
            <w:pPr>
              <w:ind w:firstLine="0" w:firstLineChars="0"/>
              <w:rPr>
                <w:bCs/>
              </w:rPr>
            </w:pPr>
            <w:r>
              <w:rPr>
                <w:bCs/>
              </w:rPr>
              <w:t>审批意见：</w:t>
            </w: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p>
          <w:p>
            <w:pPr>
              <w:ind w:firstLine="480"/>
              <w:rPr>
                <w:bCs/>
              </w:rPr>
            </w:pPr>
            <w:r>
              <w:rPr>
                <w:bCs/>
              </w:rPr>
              <w:t xml:space="preserve">                                                公    章</w:t>
            </w:r>
          </w:p>
          <w:p>
            <w:pPr>
              <w:ind w:firstLine="480"/>
              <w:rPr>
                <w:bCs/>
              </w:rPr>
            </w:pPr>
          </w:p>
          <w:p>
            <w:pPr>
              <w:ind w:firstLine="480"/>
              <w:rPr>
                <w:bCs/>
              </w:rPr>
            </w:pPr>
            <w:r>
              <w:rPr>
                <w:bCs/>
              </w:rPr>
              <w:t xml:space="preserve">经办人：                     </w:t>
            </w:r>
            <w:r>
              <w:rPr>
                <w:rFonts w:hint="eastAsia"/>
                <w:bCs/>
              </w:rPr>
              <w:t xml:space="preserve"> </w:t>
            </w:r>
            <w:r>
              <w:rPr>
                <w:bCs/>
              </w:rPr>
              <w:t xml:space="preserve">               年     月     日</w:t>
            </w:r>
          </w:p>
          <w:p>
            <w:pPr>
              <w:ind w:firstLine="480"/>
              <w:rPr>
                <w:bCs/>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82" w:hRule="atLeast"/>
        </w:trPr>
        <w:tc>
          <w:tcPr>
            <w:tcW w:w="5000" w:type="pct"/>
          </w:tcPr>
          <w:p>
            <w:pPr>
              <w:spacing w:beforeLines="100" w:afterLines="50" w:line="440" w:lineRule="exact"/>
              <w:ind w:firstLine="640"/>
              <w:jc w:val="center"/>
              <w:rPr>
                <w:rFonts w:ascii="黑体" w:eastAsia="黑体"/>
                <w:sz w:val="32"/>
              </w:rPr>
            </w:pPr>
            <w:r>
              <w:rPr>
                <w:rFonts w:hint="eastAsia" w:ascii="黑体" w:eastAsia="黑体"/>
                <w:sz w:val="32"/>
              </w:rPr>
              <w:t>注  释</w:t>
            </w:r>
          </w:p>
          <w:p>
            <w:pPr>
              <w:pStyle w:val="144"/>
              <w:spacing w:before="0" w:after="0"/>
              <w:ind w:firstLine="480"/>
            </w:pPr>
            <w:r>
              <w:rPr>
                <w:rFonts w:hint="eastAsia"/>
              </w:rPr>
              <w:t>一、</w:t>
            </w:r>
            <w:r>
              <w:t>本报告表应附以下附件、附图：</w:t>
            </w:r>
          </w:p>
          <w:p>
            <w:pPr>
              <w:pStyle w:val="144"/>
              <w:spacing w:before="0" w:after="0"/>
              <w:ind w:firstLine="480"/>
            </w:pPr>
            <w:r>
              <w:t>附图1  项目地理位置图</w:t>
            </w:r>
          </w:p>
          <w:p>
            <w:pPr>
              <w:pStyle w:val="144"/>
              <w:spacing w:before="0" w:after="0"/>
              <w:ind w:firstLine="480"/>
            </w:pPr>
            <w:r>
              <w:rPr>
                <w:rFonts w:hint="eastAsia"/>
              </w:rPr>
              <w:t>附图2  生态功能区划图</w:t>
            </w:r>
          </w:p>
          <w:p>
            <w:pPr>
              <w:pStyle w:val="144"/>
              <w:spacing w:before="0" w:after="0"/>
              <w:ind w:firstLine="480"/>
            </w:pPr>
            <w:r>
              <w:rPr>
                <w:rFonts w:hint="eastAsia"/>
              </w:rPr>
              <w:t>附图3  生态经济区划图</w:t>
            </w:r>
          </w:p>
          <w:p>
            <w:pPr>
              <w:pStyle w:val="144"/>
              <w:spacing w:before="0" w:after="0"/>
              <w:ind w:firstLine="480"/>
            </w:pPr>
            <w:r>
              <w:rPr>
                <w:rFonts w:hint="eastAsia"/>
              </w:rPr>
              <w:t>附图4  四邻关系及环境保护目标图</w:t>
            </w:r>
          </w:p>
          <w:p>
            <w:pPr>
              <w:pStyle w:val="144"/>
              <w:spacing w:before="0" w:after="0"/>
              <w:ind w:firstLine="480"/>
            </w:pPr>
            <w:r>
              <w:rPr>
                <w:rFonts w:hint="eastAsia"/>
              </w:rPr>
              <w:t>附图5  总平面布置图</w:t>
            </w:r>
          </w:p>
          <w:p>
            <w:pPr>
              <w:pStyle w:val="144"/>
              <w:spacing w:before="0" w:after="0"/>
              <w:ind w:firstLine="480"/>
            </w:pPr>
            <w:r>
              <w:rPr>
                <w:rFonts w:hint="eastAsia"/>
              </w:rPr>
              <w:t>附图6  地表水系图</w:t>
            </w:r>
          </w:p>
          <w:p>
            <w:pPr>
              <w:pStyle w:val="144"/>
              <w:spacing w:before="0" w:after="0"/>
              <w:ind w:firstLine="480"/>
            </w:pPr>
            <w:r>
              <w:rPr>
                <w:rFonts w:hint="eastAsia"/>
              </w:rPr>
              <w:t>附图7  水源地相对位置图</w:t>
            </w:r>
          </w:p>
          <w:p>
            <w:pPr>
              <w:pStyle w:val="144"/>
              <w:spacing w:before="0" w:after="0"/>
              <w:ind w:firstLine="480"/>
            </w:pPr>
            <w:r>
              <w:rPr>
                <w:rFonts w:hint="eastAsia"/>
              </w:rPr>
              <w:t>附图8  水峪贯镇水源地保护区范围图</w:t>
            </w:r>
          </w:p>
          <w:p>
            <w:pPr>
              <w:pStyle w:val="144"/>
              <w:spacing w:before="0" w:after="0"/>
              <w:ind w:firstLine="480"/>
            </w:pPr>
            <w:r>
              <w:t xml:space="preserve">附件1  </w:t>
            </w:r>
            <w:r>
              <w:rPr>
                <w:rFonts w:hint="eastAsia"/>
              </w:rPr>
              <w:t>项目环评委托书</w:t>
            </w:r>
          </w:p>
          <w:p>
            <w:pPr>
              <w:pStyle w:val="144"/>
              <w:spacing w:before="0" w:after="0"/>
              <w:ind w:firstLine="480"/>
            </w:pPr>
            <w:r>
              <w:rPr>
                <w:rFonts w:hint="eastAsia"/>
              </w:rPr>
              <w:t xml:space="preserve">附件2 </w:t>
            </w:r>
            <w:r>
              <w:t xml:space="preserve"> </w:t>
            </w:r>
            <w:r>
              <w:rPr>
                <w:rFonts w:hint="eastAsia"/>
              </w:rPr>
              <w:t>与项目相关的其他文件</w:t>
            </w:r>
          </w:p>
          <w:p>
            <w:pPr>
              <w:pStyle w:val="144"/>
              <w:spacing w:before="0" w:after="0"/>
              <w:ind w:firstLine="480"/>
              <w:rPr>
                <w:szCs w:val="28"/>
              </w:rPr>
            </w:pPr>
            <w:r>
              <w:rPr>
                <w:rFonts w:hint="eastAsia"/>
              </w:rPr>
              <w:t>附表  建设项目环评审批基础信息表</w:t>
            </w:r>
          </w:p>
        </w:tc>
      </w:tr>
    </w:tbl>
    <w:p>
      <w:pPr>
        <w:spacing w:line="240" w:lineRule="auto"/>
        <w:ind w:firstLine="0" w:firstLineChars="0"/>
        <w:sectPr>
          <w:pgSz w:w="11907" w:h="16840"/>
          <w:pgMar w:top="1418" w:right="1361" w:bottom="1418" w:left="1474" w:header="851" w:footer="992" w:gutter="0"/>
          <w:cols w:space="720" w:num="1"/>
          <w:docGrid w:linePitch="312" w:charSpace="0"/>
        </w:sectPr>
      </w:pPr>
    </w:p>
    <w:p>
      <w:pPr>
        <w:spacing w:line="240" w:lineRule="auto"/>
        <w:ind w:firstLine="0" w:firstLineChars="0"/>
        <w:jc w:val="center"/>
      </w:pPr>
      <w:r>
        <w:drawing>
          <wp:inline distT="0" distB="0" distL="0" distR="0">
            <wp:extent cx="8382000" cy="5610225"/>
            <wp:effectExtent l="0" t="0" r="0" b="952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64"/>
                    <a:stretch>
                      <a:fillRect/>
                    </a:stretch>
                  </pic:blipFill>
                  <pic:spPr>
                    <a:xfrm>
                      <a:off x="0" y="0"/>
                      <a:ext cx="8382000" cy="5610225"/>
                    </a:xfrm>
                    <a:prstGeom prst="rect">
                      <a:avLst/>
                    </a:prstGeom>
                  </pic:spPr>
                </pic:pic>
              </a:graphicData>
            </a:graphic>
          </wp:inline>
        </w:drawing>
      </w:r>
    </w:p>
    <w:p>
      <w:pPr>
        <w:spacing w:line="240" w:lineRule="auto"/>
        <w:ind w:firstLine="0" w:firstLineChars="0"/>
        <w:jc w:val="center"/>
      </w:pPr>
      <w:r>
        <w:drawing>
          <wp:inline distT="0" distB="0" distL="0" distR="0">
            <wp:extent cx="8107045" cy="561975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65"/>
                    <a:stretch>
                      <a:fillRect/>
                    </a:stretch>
                  </pic:blipFill>
                  <pic:spPr>
                    <a:xfrm>
                      <a:off x="0" y="0"/>
                      <a:ext cx="8112440" cy="5623281"/>
                    </a:xfrm>
                    <a:prstGeom prst="rect">
                      <a:avLst/>
                    </a:prstGeom>
                  </pic:spPr>
                </pic:pic>
              </a:graphicData>
            </a:graphic>
          </wp:inline>
        </w:drawing>
      </w:r>
    </w:p>
    <w:p>
      <w:pPr>
        <w:spacing w:line="240" w:lineRule="auto"/>
        <w:ind w:firstLine="0" w:firstLineChars="0"/>
        <w:jc w:val="center"/>
      </w:pPr>
      <w:r>
        <w:drawing>
          <wp:inline distT="0" distB="0" distL="0" distR="0">
            <wp:extent cx="6962775" cy="5686425"/>
            <wp:effectExtent l="0" t="0" r="9525" b="952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66"/>
                    <a:stretch>
                      <a:fillRect/>
                    </a:stretch>
                  </pic:blipFill>
                  <pic:spPr>
                    <a:xfrm>
                      <a:off x="0" y="0"/>
                      <a:ext cx="6962775" cy="5686425"/>
                    </a:xfrm>
                    <a:prstGeom prst="rect">
                      <a:avLst/>
                    </a:prstGeom>
                  </pic:spPr>
                </pic:pic>
              </a:graphicData>
            </a:graphic>
          </wp:inline>
        </w:drawing>
      </w:r>
    </w:p>
    <w:p>
      <w:pPr>
        <w:spacing w:line="240" w:lineRule="auto"/>
        <w:ind w:firstLine="0" w:firstLineChars="0"/>
        <w:jc w:val="center"/>
      </w:pPr>
      <w:r>
        <w:drawing>
          <wp:inline distT="0" distB="0" distL="0" distR="0">
            <wp:extent cx="8334375" cy="5676900"/>
            <wp:effectExtent l="0" t="0" r="952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67"/>
                    <a:stretch>
                      <a:fillRect/>
                    </a:stretch>
                  </pic:blipFill>
                  <pic:spPr>
                    <a:xfrm>
                      <a:off x="0" y="0"/>
                      <a:ext cx="8334375" cy="5676900"/>
                    </a:xfrm>
                    <a:prstGeom prst="rect">
                      <a:avLst/>
                    </a:prstGeom>
                  </pic:spPr>
                </pic:pic>
              </a:graphicData>
            </a:graphic>
          </wp:inline>
        </w:drawing>
      </w:r>
    </w:p>
    <w:p>
      <w:pPr>
        <w:spacing w:line="240" w:lineRule="auto"/>
        <w:ind w:firstLine="0" w:firstLineChars="0"/>
        <w:jc w:val="center"/>
        <w:sectPr>
          <w:pgSz w:w="16840" w:h="11907" w:orient="landscape"/>
          <w:pgMar w:top="1474" w:right="1418" w:bottom="1361" w:left="1418" w:header="851" w:footer="992" w:gutter="0"/>
          <w:cols w:space="720" w:num="1"/>
          <w:docGrid w:linePitch="312" w:charSpace="0"/>
        </w:sectPr>
      </w:pPr>
    </w:p>
    <w:p>
      <w:pPr>
        <w:spacing w:line="240" w:lineRule="auto"/>
        <w:ind w:firstLine="0" w:firstLineChars="0"/>
        <w:jc w:val="center"/>
      </w:pPr>
      <w:r>
        <w:drawing>
          <wp:inline distT="0" distB="0" distL="0" distR="0">
            <wp:extent cx="5824855" cy="845693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68"/>
                    <a:stretch>
                      <a:fillRect/>
                    </a:stretch>
                  </pic:blipFill>
                  <pic:spPr>
                    <a:xfrm>
                      <a:off x="0" y="0"/>
                      <a:ext cx="5853551" cy="8498163"/>
                    </a:xfrm>
                    <a:prstGeom prst="rect">
                      <a:avLst/>
                    </a:prstGeom>
                  </pic:spPr>
                </pic:pic>
              </a:graphicData>
            </a:graphic>
          </wp:inline>
        </w:drawing>
      </w:r>
    </w:p>
    <w:p>
      <w:pPr>
        <w:spacing w:line="240" w:lineRule="auto"/>
        <w:ind w:firstLine="0" w:firstLineChars="0"/>
        <w:jc w:val="center"/>
        <w:sectPr>
          <w:pgSz w:w="11907" w:h="16840"/>
          <w:pgMar w:top="1418" w:right="1361" w:bottom="1418" w:left="1474" w:header="851" w:footer="992" w:gutter="0"/>
          <w:cols w:space="720" w:num="1"/>
          <w:docGrid w:linePitch="312" w:charSpace="0"/>
        </w:sectPr>
      </w:pPr>
    </w:p>
    <w:p>
      <w:pPr>
        <w:spacing w:line="240" w:lineRule="auto"/>
        <w:ind w:firstLine="0" w:firstLineChars="0"/>
        <w:jc w:val="center"/>
      </w:pPr>
      <w:r>
        <w:drawing>
          <wp:inline distT="0" distB="0" distL="0" distR="0">
            <wp:extent cx="8839200" cy="576072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69"/>
                    <a:stretch>
                      <a:fillRect/>
                    </a:stretch>
                  </pic:blipFill>
                  <pic:spPr>
                    <a:xfrm>
                      <a:off x="0" y="0"/>
                      <a:ext cx="8839200" cy="5760720"/>
                    </a:xfrm>
                    <a:prstGeom prst="rect">
                      <a:avLst/>
                    </a:prstGeom>
                  </pic:spPr>
                </pic:pic>
              </a:graphicData>
            </a:graphic>
          </wp:inline>
        </w:drawing>
      </w:r>
    </w:p>
    <w:p>
      <w:pPr>
        <w:spacing w:line="240" w:lineRule="auto"/>
        <w:ind w:firstLine="0" w:firstLineChars="0"/>
        <w:jc w:val="center"/>
      </w:pPr>
      <w:r>
        <w:drawing>
          <wp:inline distT="0" distB="0" distL="0" distR="0">
            <wp:extent cx="8324850" cy="561975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70"/>
                    <a:stretch>
                      <a:fillRect/>
                    </a:stretch>
                  </pic:blipFill>
                  <pic:spPr>
                    <a:xfrm>
                      <a:off x="0" y="0"/>
                      <a:ext cx="8324850" cy="5619750"/>
                    </a:xfrm>
                    <a:prstGeom prst="rect">
                      <a:avLst/>
                    </a:prstGeom>
                  </pic:spPr>
                </pic:pic>
              </a:graphicData>
            </a:graphic>
          </wp:inline>
        </w:drawing>
      </w:r>
    </w:p>
    <w:p>
      <w:pPr>
        <w:spacing w:line="240" w:lineRule="auto"/>
        <w:ind w:firstLine="0" w:firstLineChars="0"/>
        <w:jc w:val="center"/>
      </w:pPr>
      <w:r>
        <w:drawing>
          <wp:inline distT="0" distB="0" distL="0" distR="0">
            <wp:extent cx="8027035" cy="576072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71"/>
                    <a:stretch>
                      <a:fillRect/>
                    </a:stretch>
                  </pic:blipFill>
                  <pic:spPr>
                    <a:xfrm>
                      <a:off x="0" y="0"/>
                      <a:ext cx="8027035" cy="5760720"/>
                    </a:xfrm>
                    <a:prstGeom prst="rect">
                      <a:avLst/>
                    </a:prstGeom>
                  </pic:spPr>
                </pic:pic>
              </a:graphicData>
            </a:graphic>
          </wp:inline>
        </w:drawing>
      </w:r>
    </w:p>
    <w:p>
      <w:pPr>
        <w:spacing w:line="240" w:lineRule="auto"/>
        <w:ind w:firstLine="0" w:firstLineChars="0"/>
        <w:jc w:val="center"/>
      </w:pPr>
      <w:r>
        <w:drawing>
          <wp:inline distT="0" distB="0" distL="0" distR="0">
            <wp:extent cx="8696325" cy="5686425"/>
            <wp:effectExtent l="0" t="0" r="9525" b="952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72"/>
                    <a:stretch>
                      <a:fillRect/>
                    </a:stretch>
                  </pic:blipFill>
                  <pic:spPr>
                    <a:xfrm>
                      <a:off x="0" y="0"/>
                      <a:ext cx="8696325" cy="5686425"/>
                    </a:xfrm>
                    <a:prstGeom prst="rect">
                      <a:avLst/>
                    </a:prstGeom>
                  </pic:spPr>
                </pic:pic>
              </a:graphicData>
            </a:graphic>
          </wp:inline>
        </w:drawing>
      </w:r>
    </w:p>
    <w:p>
      <w:pPr>
        <w:spacing w:line="240" w:lineRule="auto"/>
        <w:ind w:firstLine="0" w:firstLineChars="0"/>
        <w:sectPr>
          <w:pgSz w:w="16840" w:h="11907" w:orient="landscape"/>
          <w:pgMar w:top="1474" w:right="1418" w:bottom="1361" w:left="1418" w:header="851" w:footer="992" w:gutter="0"/>
          <w:cols w:space="720" w:num="1"/>
          <w:docGrid w:linePitch="312" w:charSpace="0"/>
        </w:sectPr>
      </w:pPr>
    </w:p>
    <w:p>
      <w:pPr>
        <w:spacing w:line="240" w:lineRule="auto"/>
        <w:ind w:firstLine="0" w:firstLineChars="0"/>
        <w:jc w:val="center"/>
      </w:pPr>
      <w:r>
        <w:drawing>
          <wp:inline distT="0" distB="0" distL="0" distR="0">
            <wp:extent cx="5760720" cy="814832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r>
        <w:drawing>
          <wp:inline distT="0" distB="0" distL="0" distR="0">
            <wp:extent cx="5760720" cy="794766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5760720" cy="7947660"/>
                    </a:xfrm>
                    <a:prstGeom prst="rect">
                      <a:avLst/>
                    </a:prstGeom>
                  </pic:spPr>
                </pic:pic>
              </a:graphicData>
            </a:graphic>
          </wp:inline>
        </w:drawing>
      </w:r>
      <w:r>
        <w:drawing>
          <wp:inline distT="0" distB="0" distL="0" distR="0">
            <wp:extent cx="5760720" cy="836549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5760720" cy="8365490"/>
                    </a:xfrm>
                    <a:prstGeom prst="rect">
                      <a:avLst/>
                    </a:prstGeom>
                  </pic:spPr>
                </pic:pic>
              </a:graphicData>
            </a:graphic>
          </wp:inline>
        </w:drawing>
      </w:r>
      <w:r>
        <w:drawing>
          <wp:inline distT="0" distB="0" distL="0" distR="0">
            <wp:extent cx="6826885" cy="4826635"/>
            <wp:effectExtent l="0" t="990600" r="0" b="9836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rot="5400000">
                      <a:off x="0" y="0"/>
                      <a:ext cx="6832879" cy="4830920"/>
                    </a:xfrm>
                    <a:prstGeom prst="rect">
                      <a:avLst/>
                    </a:prstGeom>
                  </pic:spPr>
                </pic:pic>
              </a:graphicData>
            </a:graphic>
          </wp:inline>
        </w:drawing>
      </w:r>
      <w:r>
        <w:drawing>
          <wp:inline distT="0" distB="0" distL="0" distR="0">
            <wp:extent cx="5760720" cy="814768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60720" cy="8147685"/>
                    </a:xfrm>
                    <a:prstGeom prst="rect">
                      <a:avLst/>
                    </a:prstGeom>
                  </pic:spPr>
                </pic:pic>
              </a:graphicData>
            </a:graphic>
          </wp:inline>
        </w:drawing>
      </w:r>
      <w:r>
        <w:drawing>
          <wp:inline distT="0" distB="0" distL="0" distR="0">
            <wp:extent cx="5760720" cy="814768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60720" cy="8147685"/>
                    </a:xfrm>
                    <a:prstGeom prst="rect">
                      <a:avLst/>
                    </a:prstGeom>
                  </pic:spPr>
                </pic:pic>
              </a:graphicData>
            </a:graphic>
          </wp:inline>
        </w:drawing>
      </w:r>
      <w:r>
        <w:drawing>
          <wp:inline distT="0" distB="0" distL="0" distR="0">
            <wp:extent cx="5760720" cy="814768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60720" cy="8147685"/>
                    </a:xfrm>
                    <a:prstGeom prst="rect">
                      <a:avLst/>
                    </a:prstGeom>
                  </pic:spPr>
                </pic:pic>
              </a:graphicData>
            </a:graphic>
          </wp:inline>
        </w:drawing>
      </w:r>
      <w:r>
        <w:drawing>
          <wp:inline distT="0" distB="0" distL="0" distR="0">
            <wp:extent cx="5760720" cy="814768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60720" cy="8147685"/>
                    </a:xfrm>
                    <a:prstGeom prst="rect">
                      <a:avLst/>
                    </a:prstGeom>
                  </pic:spPr>
                </pic:pic>
              </a:graphicData>
            </a:graphic>
          </wp:inline>
        </w:drawing>
      </w:r>
      <w:r>
        <w:drawing>
          <wp:inline distT="0" distB="0" distL="0" distR="0">
            <wp:extent cx="5760720" cy="814768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60720" cy="8147685"/>
                    </a:xfrm>
                    <a:prstGeom prst="rect">
                      <a:avLst/>
                    </a:prstGeom>
                  </pic:spPr>
                </pic:pic>
              </a:graphicData>
            </a:graphic>
          </wp:inline>
        </w:drawing>
      </w:r>
      <w:r>
        <w:drawing>
          <wp:inline distT="0" distB="0" distL="0" distR="0">
            <wp:extent cx="5760720" cy="814197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641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pic:spPr>
                </pic:pic>
              </a:graphicData>
            </a:graphic>
          </wp:inline>
        </w:drawing>
      </w:r>
      <w:r>
        <w:drawing>
          <wp:inline distT="0" distB="0" distL="0" distR="0">
            <wp:extent cx="5760720" cy="814641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pic:spPr>
                </pic:pic>
              </a:graphicData>
            </a:graphic>
          </wp:inline>
        </w:drawing>
      </w:r>
      <w:r>
        <w:drawing>
          <wp:inline distT="0" distB="0" distL="0" distR="0">
            <wp:extent cx="5760720" cy="814641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pic:spPr>
                </pic:pic>
              </a:graphicData>
            </a:graphic>
          </wp:inline>
        </w:drawing>
      </w:r>
      <w:r>
        <w:drawing>
          <wp:inline distT="0" distB="0" distL="0" distR="0">
            <wp:extent cx="5760720" cy="407352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r>
        <w:drawing>
          <wp:inline distT="0" distB="0" distL="0" distR="0">
            <wp:extent cx="5760720" cy="814641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pic:spPr>
                </pic:pic>
              </a:graphicData>
            </a:graphic>
          </wp:inline>
        </w:drawing>
      </w:r>
      <w:r>
        <w:drawing>
          <wp:inline distT="0" distB="0" distL="0" distR="0">
            <wp:extent cx="5760720" cy="814641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pic:spPr>
                </pic:pic>
              </a:graphicData>
            </a:graphic>
          </wp:inline>
        </w:drawing>
      </w:r>
      <w:r>
        <w:drawing>
          <wp:inline distT="0" distB="0" distL="0" distR="0">
            <wp:extent cx="5760720" cy="814641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pic:spPr>
                </pic:pic>
              </a:graphicData>
            </a:graphic>
          </wp:inline>
        </w:drawing>
      </w:r>
      <w:r>
        <w:drawing>
          <wp:inline distT="0" distB="0" distL="0" distR="0">
            <wp:extent cx="5760720" cy="814641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pic:spPr>
                </pic:pic>
              </a:graphicData>
            </a:graphic>
          </wp:inline>
        </w:drawing>
      </w:r>
      <w:r>
        <w:drawing>
          <wp:inline distT="0" distB="0" distL="0" distR="0">
            <wp:extent cx="5760720" cy="814832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r>
        <w:drawing>
          <wp:inline distT="0" distB="0" distL="0" distR="0">
            <wp:extent cx="5760720" cy="814197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197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r>
        <w:drawing>
          <wp:inline distT="0" distB="0" distL="0" distR="0">
            <wp:extent cx="5760720" cy="814387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5760720" cy="8143875"/>
                    </a:xfrm>
                    <a:prstGeom prst="rect">
                      <a:avLst/>
                    </a:prstGeom>
                  </pic:spPr>
                </pic:pic>
              </a:graphicData>
            </a:graphic>
          </wp:inline>
        </w:drawing>
      </w:r>
      <w:r>
        <w:drawing>
          <wp:inline distT="0" distB="0" distL="0" distR="0">
            <wp:extent cx="5760720" cy="875855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5760720" cy="8758555"/>
                    </a:xfrm>
                    <a:prstGeom prst="rect">
                      <a:avLst/>
                    </a:prstGeom>
                  </pic:spPr>
                </pic:pic>
              </a:graphicData>
            </a:graphic>
          </wp:inline>
        </w:drawing>
      </w:r>
      <w:r>
        <w:drawing>
          <wp:inline distT="0" distB="0" distL="0" distR="0">
            <wp:extent cx="5662930" cy="889254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0" y="0"/>
                      <a:ext cx="5662930" cy="8892540"/>
                    </a:xfrm>
                    <a:prstGeom prst="rect">
                      <a:avLst/>
                    </a:prstGeom>
                  </pic:spPr>
                </pic:pic>
              </a:graphicData>
            </a:graphic>
          </wp:inline>
        </w:drawing>
      </w:r>
      <w:r>
        <w:drawing>
          <wp:inline distT="0" distB="0" distL="0" distR="0">
            <wp:extent cx="5760720" cy="786193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60720" cy="7861935"/>
                    </a:xfrm>
                    <a:prstGeom prst="rect">
                      <a:avLst/>
                    </a:prstGeom>
                  </pic:spPr>
                </pic:pic>
              </a:graphicData>
            </a:graphic>
          </wp:inline>
        </w:drawing>
      </w:r>
    </w:p>
    <w:p>
      <w:pPr>
        <w:spacing w:line="240" w:lineRule="auto"/>
        <w:ind w:firstLine="0" w:firstLineChars="0"/>
        <w:jc w:val="center"/>
      </w:pPr>
    </w:p>
    <w:p>
      <w:pPr>
        <w:spacing w:line="240" w:lineRule="auto"/>
        <w:ind w:firstLine="0" w:firstLineChars="0"/>
        <w:jc w:val="center"/>
        <w:sectPr>
          <w:pgSz w:w="11907" w:h="16840"/>
          <w:pgMar w:top="1418" w:right="1361" w:bottom="1418" w:left="1474" w:header="851" w:footer="992" w:gutter="0"/>
          <w:cols w:space="720" w:num="1"/>
          <w:docGrid w:linePitch="312" w:charSpace="0"/>
        </w:sectPr>
      </w:pPr>
    </w:p>
    <w:p>
      <w:pPr>
        <w:spacing w:line="240" w:lineRule="auto"/>
        <w:ind w:firstLine="0" w:firstLineChars="0"/>
        <w:jc w:val="center"/>
      </w:pPr>
      <w:r>
        <w:rPr>
          <w:rFonts w:hint="eastAsia"/>
        </w:rPr>
        <w:drawing>
          <wp:inline distT="0" distB="0" distL="0" distR="0">
            <wp:extent cx="8146415" cy="576072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8146415" cy="5760720"/>
                    </a:xfrm>
                    <a:prstGeom prst="rect">
                      <a:avLst/>
                    </a:prstGeom>
                  </pic:spPr>
                </pic:pic>
              </a:graphicData>
            </a:graphic>
          </wp:inline>
        </w:drawing>
      </w:r>
    </w:p>
    <w:sectPr>
      <w:pgSz w:w="16840" w:h="11907" w:orient="landscape"/>
      <w:pgMar w:top="1474" w:right="1418" w:bottom="1361" w:left="1418" w:header="851" w:footer="992" w:gutter="0"/>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华文中宋">
    <w:altName w:val="宋体"/>
    <w:panose1 w:val="02010600040101010101"/>
    <w:charset w:val="86"/>
    <w:family w:val="auto"/>
    <w:pitch w:val="default"/>
    <w:sig w:usb0="00000000" w:usb1="00000000" w:usb2="00000000" w:usb3="00000000" w:csb0="0004009F" w:csb1="DFD7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Verdana">
    <w:panose1 w:val="020B0604030504040204"/>
    <w:charset w:val="00"/>
    <w:family w:val="swiss"/>
    <w:pitch w:val="default"/>
    <w:sig w:usb0="A00006FF" w:usb1="4000205B" w:usb2="00000010" w:usb3="00000000" w:csb0="2000019F" w:csb1="00000000"/>
  </w:font>
  <w:font w:name="Arial Unicode MS">
    <w:altName w:val="宋体"/>
    <w:panose1 w:val="020B0604020202020204"/>
    <w:charset w:val="86"/>
    <w:family w:val="swiss"/>
    <w:pitch w:val="default"/>
    <w:sig w:usb0="00000000" w:usb1="00000000" w:usb2="0000003F" w:usb3="00000000" w:csb0="603F01FF" w:csb1="FFFF0000"/>
  </w:font>
  <w:font w:name="隶书">
    <w:altName w:val="微软雅黑"/>
    <w:panose1 w:val="02010509060101010101"/>
    <w:charset w:val="86"/>
    <w:family w:val="modern"/>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MS Mincho">
    <w:altName w:val="Yu Gothic UI"/>
    <w:panose1 w:val="02020609040205080304"/>
    <w:charset w:val="80"/>
    <w:family w:val="moder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Wingdings 2">
    <w:altName w:val="Wingdings"/>
    <w:panose1 w:val="05020102010507070707"/>
    <w:charset w:val="02"/>
    <w:family w:val="roman"/>
    <w:pitch w:val="default"/>
    <w:sig w:usb0="00000000" w:usb1="00000000" w:usb2="00000000" w:usb3="00000000" w:csb0="80000000" w:csb1="00000000"/>
  </w:font>
  <w:font w:name="Wingdings">
    <w:panose1 w:val="05000000000000000000"/>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5"/>
      <w:framePr w:wrap="around" w:vAnchor="text" w:hAnchor="margin" w:xAlign="center" w:y="1"/>
      <w:ind w:firstLine="360"/>
    </w:pPr>
    <w:r>
      <w:fldChar w:fldCharType="begin"/>
    </w:r>
    <w:r>
      <w:instrText xml:space="preserve">PAGE  </w:instrText>
    </w:r>
    <w:r>
      <w:fldChar w:fldCharType="end"/>
    </w:r>
  </w:p>
  <w:p>
    <w:pPr>
      <w:pStyle w:val="4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5"/>
      <w:ind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014027"/>
      <w:docPartObj>
        <w:docPartGallery w:val="autotext"/>
      </w:docPartObj>
    </w:sdtPr>
    <w:sdtContent>
      <w:p>
        <w:pPr>
          <w:pStyle w:val="45"/>
          <w:snapToGrid/>
          <w:spacing w:line="240" w:lineRule="auto"/>
          <w:ind w:firstLine="0" w:firstLineChars="0"/>
          <w:jc w:val="center"/>
        </w:pPr>
        <w:r>
          <w:rPr>
            <w:lang w:val="zh-CN"/>
          </w:rPr>
          <w:fldChar w:fldCharType="begin"/>
        </w:r>
        <w:r>
          <w:rPr>
            <w:lang w:val="zh-CN"/>
          </w:rPr>
          <w:instrText xml:space="preserve"> PAGE   \* MERGEFORMAT </w:instrText>
        </w:r>
        <w:r>
          <w:rPr>
            <w:lang w:val="zh-CN"/>
          </w:rPr>
          <w:fldChar w:fldCharType="separate"/>
        </w:r>
        <w:r>
          <w:rPr>
            <w:lang w:val="zh-CN"/>
          </w:rPr>
          <w:t>2</w:t>
        </w:r>
        <w:r>
          <w:rPr>
            <w:lang w:val="zh-C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7"/>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7"/>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7"/>
      <w:pBdr>
        <w:bottom w:val="none" w:color="auto" w:sz="0" w:space="0"/>
      </w:pBdr>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hideSpellingErrors/>
  <w:documentProtection w:enforcement="0"/>
  <w:defaultTabStop w:val="425"/>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useFELayout/>
    <w:compatSetting w:name="compatibilityMode" w:uri="http://schemas.microsoft.com/office/word" w:val="12"/>
  </w:compat>
  <w:rsids>
    <w:rsidRoot w:val="007F37B4"/>
    <w:rsid w:val="00000408"/>
    <w:rsid w:val="0000197E"/>
    <w:rsid w:val="0000216E"/>
    <w:rsid w:val="00002E41"/>
    <w:rsid w:val="00002F98"/>
    <w:rsid w:val="000036A1"/>
    <w:rsid w:val="000037C5"/>
    <w:rsid w:val="00007190"/>
    <w:rsid w:val="0001135A"/>
    <w:rsid w:val="00012060"/>
    <w:rsid w:val="00012BE3"/>
    <w:rsid w:val="00012BE8"/>
    <w:rsid w:val="00013E15"/>
    <w:rsid w:val="000146E7"/>
    <w:rsid w:val="000155ED"/>
    <w:rsid w:val="00015DDE"/>
    <w:rsid w:val="00015F08"/>
    <w:rsid w:val="000162ED"/>
    <w:rsid w:val="000164B5"/>
    <w:rsid w:val="000172D7"/>
    <w:rsid w:val="000174B2"/>
    <w:rsid w:val="00020100"/>
    <w:rsid w:val="00021C2E"/>
    <w:rsid w:val="00022078"/>
    <w:rsid w:val="00022433"/>
    <w:rsid w:val="0002303B"/>
    <w:rsid w:val="00023AB9"/>
    <w:rsid w:val="00023CDB"/>
    <w:rsid w:val="0002443D"/>
    <w:rsid w:val="000248B3"/>
    <w:rsid w:val="00024FB9"/>
    <w:rsid w:val="00025945"/>
    <w:rsid w:val="000260CA"/>
    <w:rsid w:val="00027291"/>
    <w:rsid w:val="000274C9"/>
    <w:rsid w:val="000316A7"/>
    <w:rsid w:val="00031974"/>
    <w:rsid w:val="00031B1C"/>
    <w:rsid w:val="00031DA4"/>
    <w:rsid w:val="000326EE"/>
    <w:rsid w:val="000333E1"/>
    <w:rsid w:val="00033CC0"/>
    <w:rsid w:val="00033CFF"/>
    <w:rsid w:val="00034162"/>
    <w:rsid w:val="00034D8F"/>
    <w:rsid w:val="000354AE"/>
    <w:rsid w:val="000355A3"/>
    <w:rsid w:val="000355F0"/>
    <w:rsid w:val="00035A74"/>
    <w:rsid w:val="00036029"/>
    <w:rsid w:val="0003606F"/>
    <w:rsid w:val="00036AA3"/>
    <w:rsid w:val="00036DBB"/>
    <w:rsid w:val="000376BB"/>
    <w:rsid w:val="000403A2"/>
    <w:rsid w:val="0004052A"/>
    <w:rsid w:val="00040C49"/>
    <w:rsid w:val="00042116"/>
    <w:rsid w:val="00043939"/>
    <w:rsid w:val="0004482B"/>
    <w:rsid w:val="00044AA1"/>
    <w:rsid w:val="00044C2A"/>
    <w:rsid w:val="0004519B"/>
    <w:rsid w:val="00045552"/>
    <w:rsid w:val="0004566A"/>
    <w:rsid w:val="0004576D"/>
    <w:rsid w:val="00046D4A"/>
    <w:rsid w:val="00046ED3"/>
    <w:rsid w:val="000470E6"/>
    <w:rsid w:val="00050586"/>
    <w:rsid w:val="00050811"/>
    <w:rsid w:val="00050DDD"/>
    <w:rsid w:val="00051F2D"/>
    <w:rsid w:val="00052840"/>
    <w:rsid w:val="00052A15"/>
    <w:rsid w:val="00052FD3"/>
    <w:rsid w:val="0005309B"/>
    <w:rsid w:val="00053104"/>
    <w:rsid w:val="000531C5"/>
    <w:rsid w:val="00053717"/>
    <w:rsid w:val="00053E9A"/>
    <w:rsid w:val="000548A4"/>
    <w:rsid w:val="000557AA"/>
    <w:rsid w:val="00055C38"/>
    <w:rsid w:val="00055F5C"/>
    <w:rsid w:val="00056D35"/>
    <w:rsid w:val="00057698"/>
    <w:rsid w:val="00057A80"/>
    <w:rsid w:val="00057B5E"/>
    <w:rsid w:val="00057E7C"/>
    <w:rsid w:val="00060085"/>
    <w:rsid w:val="00060694"/>
    <w:rsid w:val="00060E21"/>
    <w:rsid w:val="000619DD"/>
    <w:rsid w:val="000628EC"/>
    <w:rsid w:val="00062D67"/>
    <w:rsid w:val="00062E33"/>
    <w:rsid w:val="00063721"/>
    <w:rsid w:val="000639F1"/>
    <w:rsid w:val="0006413B"/>
    <w:rsid w:val="000642A2"/>
    <w:rsid w:val="000645F3"/>
    <w:rsid w:val="0006463C"/>
    <w:rsid w:val="0006621E"/>
    <w:rsid w:val="000674F5"/>
    <w:rsid w:val="000677F3"/>
    <w:rsid w:val="0006794E"/>
    <w:rsid w:val="00067C2D"/>
    <w:rsid w:val="00067C5C"/>
    <w:rsid w:val="00067FD2"/>
    <w:rsid w:val="00070F70"/>
    <w:rsid w:val="00071577"/>
    <w:rsid w:val="00071B9B"/>
    <w:rsid w:val="00072395"/>
    <w:rsid w:val="000728B8"/>
    <w:rsid w:val="000736B9"/>
    <w:rsid w:val="000737E2"/>
    <w:rsid w:val="000739D2"/>
    <w:rsid w:val="00073CD3"/>
    <w:rsid w:val="00073DF1"/>
    <w:rsid w:val="00073F80"/>
    <w:rsid w:val="00074582"/>
    <w:rsid w:val="00074AC8"/>
    <w:rsid w:val="00074B9D"/>
    <w:rsid w:val="00074F83"/>
    <w:rsid w:val="00075579"/>
    <w:rsid w:val="00075D27"/>
    <w:rsid w:val="000760E9"/>
    <w:rsid w:val="0007646B"/>
    <w:rsid w:val="0007648E"/>
    <w:rsid w:val="00077517"/>
    <w:rsid w:val="00077BD3"/>
    <w:rsid w:val="00080096"/>
    <w:rsid w:val="000800AB"/>
    <w:rsid w:val="000805CA"/>
    <w:rsid w:val="00080EAA"/>
    <w:rsid w:val="00080F2D"/>
    <w:rsid w:val="000810FD"/>
    <w:rsid w:val="00083DCB"/>
    <w:rsid w:val="0008450A"/>
    <w:rsid w:val="0008565E"/>
    <w:rsid w:val="000860C6"/>
    <w:rsid w:val="0008771A"/>
    <w:rsid w:val="00087801"/>
    <w:rsid w:val="000905BE"/>
    <w:rsid w:val="00090BE4"/>
    <w:rsid w:val="00091290"/>
    <w:rsid w:val="00091F53"/>
    <w:rsid w:val="00092295"/>
    <w:rsid w:val="0009279B"/>
    <w:rsid w:val="00093134"/>
    <w:rsid w:val="0009346D"/>
    <w:rsid w:val="000935B9"/>
    <w:rsid w:val="00093B2D"/>
    <w:rsid w:val="00094144"/>
    <w:rsid w:val="00094651"/>
    <w:rsid w:val="00094D66"/>
    <w:rsid w:val="00094DE2"/>
    <w:rsid w:val="00095FB9"/>
    <w:rsid w:val="00096A6B"/>
    <w:rsid w:val="00096B5E"/>
    <w:rsid w:val="000A0A1C"/>
    <w:rsid w:val="000A0E82"/>
    <w:rsid w:val="000A2B7D"/>
    <w:rsid w:val="000A2CB7"/>
    <w:rsid w:val="000A2EEB"/>
    <w:rsid w:val="000A431A"/>
    <w:rsid w:val="000A5C53"/>
    <w:rsid w:val="000A5CED"/>
    <w:rsid w:val="000A61C8"/>
    <w:rsid w:val="000A7B4D"/>
    <w:rsid w:val="000A7D52"/>
    <w:rsid w:val="000B02E1"/>
    <w:rsid w:val="000B099B"/>
    <w:rsid w:val="000B1468"/>
    <w:rsid w:val="000B2337"/>
    <w:rsid w:val="000B3060"/>
    <w:rsid w:val="000B3D41"/>
    <w:rsid w:val="000B41A8"/>
    <w:rsid w:val="000B4869"/>
    <w:rsid w:val="000B4AFE"/>
    <w:rsid w:val="000B55F1"/>
    <w:rsid w:val="000B68ED"/>
    <w:rsid w:val="000C133A"/>
    <w:rsid w:val="000C1AF4"/>
    <w:rsid w:val="000C2118"/>
    <w:rsid w:val="000C2321"/>
    <w:rsid w:val="000C2847"/>
    <w:rsid w:val="000C2D4F"/>
    <w:rsid w:val="000C2E00"/>
    <w:rsid w:val="000C316E"/>
    <w:rsid w:val="000C35AB"/>
    <w:rsid w:val="000C44E8"/>
    <w:rsid w:val="000C51EA"/>
    <w:rsid w:val="000C52AF"/>
    <w:rsid w:val="000C5581"/>
    <w:rsid w:val="000C60D2"/>
    <w:rsid w:val="000C63D1"/>
    <w:rsid w:val="000C67A0"/>
    <w:rsid w:val="000C6812"/>
    <w:rsid w:val="000C6D20"/>
    <w:rsid w:val="000C748A"/>
    <w:rsid w:val="000D065A"/>
    <w:rsid w:val="000D0E7F"/>
    <w:rsid w:val="000D10F0"/>
    <w:rsid w:val="000D1686"/>
    <w:rsid w:val="000D1979"/>
    <w:rsid w:val="000D1BFB"/>
    <w:rsid w:val="000D1F0E"/>
    <w:rsid w:val="000D33D2"/>
    <w:rsid w:val="000D50FC"/>
    <w:rsid w:val="000D5162"/>
    <w:rsid w:val="000D58B1"/>
    <w:rsid w:val="000D5ACD"/>
    <w:rsid w:val="000D5DD2"/>
    <w:rsid w:val="000D69F6"/>
    <w:rsid w:val="000D6BFC"/>
    <w:rsid w:val="000D743E"/>
    <w:rsid w:val="000D7865"/>
    <w:rsid w:val="000D7F47"/>
    <w:rsid w:val="000E196F"/>
    <w:rsid w:val="000E1BAA"/>
    <w:rsid w:val="000E2945"/>
    <w:rsid w:val="000E2AEC"/>
    <w:rsid w:val="000E2BB0"/>
    <w:rsid w:val="000E2C73"/>
    <w:rsid w:val="000E3070"/>
    <w:rsid w:val="000E34FD"/>
    <w:rsid w:val="000E3569"/>
    <w:rsid w:val="000E3812"/>
    <w:rsid w:val="000E3E76"/>
    <w:rsid w:val="000E779F"/>
    <w:rsid w:val="000F010C"/>
    <w:rsid w:val="000F0EF5"/>
    <w:rsid w:val="000F1D7F"/>
    <w:rsid w:val="000F2529"/>
    <w:rsid w:val="000F2724"/>
    <w:rsid w:val="000F3911"/>
    <w:rsid w:val="000F398D"/>
    <w:rsid w:val="000F4074"/>
    <w:rsid w:val="000F4968"/>
    <w:rsid w:val="000F4B52"/>
    <w:rsid w:val="000F53E1"/>
    <w:rsid w:val="000F5FC8"/>
    <w:rsid w:val="000F68B3"/>
    <w:rsid w:val="000F6E02"/>
    <w:rsid w:val="000F75FF"/>
    <w:rsid w:val="000F7817"/>
    <w:rsid w:val="00100B33"/>
    <w:rsid w:val="00101209"/>
    <w:rsid w:val="00101602"/>
    <w:rsid w:val="00101766"/>
    <w:rsid w:val="001029E1"/>
    <w:rsid w:val="00102AFC"/>
    <w:rsid w:val="0010372E"/>
    <w:rsid w:val="001046C2"/>
    <w:rsid w:val="001050F2"/>
    <w:rsid w:val="00105465"/>
    <w:rsid w:val="00105DE7"/>
    <w:rsid w:val="00106EE6"/>
    <w:rsid w:val="00107442"/>
    <w:rsid w:val="00107ADA"/>
    <w:rsid w:val="00110346"/>
    <w:rsid w:val="00110C43"/>
    <w:rsid w:val="00110CEA"/>
    <w:rsid w:val="00112EE9"/>
    <w:rsid w:val="001130CC"/>
    <w:rsid w:val="00113426"/>
    <w:rsid w:val="00114057"/>
    <w:rsid w:val="00116174"/>
    <w:rsid w:val="00116A95"/>
    <w:rsid w:val="0011748F"/>
    <w:rsid w:val="00117778"/>
    <w:rsid w:val="00117D5F"/>
    <w:rsid w:val="0012018A"/>
    <w:rsid w:val="001201D2"/>
    <w:rsid w:val="001202C9"/>
    <w:rsid w:val="00120F01"/>
    <w:rsid w:val="00121D9C"/>
    <w:rsid w:val="001229B2"/>
    <w:rsid w:val="00122B80"/>
    <w:rsid w:val="00123E5E"/>
    <w:rsid w:val="001241DB"/>
    <w:rsid w:val="00124548"/>
    <w:rsid w:val="00124FA9"/>
    <w:rsid w:val="0012522F"/>
    <w:rsid w:val="001258AA"/>
    <w:rsid w:val="00126380"/>
    <w:rsid w:val="00127443"/>
    <w:rsid w:val="0012795A"/>
    <w:rsid w:val="00127C06"/>
    <w:rsid w:val="00130607"/>
    <w:rsid w:val="001306C5"/>
    <w:rsid w:val="00131AE9"/>
    <w:rsid w:val="00131F6C"/>
    <w:rsid w:val="00132068"/>
    <w:rsid w:val="001321A1"/>
    <w:rsid w:val="001322DF"/>
    <w:rsid w:val="00132365"/>
    <w:rsid w:val="00132F7E"/>
    <w:rsid w:val="0013442E"/>
    <w:rsid w:val="00135DE5"/>
    <w:rsid w:val="001361D7"/>
    <w:rsid w:val="00137402"/>
    <w:rsid w:val="00137729"/>
    <w:rsid w:val="001378CD"/>
    <w:rsid w:val="00137BBF"/>
    <w:rsid w:val="001405A6"/>
    <w:rsid w:val="0014185E"/>
    <w:rsid w:val="0014196A"/>
    <w:rsid w:val="001422B2"/>
    <w:rsid w:val="001422D3"/>
    <w:rsid w:val="00142B20"/>
    <w:rsid w:val="00143B0D"/>
    <w:rsid w:val="0014403A"/>
    <w:rsid w:val="0014408C"/>
    <w:rsid w:val="00145FEF"/>
    <w:rsid w:val="00147160"/>
    <w:rsid w:val="0014748D"/>
    <w:rsid w:val="00147E72"/>
    <w:rsid w:val="00147F7A"/>
    <w:rsid w:val="00147FCA"/>
    <w:rsid w:val="0015011B"/>
    <w:rsid w:val="001501CC"/>
    <w:rsid w:val="00151044"/>
    <w:rsid w:val="001516EE"/>
    <w:rsid w:val="001517A7"/>
    <w:rsid w:val="00152034"/>
    <w:rsid w:val="00152443"/>
    <w:rsid w:val="00152483"/>
    <w:rsid w:val="00152515"/>
    <w:rsid w:val="00152931"/>
    <w:rsid w:val="00152B20"/>
    <w:rsid w:val="00152D3A"/>
    <w:rsid w:val="00153457"/>
    <w:rsid w:val="00153B91"/>
    <w:rsid w:val="00155979"/>
    <w:rsid w:val="001573A7"/>
    <w:rsid w:val="0016043C"/>
    <w:rsid w:val="0016061C"/>
    <w:rsid w:val="0016078F"/>
    <w:rsid w:val="001608B0"/>
    <w:rsid w:val="001617A9"/>
    <w:rsid w:val="00161941"/>
    <w:rsid w:val="00163419"/>
    <w:rsid w:val="00164146"/>
    <w:rsid w:val="00164171"/>
    <w:rsid w:val="001641A7"/>
    <w:rsid w:val="00164335"/>
    <w:rsid w:val="00164A2B"/>
    <w:rsid w:val="00164DD9"/>
    <w:rsid w:val="001654E3"/>
    <w:rsid w:val="001655FD"/>
    <w:rsid w:val="00165E9B"/>
    <w:rsid w:val="00165F28"/>
    <w:rsid w:val="001661D0"/>
    <w:rsid w:val="0016752D"/>
    <w:rsid w:val="00167D59"/>
    <w:rsid w:val="00167D95"/>
    <w:rsid w:val="00167FC3"/>
    <w:rsid w:val="00170897"/>
    <w:rsid w:val="00170A61"/>
    <w:rsid w:val="00171235"/>
    <w:rsid w:val="0017169D"/>
    <w:rsid w:val="001722EF"/>
    <w:rsid w:val="00174E95"/>
    <w:rsid w:val="00175544"/>
    <w:rsid w:val="001755B4"/>
    <w:rsid w:val="0017560E"/>
    <w:rsid w:val="00177636"/>
    <w:rsid w:val="00180603"/>
    <w:rsid w:val="001816A6"/>
    <w:rsid w:val="001816F1"/>
    <w:rsid w:val="00181FDB"/>
    <w:rsid w:val="00182A13"/>
    <w:rsid w:val="00182B32"/>
    <w:rsid w:val="00182D40"/>
    <w:rsid w:val="0018364E"/>
    <w:rsid w:val="0018452C"/>
    <w:rsid w:val="0018460D"/>
    <w:rsid w:val="0018473F"/>
    <w:rsid w:val="001847E7"/>
    <w:rsid w:val="001849AC"/>
    <w:rsid w:val="00186169"/>
    <w:rsid w:val="0018626F"/>
    <w:rsid w:val="00186F0E"/>
    <w:rsid w:val="0018741D"/>
    <w:rsid w:val="00187ACB"/>
    <w:rsid w:val="00187DA4"/>
    <w:rsid w:val="00190519"/>
    <w:rsid w:val="00190553"/>
    <w:rsid w:val="00190A6A"/>
    <w:rsid w:val="00192EB9"/>
    <w:rsid w:val="00193171"/>
    <w:rsid w:val="0019419F"/>
    <w:rsid w:val="0019454B"/>
    <w:rsid w:val="00194CE5"/>
    <w:rsid w:val="0019516B"/>
    <w:rsid w:val="00196103"/>
    <w:rsid w:val="001964C7"/>
    <w:rsid w:val="00196DF3"/>
    <w:rsid w:val="001A08E4"/>
    <w:rsid w:val="001A0E7F"/>
    <w:rsid w:val="001A1121"/>
    <w:rsid w:val="001A1A85"/>
    <w:rsid w:val="001A224F"/>
    <w:rsid w:val="001A2956"/>
    <w:rsid w:val="001A3720"/>
    <w:rsid w:val="001A3B06"/>
    <w:rsid w:val="001A40A9"/>
    <w:rsid w:val="001A4399"/>
    <w:rsid w:val="001A4B50"/>
    <w:rsid w:val="001A5115"/>
    <w:rsid w:val="001A5207"/>
    <w:rsid w:val="001A55EA"/>
    <w:rsid w:val="001A5EC4"/>
    <w:rsid w:val="001A5F1C"/>
    <w:rsid w:val="001A6621"/>
    <w:rsid w:val="001B0AE0"/>
    <w:rsid w:val="001B114F"/>
    <w:rsid w:val="001B157F"/>
    <w:rsid w:val="001B192C"/>
    <w:rsid w:val="001B2234"/>
    <w:rsid w:val="001B2CBC"/>
    <w:rsid w:val="001B36EB"/>
    <w:rsid w:val="001B4646"/>
    <w:rsid w:val="001B487F"/>
    <w:rsid w:val="001B48C5"/>
    <w:rsid w:val="001B4A93"/>
    <w:rsid w:val="001B511A"/>
    <w:rsid w:val="001B5777"/>
    <w:rsid w:val="001B5BF9"/>
    <w:rsid w:val="001B638E"/>
    <w:rsid w:val="001B69AA"/>
    <w:rsid w:val="001B6BB1"/>
    <w:rsid w:val="001B6D88"/>
    <w:rsid w:val="001B739E"/>
    <w:rsid w:val="001B73A8"/>
    <w:rsid w:val="001B79D3"/>
    <w:rsid w:val="001C09B0"/>
    <w:rsid w:val="001C1BA0"/>
    <w:rsid w:val="001C22A1"/>
    <w:rsid w:val="001C39D7"/>
    <w:rsid w:val="001C3C90"/>
    <w:rsid w:val="001C3CC0"/>
    <w:rsid w:val="001C4111"/>
    <w:rsid w:val="001C46E4"/>
    <w:rsid w:val="001C4E7B"/>
    <w:rsid w:val="001C4E97"/>
    <w:rsid w:val="001C5322"/>
    <w:rsid w:val="001C54E0"/>
    <w:rsid w:val="001C568A"/>
    <w:rsid w:val="001C57D7"/>
    <w:rsid w:val="001C5A3E"/>
    <w:rsid w:val="001C719A"/>
    <w:rsid w:val="001C73EC"/>
    <w:rsid w:val="001C758B"/>
    <w:rsid w:val="001D1D2E"/>
    <w:rsid w:val="001D236D"/>
    <w:rsid w:val="001D267C"/>
    <w:rsid w:val="001D2766"/>
    <w:rsid w:val="001D27ED"/>
    <w:rsid w:val="001D37F2"/>
    <w:rsid w:val="001D3990"/>
    <w:rsid w:val="001D5308"/>
    <w:rsid w:val="001D557E"/>
    <w:rsid w:val="001D7DAB"/>
    <w:rsid w:val="001E154F"/>
    <w:rsid w:val="001E20D1"/>
    <w:rsid w:val="001E2613"/>
    <w:rsid w:val="001E29DD"/>
    <w:rsid w:val="001E2BE1"/>
    <w:rsid w:val="001E3FBE"/>
    <w:rsid w:val="001E466A"/>
    <w:rsid w:val="001E4E48"/>
    <w:rsid w:val="001E554E"/>
    <w:rsid w:val="001E6B26"/>
    <w:rsid w:val="001E6DFA"/>
    <w:rsid w:val="001E7144"/>
    <w:rsid w:val="001E720C"/>
    <w:rsid w:val="001E7270"/>
    <w:rsid w:val="001E7F29"/>
    <w:rsid w:val="001F0686"/>
    <w:rsid w:val="001F0736"/>
    <w:rsid w:val="001F08E4"/>
    <w:rsid w:val="001F0A44"/>
    <w:rsid w:val="001F0F4D"/>
    <w:rsid w:val="001F0FBA"/>
    <w:rsid w:val="001F1183"/>
    <w:rsid w:val="001F149B"/>
    <w:rsid w:val="001F27D1"/>
    <w:rsid w:val="001F4A58"/>
    <w:rsid w:val="001F6E4E"/>
    <w:rsid w:val="001F737A"/>
    <w:rsid w:val="001F743D"/>
    <w:rsid w:val="001F7FCC"/>
    <w:rsid w:val="00200E2D"/>
    <w:rsid w:val="002010E0"/>
    <w:rsid w:val="00201139"/>
    <w:rsid w:val="00202316"/>
    <w:rsid w:val="0020261B"/>
    <w:rsid w:val="002033BF"/>
    <w:rsid w:val="00203B90"/>
    <w:rsid w:val="002041E8"/>
    <w:rsid w:val="00204583"/>
    <w:rsid w:val="0020472F"/>
    <w:rsid w:val="002048E5"/>
    <w:rsid w:val="00205930"/>
    <w:rsid w:val="00205A83"/>
    <w:rsid w:val="0020676B"/>
    <w:rsid w:val="0020699B"/>
    <w:rsid w:val="002077FF"/>
    <w:rsid w:val="0020794E"/>
    <w:rsid w:val="002079FB"/>
    <w:rsid w:val="00210619"/>
    <w:rsid w:val="00211017"/>
    <w:rsid w:val="002117F8"/>
    <w:rsid w:val="0021276C"/>
    <w:rsid w:val="002128ED"/>
    <w:rsid w:val="0021307C"/>
    <w:rsid w:val="002130AE"/>
    <w:rsid w:val="00213438"/>
    <w:rsid w:val="0021352C"/>
    <w:rsid w:val="002138F2"/>
    <w:rsid w:val="00214F43"/>
    <w:rsid w:val="00215543"/>
    <w:rsid w:val="00215B34"/>
    <w:rsid w:val="00215F20"/>
    <w:rsid w:val="00215F63"/>
    <w:rsid w:val="00217E76"/>
    <w:rsid w:val="00220ECD"/>
    <w:rsid w:val="00221E48"/>
    <w:rsid w:val="00222C87"/>
    <w:rsid w:val="00223617"/>
    <w:rsid w:val="0022476D"/>
    <w:rsid w:val="00225306"/>
    <w:rsid w:val="0022571C"/>
    <w:rsid w:val="00225B50"/>
    <w:rsid w:val="00225D35"/>
    <w:rsid w:val="00226C54"/>
    <w:rsid w:val="00227346"/>
    <w:rsid w:val="00227479"/>
    <w:rsid w:val="002275EC"/>
    <w:rsid w:val="00227C1B"/>
    <w:rsid w:val="00227FCC"/>
    <w:rsid w:val="00230525"/>
    <w:rsid w:val="002309BF"/>
    <w:rsid w:val="00230FEE"/>
    <w:rsid w:val="0023171B"/>
    <w:rsid w:val="00231934"/>
    <w:rsid w:val="00231A69"/>
    <w:rsid w:val="00232B99"/>
    <w:rsid w:val="002339E9"/>
    <w:rsid w:val="002350E4"/>
    <w:rsid w:val="00235913"/>
    <w:rsid w:val="00237299"/>
    <w:rsid w:val="00237704"/>
    <w:rsid w:val="00237C85"/>
    <w:rsid w:val="00240222"/>
    <w:rsid w:val="0024157B"/>
    <w:rsid w:val="00242601"/>
    <w:rsid w:val="00243142"/>
    <w:rsid w:val="0024325F"/>
    <w:rsid w:val="0024327C"/>
    <w:rsid w:val="002434CE"/>
    <w:rsid w:val="002438DC"/>
    <w:rsid w:val="002440AA"/>
    <w:rsid w:val="0024444C"/>
    <w:rsid w:val="00244B7B"/>
    <w:rsid w:val="00244C13"/>
    <w:rsid w:val="00245122"/>
    <w:rsid w:val="00246389"/>
    <w:rsid w:val="002468AB"/>
    <w:rsid w:val="00247429"/>
    <w:rsid w:val="00247AA9"/>
    <w:rsid w:val="00250ABA"/>
    <w:rsid w:val="0025110C"/>
    <w:rsid w:val="00251151"/>
    <w:rsid w:val="00252613"/>
    <w:rsid w:val="0025268F"/>
    <w:rsid w:val="00252801"/>
    <w:rsid w:val="00252DBA"/>
    <w:rsid w:val="00253153"/>
    <w:rsid w:val="002546D6"/>
    <w:rsid w:val="00254E29"/>
    <w:rsid w:val="002552A6"/>
    <w:rsid w:val="0025575F"/>
    <w:rsid w:val="002559D0"/>
    <w:rsid w:val="00255A25"/>
    <w:rsid w:val="00255C4A"/>
    <w:rsid w:val="002608B6"/>
    <w:rsid w:val="00260A55"/>
    <w:rsid w:val="00261B96"/>
    <w:rsid w:val="002620F9"/>
    <w:rsid w:val="002629BB"/>
    <w:rsid w:val="002634D2"/>
    <w:rsid w:val="00263EBF"/>
    <w:rsid w:val="00264296"/>
    <w:rsid w:val="002656C9"/>
    <w:rsid w:val="00265770"/>
    <w:rsid w:val="00265BC9"/>
    <w:rsid w:val="00266415"/>
    <w:rsid w:val="002675C3"/>
    <w:rsid w:val="00270224"/>
    <w:rsid w:val="00270C7E"/>
    <w:rsid w:val="002717D1"/>
    <w:rsid w:val="00272924"/>
    <w:rsid w:val="00272AD5"/>
    <w:rsid w:val="00272BD1"/>
    <w:rsid w:val="00272FBF"/>
    <w:rsid w:val="00272FF2"/>
    <w:rsid w:val="0027371C"/>
    <w:rsid w:val="0027438B"/>
    <w:rsid w:val="00274A70"/>
    <w:rsid w:val="00276D9D"/>
    <w:rsid w:val="002776BC"/>
    <w:rsid w:val="00277756"/>
    <w:rsid w:val="00280CAA"/>
    <w:rsid w:val="00281923"/>
    <w:rsid w:val="002824B6"/>
    <w:rsid w:val="002828B1"/>
    <w:rsid w:val="00282CD9"/>
    <w:rsid w:val="002836E6"/>
    <w:rsid w:val="00283886"/>
    <w:rsid w:val="00284D81"/>
    <w:rsid w:val="0028575A"/>
    <w:rsid w:val="002859EA"/>
    <w:rsid w:val="00285AE3"/>
    <w:rsid w:val="00285EBD"/>
    <w:rsid w:val="00285EDA"/>
    <w:rsid w:val="002863CC"/>
    <w:rsid w:val="002869F3"/>
    <w:rsid w:val="00286ED7"/>
    <w:rsid w:val="0028707D"/>
    <w:rsid w:val="00290F81"/>
    <w:rsid w:val="0029154C"/>
    <w:rsid w:val="002935FC"/>
    <w:rsid w:val="00293631"/>
    <w:rsid w:val="00293763"/>
    <w:rsid w:val="00293BF6"/>
    <w:rsid w:val="00294F2E"/>
    <w:rsid w:val="002950E3"/>
    <w:rsid w:val="00295FB0"/>
    <w:rsid w:val="00296924"/>
    <w:rsid w:val="00296F7A"/>
    <w:rsid w:val="00297347"/>
    <w:rsid w:val="00297E0E"/>
    <w:rsid w:val="00297FF7"/>
    <w:rsid w:val="002A1702"/>
    <w:rsid w:val="002A216B"/>
    <w:rsid w:val="002A21D2"/>
    <w:rsid w:val="002A2A65"/>
    <w:rsid w:val="002A2E7E"/>
    <w:rsid w:val="002A2F91"/>
    <w:rsid w:val="002A4106"/>
    <w:rsid w:val="002A4408"/>
    <w:rsid w:val="002A4B7F"/>
    <w:rsid w:val="002A5109"/>
    <w:rsid w:val="002A57C1"/>
    <w:rsid w:val="002A5CBB"/>
    <w:rsid w:val="002A60EF"/>
    <w:rsid w:val="002A6323"/>
    <w:rsid w:val="002A6862"/>
    <w:rsid w:val="002A6D2D"/>
    <w:rsid w:val="002A700C"/>
    <w:rsid w:val="002A78D9"/>
    <w:rsid w:val="002B02D3"/>
    <w:rsid w:val="002B032D"/>
    <w:rsid w:val="002B1FF5"/>
    <w:rsid w:val="002B2036"/>
    <w:rsid w:val="002B2849"/>
    <w:rsid w:val="002B2E08"/>
    <w:rsid w:val="002B389D"/>
    <w:rsid w:val="002B6E13"/>
    <w:rsid w:val="002B6F1D"/>
    <w:rsid w:val="002B7BFA"/>
    <w:rsid w:val="002C0363"/>
    <w:rsid w:val="002C074D"/>
    <w:rsid w:val="002C0B6E"/>
    <w:rsid w:val="002C0D1C"/>
    <w:rsid w:val="002C0D67"/>
    <w:rsid w:val="002C1B6A"/>
    <w:rsid w:val="002C1BBF"/>
    <w:rsid w:val="002C217B"/>
    <w:rsid w:val="002C247D"/>
    <w:rsid w:val="002C3114"/>
    <w:rsid w:val="002C330A"/>
    <w:rsid w:val="002C391D"/>
    <w:rsid w:val="002C3A78"/>
    <w:rsid w:val="002C4140"/>
    <w:rsid w:val="002C59BE"/>
    <w:rsid w:val="002C5A90"/>
    <w:rsid w:val="002C5CF7"/>
    <w:rsid w:val="002C60C5"/>
    <w:rsid w:val="002C6987"/>
    <w:rsid w:val="002C6D27"/>
    <w:rsid w:val="002C77DA"/>
    <w:rsid w:val="002D2206"/>
    <w:rsid w:val="002D2262"/>
    <w:rsid w:val="002D2766"/>
    <w:rsid w:val="002D29DC"/>
    <w:rsid w:val="002D37BF"/>
    <w:rsid w:val="002D3DA4"/>
    <w:rsid w:val="002D496B"/>
    <w:rsid w:val="002D4B51"/>
    <w:rsid w:val="002D50D2"/>
    <w:rsid w:val="002D51F6"/>
    <w:rsid w:val="002D5203"/>
    <w:rsid w:val="002D587C"/>
    <w:rsid w:val="002D59DA"/>
    <w:rsid w:val="002D5F84"/>
    <w:rsid w:val="002D651E"/>
    <w:rsid w:val="002D689D"/>
    <w:rsid w:val="002D6F74"/>
    <w:rsid w:val="002D7774"/>
    <w:rsid w:val="002E003B"/>
    <w:rsid w:val="002E0A7F"/>
    <w:rsid w:val="002E143D"/>
    <w:rsid w:val="002E1874"/>
    <w:rsid w:val="002E1ACD"/>
    <w:rsid w:val="002E305C"/>
    <w:rsid w:val="002E39CF"/>
    <w:rsid w:val="002E3D50"/>
    <w:rsid w:val="002E412B"/>
    <w:rsid w:val="002E41AF"/>
    <w:rsid w:val="002E4674"/>
    <w:rsid w:val="002E5BED"/>
    <w:rsid w:val="002E67CF"/>
    <w:rsid w:val="002E7170"/>
    <w:rsid w:val="002E7A50"/>
    <w:rsid w:val="002F01A1"/>
    <w:rsid w:val="002F066D"/>
    <w:rsid w:val="002F0CB8"/>
    <w:rsid w:val="002F0F31"/>
    <w:rsid w:val="002F1321"/>
    <w:rsid w:val="002F14FA"/>
    <w:rsid w:val="002F173A"/>
    <w:rsid w:val="002F27E1"/>
    <w:rsid w:val="002F3989"/>
    <w:rsid w:val="002F4887"/>
    <w:rsid w:val="002F5C00"/>
    <w:rsid w:val="002F628B"/>
    <w:rsid w:val="002F6A63"/>
    <w:rsid w:val="002F6B45"/>
    <w:rsid w:val="002F7224"/>
    <w:rsid w:val="002F7E96"/>
    <w:rsid w:val="00300248"/>
    <w:rsid w:val="003009F0"/>
    <w:rsid w:val="003011B6"/>
    <w:rsid w:val="00301446"/>
    <w:rsid w:val="00301CA9"/>
    <w:rsid w:val="00302AD5"/>
    <w:rsid w:val="00302D11"/>
    <w:rsid w:val="00303365"/>
    <w:rsid w:val="00303784"/>
    <w:rsid w:val="00303CD9"/>
    <w:rsid w:val="00304147"/>
    <w:rsid w:val="00304779"/>
    <w:rsid w:val="00305017"/>
    <w:rsid w:val="00305C42"/>
    <w:rsid w:val="003071B6"/>
    <w:rsid w:val="00307A62"/>
    <w:rsid w:val="00307B4F"/>
    <w:rsid w:val="00307D10"/>
    <w:rsid w:val="0031013E"/>
    <w:rsid w:val="003112C3"/>
    <w:rsid w:val="00311A86"/>
    <w:rsid w:val="0031269D"/>
    <w:rsid w:val="00312884"/>
    <w:rsid w:val="003135B7"/>
    <w:rsid w:val="003137D7"/>
    <w:rsid w:val="00313EB2"/>
    <w:rsid w:val="003141EA"/>
    <w:rsid w:val="00314BD7"/>
    <w:rsid w:val="00314D84"/>
    <w:rsid w:val="003157BF"/>
    <w:rsid w:val="00315E0A"/>
    <w:rsid w:val="00315E4D"/>
    <w:rsid w:val="003162B5"/>
    <w:rsid w:val="00316534"/>
    <w:rsid w:val="00316753"/>
    <w:rsid w:val="003170BA"/>
    <w:rsid w:val="00321170"/>
    <w:rsid w:val="00321C7B"/>
    <w:rsid w:val="00321CAF"/>
    <w:rsid w:val="00322A51"/>
    <w:rsid w:val="00322A6A"/>
    <w:rsid w:val="00324597"/>
    <w:rsid w:val="00324715"/>
    <w:rsid w:val="00325011"/>
    <w:rsid w:val="0032523A"/>
    <w:rsid w:val="00325439"/>
    <w:rsid w:val="003254A0"/>
    <w:rsid w:val="00326121"/>
    <w:rsid w:val="0032625A"/>
    <w:rsid w:val="00326F65"/>
    <w:rsid w:val="00327E4B"/>
    <w:rsid w:val="00327E54"/>
    <w:rsid w:val="00330410"/>
    <w:rsid w:val="00331179"/>
    <w:rsid w:val="003311CD"/>
    <w:rsid w:val="00331828"/>
    <w:rsid w:val="00331DC8"/>
    <w:rsid w:val="003321C9"/>
    <w:rsid w:val="003323F3"/>
    <w:rsid w:val="003324D6"/>
    <w:rsid w:val="00333650"/>
    <w:rsid w:val="0033380D"/>
    <w:rsid w:val="003340A4"/>
    <w:rsid w:val="00334394"/>
    <w:rsid w:val="00334EE7"/>
    <w:rsid w:val="003356A4"/>
    <w:rsid w:val="00336418"/>
    <w:rsid w:val="0033659E"/>
    <w:rsid w:val="003373E1"/>
    <w:rsid w:val="003401D6"/>
    <w:rsid w:val="003404A2"/>
    <w:rsid w:val="00340637"/>
    <w:rsid w:val="00340824"/>
    <w:rsid w:val="003410BF"/>
    <w:rsid w:val="003410DB"/>
    <w:rsid w:val="00341C77"/>
    <w:rsid w:val="0034212F"/>
    <w:rsid w:val="00344582"/>
    <w:rsid w:val="00344A10"/>
    <w:rsid w:val="00344B13"/>
    <w:rsid w:val="003450E6"/>
    <w:rsid w:val="003456AD"/>
    <w:rsid w:val="003456DA"/>
    <w:rsid w:val="003458E1"/>
    <w:rsid w:val="00345E7C"/>
    <w:rsid w:val="00346233"/>
    <w:rsid w:val="003462CD"/>
    <w:rsid w:val="00346772"/>
    <w:rsid w:val="00347456"/>
    <w:rsid w:val="00347EE1"/>
    <w:rsid w:val="00350575"/>
    <w:rsid w:val="00351325"/>
    <w:rsid w:val="003517EA"/>
    <w:rsid w:val="00351AE5"/>
    <w:rsid w:val="00351E9B"/>
    <w:rsid w:val="0035244C"/>
    <w:rsid w:val="00352973"/>
    <w:rsid w:val="00352DCC"/>
    <w:rsid w:val="00353C4E"/>
    <w:rsid w:val="003545A2"/>
    <w:rsid w:val="00354D34"/>
    <w:rsid w:val="003551A3"/>
    <w:rsid w:val="0035592D"/>
    <w:rsid w:val="003559B2"/>
    <w:rsid w:val="00356CCA"/>
    <w:rsid w:val="00357C07"/>
    <w:rsid w:val="00360F73"/>
    <w:rsid w:val="00360FAF"/>
    <w:rsid w:val="003610C5"/>
    <w:rsid w:val="003626A4"/>
    <w:rsid w:val="003633A4"/>
    <w:rsid w:val="003636F3"/>
    <w:rsid w:val="00363F8C"/>
    <w:rsid w:val="00364002"/>
    <w:rsid w:val="003649D7"/>
    <w:rsid w:val="00365359"/>
    <w:rsid w:val="00366310"/>
    <w:rsid w:val="00366FCA"/>
    <w:rsid w:val="003673DF"/>
    <w:rsid w:val="0036772E"/>
    <w:rsid w:val="00367B83"/>
    <w:rsid w:val="00370C57"/>
    <w:rsid w:val="00372F1E"/>
    <w:rsid w:val="003733F3"/>
    <w:rsid w:val="00373557"/>
    <w:rsid w:val="00373BB7"/>
    <w:rsid w:val="00374B3E"/>
    <w:rsid w:val="00375EC9"/>
    <w:rsid w:val="00375F4B"/>
    <w:rsid w:val="0037623D"/>
    <w:rsid w:val="0037649F"/>
    <w:rsid w:val="003768E8"/>
    <w:rsid w:val="0037732B"/>
    <w:rsid w:val="0037752B"/>
    <w:rsid w:val="003776AA"/>
    <w:rsid w:val="00377A69"/>
    <w:rsid w:val="00380656"/>
    <w:rsid w:val="00380997"/>
    <w:rsid w:val="003822E4"/>
    <w:rsid w:val="003826D9"/>
    <w:rsid w:val="00382AE0"/>
    <w:rsid w:val="00382B58"/>
    <w:rsid w:val="0038310D"/>
    <w:rsid w:val="003838AF"/>
    <w:rsid w:val="00383A37"/>
    <w:rsid w:val="00383ABB"/>
    <w:rsid w:val="00384111"/>
    <w:rsid w:val="003843A0"/>
    <w:rsid w:val="00385960"/>
    <w:rsid w:val="00386801"/>
    <w:rsid w:val="0038770C"/>
    <w:rsid w:val="00387EF3"/>
    <w:rsid w:val="003903C1"/>
    <w:rsid w:val="0039071E"/>
    <w:rsid w:val="0039090E"/>
    <w:rsid w:val="00392766"/>
    <w:rsid w:val="0039369A"/>
    <w:rsid w:val="003939A3"/>
    <w:rsid w:val="00395222"/>
    <w:rsid w:val="00395C76"/>
    <w:rsid w:val="00396A47"/>
    <w:rsid w:val="00396AF2"/>
    <w:rsid w:val="00396CDF"/>
    <w:rsid w:val="003972D1"/>
    <w:rsid w:val="003973FA"/>
    <w:rsid w:val="00397675"/>
    <w:rsid w:val="003A121B"/>
    <w:rsid w:val="003A1690"/>
    <w:rsid w:val="003A1D12"/>
    <w:rsid w:val="003A2E41"/>
    <w:rsid w:val="003A4174"/>
    <w:rsid w:val="003A5B9E"/>
    <w:rsid w:val="003A5BB7"/>
    <w:rsid w:val="003A5F0A"/>
    <w:rsid w:val="003A65F5"/>
    <w:rsid w:val="003A6B3E"/>
    <w:rsid w:val="003B11BA"/>
    <w:rsid w:val="003B136F"/>
    <w:rsid w:val="003B19DE"/>
    <w:rsid w:val="003B1D15"/>
    <w:rsid w:val="003B1E38"/>
    <w:rsid w:val="003B2006"/>
    <w:rsid w:val="003B23E7"/>
    <w:rsid w:val="003B32D1"/>
    <w:rsid w:val="003B3488"/>
    <w:rsid w:val="003B3E58"/>
    <w:rsid w:val="003B4162"/>
    <w:rsid w:val="003B419D"/>
    <w:rsid w:val="003B42BB"/>
    <w:rsid w:val="003B476A"/>
    <w:rsid w:val="003B5910"/>
    <w:rsid w:val="003B63F5"/>
    <w:rsid w:val="003B6431"/>
    <w:rsid w:val="003B660B"/>
    <w:rsid w:val="003B676B"/>
    <w:rsid w:val="003B68F9"/>
    <w:rsid w:val="003B6B24"/>
    <w:rsid w:val="003C00E4"/>
    <w:rsid w:val="003C0830"/>
    <w:rsid w:val="003C1134"/>
    <w:rsid w:val="003C1EAC"/>
    <w:rsid w:val="003C270B"/>
    <w:rsid w:val="003C27A1"/>
    <w:rsid w:val="003C433C"/>
    <w:rsid w:val="003C4538"/>
    <w:rsid w:val="003C48C4"/>
    <w:rsid w:val="003C4F43"/>
    <w:rsid w:val="003D0884"/>
    <w:rsid w:val="003D16F2"/>
    <w:rsid w:val="003D19AC"/>
    <w:rsid w:val="003D1C4A"/>
    <w:rsid w:val="003D2E13"/>
    <w:rsid w:val="003D315D"/>
    <w:rsid w:val="003D317E"/>
    <w:rsid w:val="003D341F"/>
    <w:rsid w:val="003D354C"/>
    <w:rsid w:val="003D415C"/>
    <w:rsid w:val="003D4C85"/>
    <w:rsid w:val="003D4F0D"/>
    <w:rsid w:val="003D5543"/>
    <w:rsid w:val="003D5548"/>
    <w:rsid w:val="003D6248"/>
    <w:rsid w:val="003D7428"/>
    <w:rsid w:val="003E15EA"/>
    <w:rsid w:val="003E1E2E"/>
    <w:rsid w:val="003E2933"/>
    <w:rsid w:val="003E35A8"/>
    <w:rsid w:val="003E3EF8"/>
    <w:rsid w:val="003E42A9"/>
    <w:rsid w:val="003E46DE"/>
    <w:rsid w:val="003E5D19"/>
    <w:rsid w:val="003E6AAD"/>
    <w:rsid w:val="003E7D45"/>
    <w:rsid w:val="003F20E5"/>
    <w:rsid w:val="003F2597"/>
    <w:rsid w:val="003F2E53"/>
    <w:rsid w:val="003F36CB"/>
    <w:rsid w:val="003F37D5"/>
    <w:rsid w:val="003F3C12"/>
    <w:rsid w:val="003F433E"/>
    <w:rsid w:val="003F4457"/>
    <w:rsid w:val="003F4993"/>
    <w:rsid w:val="003F5956"/>
    <w:rsid w:val="003F595A"/>
    <w:rsid w:val="003F6456"/>
    <w:rsid w:val="003F672B"/>
    <w:rsid w:val="003F6D44"/>
    <w:rsid w:val="003F6D84"/>
    <w:rsid w:val="003F735B"/>
    <w:rsid w:val="003F7B0C"/>
    <w:rsid w:val="003F7CA1"/>
    <w:rsid w:val="004008C8"/>
    <w:rsid w:val="00400E35"/>
    <w:rsid w:val="0040162C"/>
    <w:rsid w:val="00401F6F"/>
    <w:rsid w:val="00402982"/>
    <w:rsid w:val="00404574"/>
    <w:rsid w:val="00404F5D"/>
    <w:rsid w:val="004050EA"/>
    <w:rsid w:val="00405548"/>
    <w:rsid w:val="00405908"/>
    <w:rsid w:val="0040733D"/>
    <w:rsid w:val="00407493"/>
    <w:rsid w:val="004074C2"/>
    <w:rsid w:val="00411252"/>
    <w:rsid w:val="00411FAF"/>
    <w:rsid w:val="004128E3"/>
    <w:rsid w:val="00413F72"/>
    <w:rsid w:val="004146C0"/>
    <w:rsid w:val="00414731"/>
    <w:rsid w:val="00414A54"/>
    <w:rsid w:val="00414F3C"/>
    <w:rsid w:val="00415820"/>
    <w:rsid w:val="0041607E"/>
    <w:rsid w:val="0041612B"/>
    <w:rsid w:val="004161B2"/>
    <w:rsid w:val="00417737"/>
    <w:rsid w:val="004200D6"/>
    <w:rsid w:val="0042055A"/>
    <w:rsid w:val="00421BA3"/>
    <w:rsid w:val="00421DEA"/>
    <w:rsid w:val="004232DC"/>
    <w:rsid w:val="004235D5"/>
    <w:rsid w:val="0042468B"/>
    <w:rsid w:val="0042572D"/>
    <w:rsid w:val="00425DF5"/>
    <w:rsid w:val="0042601B"/>
    <w:rsid w:val="0042648D"/>
    <w:rsid w:val="00427CE3"/>
    <w:rsid w:val="00430502"/>
    <w:rsid w:val="00430A0D"/>
    <w:rsid w:val="00430A16"/>
    <w:rsid w:val="00430E07"/>
    <w:rsid w:val="00430F3E"/>
    <w:rsid w:val="004311DC"/>
    <w:rsid w:val="00431B65"/>
    <w:rsid w:val="0043340F"/>
    <w:rsid w:val="00433A89"/>
    <w:rsid w:val="00433AB0"/>
    <w:rsid w:val="00433B71"/>
    <w:rsid w:val="00433F3C"/>
    <w:rsid w:val="0043419D"/>
    <w:rsid w:val="004341EB"/>
    <w:rsid w:val="00434CC7"/>
    <w:rsid w:val="0043508A"/>
    <w:rsid w:val="004363AA"/>
    <w:rsid w:val="00437254"/>
    <w:rsid w:val="00440C73"/>
    <w:rsid w:val="00440E7C"/>
    <w:rsid w:val="00441821"/>
    <w:rsid w:val="004418AB"/>
    <w:rsid w:val="00441F9E"/>
    <w:rsid w:val="00442115"/>
    <w:rsid w:val="00443941"/>
    <w:rsid w:val="004447D1"/>
    <w:rsid w:val="00445660"/>
    <w:rsid w:val="00447D24"/>
    <w:rsid w:val="00450332"/>
    <w:rsid w:val="00450BBA"/>
    <w:rsid w:val="0045220F"/>
    <w:rsid w:val="004539E8"/>
    <w:rsid w:val="00454A11"/>
    <w:rsid w:val="00454BF5"/>
    <w:rsid w:val="00454C7D"/>
    <w:rsid w:val="00455CA9"/>
    <w:rsid w:val="00456E46"/>
    <w:rsid w:val="00456F92"/>
    <w:rsid w:val="00461331"/>
    <w:rsid w:val="004618D2"/>
    <w:rsid w:val="00461B78"/>
    <w:rsid w:val="00461C1E"/>
    <w:rsid w:val="00461D01"/>
    <w:rsid w:val="00461D51"/>
    <w:rsid w:val="0046209F"/>
    <w:rsid w:val="00462B8F"/>
    <w:rsid w:val="00462D9B"/>
    <w:rsid w:val="00462ED7"/>
    <w:rsid w:val="0046326C"/>
    <w:rsid w:val="00463319"/>
    <w:rsid w:val="00464F40"/>
    <w:rsid w:val="00466CBD"/>
    <w:rsid w:val="004675E1"/>
    <w:rsid w:val="004677E5"/>
    <w:rsid w:val="00467FC4"/>
    <w:rsid w:val="00471535"/>
    <w:rsid w:val="004733AF"/>
    <w:rsid w:val="00473409"/>
    <w:rsid w:val="004735C9"/>
    <w:rsid w:val="00474703"/>
    <w:rsid w:val="00474D36"/>
    <w:rsid w:val="004754F8"/>
    <w:rsid w:val="00475AB6"/>
    <w:rsid w:val="00476BC6"/>
    <w:rsid w:val="00477D55"/>
    <w:rsid w:val="00480F7B"/>
    <w:rsid w:val="00482874"/>
    <w:rsid w:val="00482D38"/>
    <w:rsid w:val="00483EE7"/>
    <w:rsid w:val="004861D0"/>
    <w:rsid w:val="0049095E"/>
    <w:rsid w:val="00491285"/>
    <w:rsid w:val="00491304"/>
    <w:rsid w:val="004916F5"/>
    <w:rsid w:val="00491B20"/>
    <w:rsid w:val="0049209F"/>
    <w:rsid w:val="0049229C"/>
    <w:rsid w:val="004924C5"/>
    <w:rsid w:val="00493640"/>
    <w:rsid w:val="00493D27"/>
    <w:rsid w:val="004953F6"/>
    <w:rsid w:val="004956F4"/>
    <w:rsid w:val="004967D2"/>
    <w:rsid w:val="00497681"/>
    <w:rsid w:val="004977BC"/>
    <w:rsid w:val="004A0088"/>
    <w:rsid w:val="004A1701"/>
    <w:rsid w:val="004A2183"/>
    <w:rsid w:val="004A2CBD"/>
    <w:rsid w:val="004A2DF6"/>
    <w:rsid w:val="004A302F"/>
    <w:rsid w:val="004A4222"/>
    <w:rsid w:val="004A44FD"/>
    <w:rsid w:val="004A47D1"/>
    <w:rsid w:val="004A49D8"/>
    <w:rsid w:val="004A50C7"/>
    <w:rsid w:val="004A545C"/>
    <w:rsid w:val="004A5CB8"/>
    <w:rsid w:val="004A6108"/>
    <w:rsid w:val="004A64BB"/>
    <w:rsid w:val="004A6C4C"/>
    <w:rsid w:val="004A70F0"/>
    <w:rsid w:val="004A73D5"/>
    <w:rsid w:val="004B108A"/>
    <w:rsid w:val="004B2744"/>
    <w:rsid w:val="004B2D80"/>
    <w:rsid w:val="004B447D"/>
    <w:rsid w:val="004B4CE0"/>
    <w:rsid w:val="004B4EB0"/>
    <w:rsid w:val="004B5171"/>
    <w:rsid w:val="004B5852"/>
    <w:rsid w:val="004B597C"/>
    <w:rsid w:val="004B59D4"/>
    <w:rsid w:val="004B5A19"/>
    <w:rsid w:val="004B6C6F"/>
    <w:rsid w:val="004B6D6A"/>
    <w:rsid w:val="004B7CCB"/>
    <w:rsid w:val="004C13FC"/>
    <w:rsid w:val="004C19E7"/>
    <w:rsid w:val="004C1E40"/>
    <w:rsid w:val="004C2C4E"/>
    <w:rsid w:val="004C2CBD"/>
    <w:rsid w:val="004C2E3F"/>
    <w:rsid w:val="004C3887"/>
    <w:rsid w:val="004C406B"/>
    <w:rsid w:val="004C42EF"/>
    <w:rsid w:val="004C4528"/>
    <w:rsid w:val="004C4DF4"/>
    <w:rsid w:val="004C5E7A"/>
    <w:rsid w:val="004C6107"/>
    <w:rsid w:val="004C611A"/>
    <w:rsid w:val="004C6163"/>
    <w:rsid w:val="004C623B"/>
    <w:rsid w:val="004C69DB"/>
    <w:rsid w:val="004C7101"/>
    <w:rsid w:val="004C7313"/>
    <w:rsid w:val="004C7730"/>
    <w:rsid w:val="004C7811"/>
    <w:rsid w:val="004C7FB6"/>
    <w:rsid w:val="004D0277"/>
    <w:rsid w:val="004D0580"/>
    <w:rsid w:val="004D0C6A"/>
    <w:rsid w:val="004D0F49"/>
    <w:rsid w:val="004D2E79"/>
    <w:rsid w:val="004D2FA9"/>
    <w:rsid w:val="004D3015"/>
    <w:rsid w:val="004D31C6"/>
    <w:rsid w:val="004D437C"/>
    <w:rsid w:val="004D442B"/>
    <w:rsid w:val="004D4A28"/>
    <w:rsid w:val="004D4A89"/>
    <w:rsid w:val="004D504A"/>
    <w:rsid w:val="004D508A"/>
    <w:rsid w:val="004D6923"/>
    <w:rsid w:val="004D694D"/>
    <w:rsid w:val="004D79D8"/>
    <w:rsid w:val="004E0BE0"/>
    <w:rsid w:val="004E1E79"/>
    <w:rsid w:val="004E2052"/>
    <w:rsid w:val="004E29F4"/>
    <w:rsid w:val="004E3589"/>
    <w:rsid w:val="004E472A"/>
    <w:rsid w:val="004E47B2"/>
    <w:rsid w:val="004E4DC3"/>
    <w:rsid w:val="004E575D"/>
    <w:rsid w:val="004E5847"/>
    <w:rsid w:val="004E5A06"/>
    <w:rsid w:val="004E6E2D"/>
    <w:rsid w:val="004E7126"/>
    <w:rsid w:val="004E71DE"/>
    <w:rsid w:val="004E7C72"/>
    <w:rsid w:val="004F0495"/>
    <w:rsid w:val="004F0C93"/>
    <w:rsid w:val="004F0CDE"/>
    <w:rsid w:val="004F0D03"/>
    <w:rsid w:val="004F0D95"/>
    <w:rsid w:val="004F153E"/>
    <w:rsid w:val="004F1811"/>
    <w:rsid w:val="004F1E65"/>
    <w:rsid w:val="004F2626"/>
    <w:rsid w:val="004F2636"/>
    <w:rsid w:val="004F2667"/>
    <w:rsid w:val="004F3257"/>
    <w:rsid w:val="004F337A"/>
    <w:rsid w:val="004F45C7"/>
    <w:rsid w:val="004F58D4"/>
    <w:rsid w:val="004F60FC"/>
    <w:rsid w:val="004F61EF"/>
    <w:rsid w:val="004F6978"/>
    <w:rsid w:val="004F6AA0"/>
    <w:rsid w:val="004F7CEC"/>
    <w:rsid w:val="005022D1"/>
    <w:rsid w:val="0050257D"/>
    <w:rsid w:val="00502DFE"/>
    <w:rsid w:val="005033DC"/>
    <w:rsid w:val="00503824"/>
    <w:rsid w:val="005040AB"/>
    <w:rsid w:val="005044B7"/>
    <w:rsid w:val="005064AB"/>
    <w:rsid w:val="00506F75"/>
    <w:rsid w:val="00510467"/>
    <w:rsid w:val="0051119E"/>
    <w:rsid w:val="005111B8"/>
    <w:rsid w:val="00511856"/>
    <w:rsid w:val="00511EF5"/>
    <w:rsid w:val="00512425"/>
    <w:rsid w:val="00512E53"/>
    <w:rsid w:val="00513376"/>
    <w:rsid w:val="00513609"/>
    <w:rsid w:val="00513750"/>
    <w:rsid w:val="00514134"/>
    <w:rsid w:val="00514E10"/>
    <w:rsid w:val="00515B86"/>
    <w:rsid w:val="00515D13"/>
    <w:rsid w:val="00516572"/>
    <w:rsid w:val="00516C08"/>
    <w:rsid w:val="005179BD"/>
    <w:rsid w:val="00517BB8"/>
    <w:rsid w:val="00517C5B"/>
    <w:rsid w:val="00517C70"/>
    <w:rsid w:val="00520263"/>
    <w:rsid w:val="00520531"/>
    <w:rsid w:val="0052057E"/>
    <w:rsid w:val="00521385"/>
    <w:rsid w:val="00521B31"/>
    <w:rsid w:val="00522CEB"/>
    <w:rsid w:val="00525166"/>
    <w:rsid w:val="0052599F"/>
    <w:rsid w:val="00526ED8"/>
    <w:rsid w:val="00527592"/>
    <w:rsid w:val="00527C23"/>
    <w:rsid w:val="00527F8B"/>
    <w:rsid w:val="005300B2"/>
    <w:rsid w:val="005303DC"/>
    <w:rsid w:val="005309CC"/>
    <w:rsid w:val="00530A2E"/>
    <w:rsid w:val="0053144F"/>
    <w:rsid w:val="005333D9"/>
    <w:rsid w:val="0053351A"/>
    <w:rsid w:val="00534E65"/>
    <w:rsid w:val="00535C38"/>
    <w:rsid w:val="005363F9"/>
    <w:rsid w:val="00536E4D"/>
    <w:rsid w:val="005377B9"/>
    <w:rsid w:val="00537A4E"/>
    <w:rsid w:val="00537EC4"/>
    <w:rsid w:val="0054021D"/>
    <w:rsid w:val="00540FA8"/>
    <w:rsid w:val="00543F08"/>
    <w:rsid w:val="0054485E"/>
    <w:rsid w:val="00544A86"/>
    <w:rsid w:val="00545A32"/>
    <w:rsid w:val="0055036D"/>
    <w:rsid w:val="0055123A"/>
    <w:rsid w:val="00551560"/>
    <w:rsid w:val="00553FC1"/>
    <w:rsid w:val="005548AE"/>
    <w:rsid w:val="00555847"/>
    <w:rsid w:val="00555B2A"/>
    <w:rsid w:val="005564AA"/>
    <w:rsid w:val="00556BB6"/>
    <w:rsid w:val="00556C5E"/>
    <w:rsid w:val="00557D52"/>
    <w:rsid w:val="00560550"/>
    <w:rsid w:val="005608AC"/>
    <w:rsid w:val="00562731"/>
    <w:rsid w:val="005639C6"/>
    <w:rsid w:val="00565032"/>
    <w:rsid w:val="005650DE"/>
    <w:rsid w:val="00566C42"/>
    <w:rsid w:val="00570AEC"/>
    <w:rsid w:val="00572832"/>
    <w:rsid w:val="00572A8C"/>
    <w:rsid w:val="00573C01"/>
    <w:rsid w:val="005744B2"/>
    <w:rsid w:val="00574693"/>
    <w:rsid w:val="005748AD"/>
    <w:rsid w:val="00575CC2"/>
    <w:rsid w:val="00576159"/>
    <w:rsid w:val="0057649B"/>
    <w:rsid w:val="00580D2E"/>
    <w:rsid w:val="00581011"/>
    <w:rsid w:val="005811AB"/>
    <w:rsid w:val="005819B8"/>
    <w:rsid w:val="00581D98"/>
    <w:rsid w:val="0058211F"/>
    <w:rsid w:val="00582719"/>
    <w:rsid w:val="005832E5"/>
    <w:rsid w:val="005833EB"/>
    <w:rsid w:val="00583455"/>
    <w:rsid w:val="00583BAA"/>
    <w:rsid w:val="0058562D"/>
    <w:rsid w:val="00585AE4"/>
    <w:rsid w:val="00586563"/>
    <w:rsid w:val="0058660D"/>
    <w:rsid w:val="005878EA"/>
    <w:rsid w:val="0059002B"/>
    <w:rsid w:val="00590DE7"/>
    <w:rsid w:val="005915F4"/>
    <w:rsid w:val="0059217B"/>
    <w:rsid w:val="00593727"/>
    <w:rsid w:val="00593B04"/>
    <w:rsid w:val="00593EC6"/>
    <w:rsid w:val="00594025"/>
    <w:rsid w:val="00594148"/>
    <w:rsid w:val="00594384"/>
    <w:rsid w:val="0059553B"/>
    <w:rsid w:val="00595D01"/>
    <w:rsid w:val="00596853"/>
    <w:rsid w:val="00596995"/>
    <w:rsid w:val="005A029A"/>
    <w:rsid w:val="005A060A"/>
    <w:rsid w:val="005A1F77"/>
    <w:rsid w:val="005A21FB"/>
    <w:rsid w:val="005A2395"/>
    <w:rsid w:val="005A323D"/>
    <w:rsid w:val="005A3269"/>
    <w:rsid w:val="005A3825"/>
    <w:rsid w:val="005A3A34"/>
    <w:rsid w:val="005A3B09"/>
    <w:rsid w:val="005A4330"/>
    <w:rsid w:val="005A4701"/>
    <w:rsid w:val="005A4EA9"/>
    <w:rsid w:val="005A51F9"/>
    <w:rsid w:val="005A5592"/>
    <w:rsid w:val="005A5896"/>
    <w:rsid w:val="005A5CA5"/>
    <w:rsid w:val="005A5F1E"/>
    <w:rsid w:val="005A6B66"/>
    <w:rsid w:val="005A7281"/>
    <w:rsid w:val="005A7884"/>
    <w:rsid w:val="005B0F29"/>
    <w:rsid w:val="005B1524"/>
    <w:rsid w:val="005B1651"/>
    <w:rsid w:val="005B1D78"/>
    <w:rsid w:val="005B2184"/>
    <w:rsid w:val="005B21B0"/>
    <w:rsid w:val="005B26A6"/>
    <w:rsid w:val="005B2891"/>
    <w:rsid w:val="005B3ECD"/>
    <w:rsid w:val="005B4233"/>
    <w:rsid w:val="005B46FF"/>
    <w:rsid w:val="005B51C3"/>
    <w:rsid w:val="005B5237"/>
    <w:rsid w:val="005B55C8"/>
    <w:rsid w:val="005B67DC"/>
    <w:rsid w:val="005B6BE0"/>
    <w:rsid w:val="005B740E"/>
    <w:rsid w:val="005B753B"/>
    <w:rsid w:val="005C017E"/>
    <w:rsid w:val="005C0918"/>
    <w:rsid w:val="005C0DE8"/>
    <w:rsid w:val="005C1B2D"/>
    <w:rsid w:val="005C1F57"/>
    <w:rsid w:val="005C21FC"/>
    <w:rsid w:val="005C221F"/>
    <w:rsid w:val="005C33B6"/>
    <w:rsid w:val="005C3E86"/>
    <w:rsid w:val="005C4940"/>
    <w:rsid w:val="005C5209"/>
    <w:rsid w:val="005C5949"/>
    <w:rsid w:val="005C5AFB"/>
    <w:rsid w:val="005C615C"/>
    <w:rsid w:val="005C6399"/>
    <w:rsid w:val="005C6AD4"/>
    <w:rsid w:val="005C6BD7"/>
    <w:rsid w:val="005C7404"/>
    <w:rsid w:val="005C7D11"/>
    <w:rsid w:val="005D054D"/>
    <w:rsid w:val="005D1857"/>
    <w:rsid w:val="005D1981"/>
    <w:rsid w:val="005D22A9"/>
    <w:rsid w:val="005D352F"/>
    <w:rsid w:val="005D35AC"/>
    <w:rsid w:val="005D39ED"/>
    <w:rsid w:val="005D3BC5"/>
    <w:rsid w:val="005D3CED"/>
    <w:rsid w:val="005D4186"/>
    <w:rsid w:val="005D49C0"/>
    <w:rsid w:val="005D5DFB"/>
    <w:rsid w:val="005D6ADE"/>
    <w:rsid w:val="005D749E"/>
    <w:rsid w:val="005E1394"/>
    <w:rsid w:val="005E13C8"/>
    <w:rsid w:val="005E2659"/>
    <w:rsid w:val="005E3BE0"/>
    <w:rsid w:val="005E431E"/>
    <w:rsid w:val="005E43C6"/>
    <w:rsid w:val="005E473C"/>
    <w:rsid w:val="005E4B60"/>
    <w:rsid w:val="005E5017"/>
    <w:rsid w:val="005E5170"/>
    <w:rsid w:val="005E5DA8"/>
    <w:rsid w:val="005E6717"/>
    <w:rsid w:val="005E6966"/>
    <w:rsid w:val="005E6AAE"/>
    <w:rsid w:val="005E6AE3"/>
    <w:rsid w:val="005E6CDB"/>
    <w:rsid w:val="005E7171"/>
    <w:rsid w:val="005E74B0"/>
    <w:rsid w:val="005E771C"/>
    <w:rsid w:val="005E7803"/>
    <w:rsid w:val="005E7C74"/>
    <w:rsid w:val="005F03E0"/>
    <w:rsid w:val="005F0CF6"/>
    <w:rsid w:val="005F23A1"/>
    <w:rsid w:val="005F539C"/>
    <w:rsid w:val="005F692E"/>
    <w:rsid w:val="005F695F"/>
    <w:rsid w:val="005F6DD6"/>
    <w:rsid w:val="005F7699"/>
    <w:rsid w:val="005F782F"/>
    <w:rsid w:val="006005A8"/>
    <w:rsid w:val="00600B44"/>
    <w:rsid w:val="00600EC0"/>
    <w:rsid w:val="00601065"/>
    <w:rsid w:val="00601B09"/>
    <w:rsid w:val="00602217"/>
    <w:rsid w:val="006029AC"/>
    <w:rsid w:val="006031DA"/>
    <w:rsid w:val="00603FC9"/>
    <w:rsid w:val="00604484"/>
    <w:rsid w:val="00604EBF"/>
    <w:rsid w:val="006058D4"/>
    <w:rsid w:val="00610DA8"/>
    <w:rsid w:val="0061118C"/>
    <w:rsid w:val="006124CE"/>
    <w:rsid w:val="006151F5"/>
    <w:rsid w:val="006166AC"/>
    <w:rsid w:val="0061698F"/>
    <w:rsid w:val="00617EEB"/>
    <w:rsid w:val="0062002A"/>
    <w:rsid w:val="0062142D"/>
    <w:rsid w:val="00621596"/>
    <w:rsid w:val="006225F3"/>
    <w:rsid w:val="006249B4"/>
    <w:rsid w:val="00626868"/>
    <w:rsid w:val="00626B08"/>
    <w:rsid w:val="00626D4D"/>
    <w:rsid w:val="0062747E"/>
    <w:rsid w:val="006278C6"/>
    <w:rsid w:val="00627957"/>
    <w:rsid w:val="00627BEF"/>
    <w:rsid w:val="00627D1C"/>
    <w:rsid w:val="00630A04"/>
    <w:rsid w:val="00632D51"/>
    <w:rsid w:val="006331F2"/>
    <w:rsid w:val="00633870"/>
    <w:rsid w:val="00633A9C"/>
    <w:rsid w:val="0063430B"/>
    <w:rsid w:val="006348B1"/>
    <w:rsid w:val="006363A6"/>
    <w:rsid w:val="006363F5"/>
    <w:rsid w:val="00636622"/>
    <w:rsid w:val="00636E07"/>
    <w:rsid w:val="0064000A"/>
    <w:rsid w:val="006404A1"/>
    <w:rsid w:val="00640FF5"/>
    <w:rsid w:val="00641710"/>
    <w:rsid w:val="00641BF0"/>
    <w:rsid w:val="00641CD3"/>
    <w:rsid w:val="006423C8"/>
    <w:rsid w:val="00642658"/>
    <w:rsid w:val="00643FF5"/>
    <w:rsid w:val="00644041"/>
    <w:rsid w:val="00645571"/>
    <w:rsid w:val="00645F7C"/>
    <w:rsid w:val="006461FC"/>
    <w:rsid w:val="00646C44"/>
    <w:rsid w:val="0065000E"/>
    <w:rsid w:val="006508C8"/>
    <w:rsid w:val="00650A2B"/>
    <w:rsid w:val="00650F03"/>
    <w:rsid w:val="00651C3A"/>
    <w:rsid w:val="00652C6D"/>
    <w:rsid w:val="00653B2C"/>
    <w:rsid w:val="00654CBC"/>
    <w:rsid w:val="006560B4"/>
    <w:rsid w:val="006562ED"/>
    <w:rsid w:val="006569F7"/>
    <w:rsid w:val="00657B63"/>
    <w:rsid w:val="00657E19"/>
    <w:rsid w:val="006605C6"/>
    <w:rsid w:val="00660AFB"/>
    <w:rsid w:val="0066103E"/>
    <w:rsid w:val="00661046"/>
    <w:rsid w:val="00661917"/>
    <w:rsid w:val="00661B12"/>
    <w:rsid w:val="00662581"/>
    <w:rsid w:val="00662ADB"/>
    <w:rsid w:val="006634E0"/>
    <w:rsid w:val="006635B7"/>
    <w:rsid w:val="00663764"/>
    <w:rsid w:val="00663BA6"/>
    <w:rsid w:val="00665637"/>
    <w:rsid w:val="00665CC2"/>
    <w:rsid w:val="00665FDC"/>
    <w:rsid w:val="00666BAB"/>
    <w:rsid w:val="00667104"/>
    <w:rsid w:val="00667761"/>
    <w:rsid w:val="006700C8"/>
    <w:rsid w:val="00670496"/>
    <w:rsid w:val="00670C46"/>
    <w:rsid w:val="00670E56"/>
    <w:rsid w:val="00670E80"/>
    <w:rsid w:val="00670EEE"/>
    <w:rsid w:val="006711E3"/>
    <w:rsid w:val="00671291"/>
    <w:rsid w:val="006719DB"/>
    <w:rsid w:val="00672150"/>
    <w:rsid w:val="00672575"/>
    <w:rsid w:val="0067268E"/>
    <w:rsid w:val="00672868"/>
    <w:rsid w:val="00673088"/>
    <w:rsid w:val="00673D4E"/>
    <w:rsid w:val="00674B9B"/>
    <w:rsid w:val="006759B3"/>
    <w:rsid w:val="00676FFA"/>
    <w:rsid w:val="00677529"/>
    <w:rsid w:val="00677556"/>
    <w:rsid w:val="00677D1B"/>
    <w:rsid w:val="0068197E"/>
    <w:rsid w:val="00681EB7"/>
    <w:rsid w:val="00682A16"/>
    <w:rsid w:val="00682C46"/>
    <w:rsid w:val="00682DB7"/>
    <w:rsid w:val="006830CF"/>
    <w:rsid w:val="006845C8"/>
    <w:rsid w:val="00684991"/>
    <w:rsid w:val="0068530C"/>
    <w:rsid w:val="00685339"/>
    <w:rsid w:val="006869E2"/>
    <w:rsid w:val="00686A25"/>
    <w:rsid w:val="00686CD0"/>
    <w:rsid w:val="00687017"/>
    <w:rsid w:val="00687332"/>
    <w:rsid w:val="00687839"/>
    <w:rsid w:val="00690720"/>
    <w:rsid w:val="006920B7"/>
    <w:rsid w:val="00692163"/>
    <w:rsid w:val="006921C5"/>
    <w:rsid w:val="00692D28"/>
    <w:rsid w:val="00693153"/>
    <w:rsid w:val="006935DD"/>
    <w:rsid w:val="00693658"/>
    <w:rsid w:val="0069423E"/>
    <w:rsid w:val="006946C8"/>
    <w:rsid w:val="00695761"/>
    <w:rsid w:val="006958FD"/>
    <w:rsid w:val="006959CD"/>
    <w:rsid w:val="00695AB8"/>
    <w:rsid w:val="006960D2"/>
    <w:rsid w:val="00696215"/>
    <w:rsid w:val="00696638"/>
    <w:rsid w:val="0069705F"/>
    <w:rsid w:val="00697B19"/>
    <w:rsid w:val="00697F6E"/>
    <w:rsid w:val="006A172E"/>
    <w:rsid w:val="006A1935"/>
    <w:rsid w:val="006A24C6"/>
    <w:rsid w:val="006A2526"/>
    <w:rsid w:val="006A2A94"/>
    <w:rsid w:val="006A4FF2"/>
    <w:rsid w:val="006A52EB"/>
    <w:rsid w:val="006A5957"/>
    <w:rsid w:val="006A5CC3"/>
    <w:rsid w:val="006A62F9"/>
    <w:rsid w:val="006A6484"/>
    <w:rsid w:val="006A6DDE"/>
    <w:rsid w:val="006A7DF0"/>
    <w:rsid w:val="006A7F40"/>
    <w:rsid w:val="006B0218"/>
    <w:rsid w:val="006B1019"/>
    <w:rsid w:val="006B1497"/>
    <w:rsid w:val="006B1508"/>
    <w:rsid w:val="006B1602"/>
    <w:rsid w:val="006B4179"/>
    <w:rsid w:val="006B41A0"/>
    <w:rsid w:val="006B4854"/>
    <w:rsid w:val="006B4CA9"/>
    <w:rsid w:val="006B5673"/>
    <w:rsid w:val="006B606C"/>
    <w:rsid w:val="006B6082"/>
    <w:rsid w:val="006B6513"/>
    <w:rsid w:val="006B668C"/>
    <w:rsid w:val="006B68E0"/>
    <w:rsid w:val="006B717E"/>
    <w:rsid w:val="006B7735"/>
    <w:rsid w:val="006B77CB"/>
    <w:rsid w:val="006C08EA"/>
    <w:rsid w:val="006C0A73"/>
    <w:rsid w:val="006C0B48"/>
    <w:rsid w:val="006C2F98"/>
    <w:rsid w:val="006C4F05"/>
    <w:rsid w:val="006C553E"/>
    <w:rsid w:val="006C57CE"/>
    <w:rsid w:val="006C6874"/>
    <w:rsid w:val="006C6D5D"/>
    <w:rsid w:val="006C70A8"/>
    <w:rsid w:val="006C72B5"/>
    <w:rsid w:val="006C751C"/>
    <w:rsid w:val="006D0117"/>
    <w:rsid w:val="006D078D"/>
    <w:rsid w:val="006D128C"/>
    <w:rsid w:val="006D42B6"/>
    <w:rsid w:val="006D4BA2"/>
    <w:rsid w:val="006D508F"/>
    <w:rsid w:val="006D51B9"/>
    <w:rsid w:val="006D5B47"/>
    <w:rsid w:val="006D5D5F"/>
    <w:rsid w:val="006D6413"/>
    <w:rsid w:val="006D72D3"/>
    <w:rsid w:val="006D7DE2"/>
    <w:rsid w:val="006E08BA"/>
    <w:rsid w:val="006E0CC7"/>
    <w:rsid w:val="006E12E2"/>
    <w:rsid w:val="006E1ECA"/>
    <w:rsid w:val="006E2522"/>
    <w:rsid w:val="006E429D"/>
    <w:rsid w:val="006E4AFF"/>
    <w:rsid w:val="006E4EE8"/>
    <w:rsid w:val="006E50D9"/>
    <w:rsid w:val="006E5456"/>
    <w:rsid w:val="006E6CDA"/>
    <w:rsid w:val="006E7110"/>
    <w:rsid w:val="006E75A7"/>
    <w:rsid w:val="006F0884"/>
    <w:rsid w:val="006F0A14"/>
    <w:rsid w:val="006F12E0"/>
    <w:rsid w:val="006F1B01"/>
    <w:rsid w:val="006F29AE"/>
    <w:rsid w:val="006F2A29"/>
    <w:rsid w:val="006F3296"/>
    <w:rsid w:val="006F3DD0"/>
    <w:rsid w:val="006F3E14"/>
    <w:rsid w:val="006F4EBF"/>
    <w:rsid w:val="006F4F4B"/>
    <w:rsid w:val="006F4F54"/>
    <w:rsid w:val="006F5A27"/>
    <w:rsid w:val="006F5E80"/>
    <w:rsid w:val="006F6B57"/>
    <w:rsid w:val="006F74CF"/>
    <w:rsid w:val="006F7D0F"/>
    <w:rsid w:val="0070034B"/>
    <w:rsid w:val="00700674"/>
    <w:rsid w:val="00700C97"/>
    <w:rsid w:val="00702155"/>
    <w:rsid w:val="00702A8B"/>
    <w:rsid w:val="00704914"/>
    <w:rsid w:val="00704A70"/>
    <w:rsid w:val="00704A87"/>
    <w:rsid w:val="00705055"/>
    <w:rsid w:val="00705072"/>
    <w:rsid w:val="007050F1"/>
    <w:rsid w:val="00707105"/>
    <w:rsid w:val="007113AD"/>
    <w:rsid w:val="00711ACB"/>
    <w:rsid w:val="0071360A"/>
    <w:rsid w:val="00713871"/>
    <w:rsid w:val="00714073"/>
    <w:rsid w:val="00715688"/>
    <w:rsid w:val="00715EB6"/>
    <w:rsid w:val="00715FDD"/>
    <w:rsid w:val="00716903"/>
    <w:rsid w:val="00717588"/>
    <w:rsid w:val="007202E1"/>
    <w:rsid w:val="00721FBD"/>
    <w:rsid w:val="007234CC"/>
    <w:rsid w:val="007241A5"/>
    <w:rsid w:val="00725488"/>
    <w:rsid w:val="007256B0"/>
    <w:rsid w:val="007258FC"/>
    <w:rsid w:val="00725E6D"/>
    <w:rsid w:val="0072686D"/>
    <w:rsid w:val="007268B7"/>
    <w:rsid w:val="00731440"/>
    <w:rsid w:val="007314B3"/>
    <w:rsid w:val="00731806"/>
    <w:rsid w:val="007319DC"/>
    <w:rsid w:val="007367E2"/>
    <w:rsid w:val="00736A55"/>
    <w:rsid w:val="00737159"/>
    <w:rsid w:val="007371B3"/>
    <w:rsid w:val="00740321"/>
    <w:rsid w:val="00742F95"/>
    <w:rsid w:val="00743685"/>
    <w:rsid w:val="00743BFA"/>
    <w:rsid w:val="00744870"/>
    <w:rsid w:val="0074534F"/>
    <w:rsid w:val="00747BDC"/>
    <w:rsid w:val="007507C1"/>
    <w:rsid w:val="00750875"/>
    <w:rsid w:val="007509BF"/>
    <w:rsid w:val="00750FC0"/>
    <w:rsid w:val="007511CC"/>
    <w:rsid w:val="0075130E"/>
    <w:rsid w:val="007522D2"/>
    <w:rsid w:val="007523CB"/>
    <w:rsid w:val="00753257"/>
    <w:rsid w:val="007532F0"/>
    <w:rsid w:val="007533AC"/>
    <w:rsid w:val="0075495B"/>
    <w:rsid w:val="00754E9D"/>
    <w:rsid w:val="007551AC"/>
    <w:rsid w:val="007553C5"/>
    <w:rsid w:val="007554B7"/>
    <w:rsid w:val="00756909"/>
    <w:rsid w:val="00756B46"/>
    <w:rsid w:val="00756D14"/>
    <w:rsid w:val="00756D1A"/>
    <w:rsid w:val="00756E05"/>
    <w:rsid w:val="007576EC"/>
    <w:rsid w:val="007602F0"/>
    <w:rsid w:val="007604E7"/>
    <w:rsid w:val="007615D3"/>
    <w:rsid w:val="00762023"/>
    <w:rsid w:val="00762187"/>
    <w:rsid w:val="00762405"/>
    <w:rsid w:val="00762BFF"/>
    <w:rsid w:val="00762D08"/>
    <w:rsid w:val="007637F5"/>
    <w:rsid w:val="00763868"/>
    <w:rsid w:val="0076393C"/>
    <w:rsid w:val="00763D72"/>
    <w:rsid w:val="00764875"/>
    <w:rsid w:val="00764DD2"/>
    <w:rsid w:val="00766B55"/>
    <w:rsid w:val="00767BFA"/>
    <w:rsid w:val="00767E42"/>
    <w:rsid w:val="007702D3"/>
    <w:rsid w:val="007717EF"/>
    <w:rsid w:val="00772009"/>
    <w:rsid w:val="00772167"/>
    <w:rsid w:val="007725C2"/>
    <w:rsid w:val="00772FBA"/>
    <w:rsid w:val="00773430"/>
    <w:rsid w:val="00773E46"/>
    <w:rsid w:val="0077424A"/>
    <w:rsid w:val="007742CF"/>
    <w:rsid w:val="00774315"/>
    <w:rsid w:val="00774A95"/>
    <w:rsid w:val="007763CD"/>
    <w:rsid w:val="0077666F"/>
    <w:rsid w:val="00776F31"/>
    <w:rsid w:val="00777894"/>
    <w:rsid w:val="00780214"/>
    <w:rsid w:val="007809B9"/>
    <w:rsid w:val="007814CA"/>
    <w:rsid w:val="00784018"/>
    <w:rsid w:val="00784105"/>
    <w:rsid w:val="00785343"/>
    <w:rsid w:val="00787089"/>
    <w:rsid w:val="007874BC"/>
    <w:rsid w:val="00787D39"/>
    <w:rsid w:val="007916B9"/>
    <w:rsid w:val="007916EB"/>
    <w:rsid w:val="007922FD"/>
    <w:rsid w:val="007936E0"/>
    <w:rsid w:val="0079388C"/>
    <w:rsid w:val="00793AD4"/>
    <w:rsid w:val="007941ED"/>
    <w:rsid w:val="00794221"/>
    <w:rsid w:val="00794500"/>
    <w:rsid w:val="007946D4"/>
    <w:rsid w:val="00795676"/>
    <w:rsid w:val="00795E17"/>
    <w:rsid w:val="007976B3"/>
    <w:rsid w:val="007A04FD"/>
    <w:rsid w:val="007A1506"/>
    <w:rsid w:val="007A22DE"/>
    <w:rsid w:val="007A2430"/>
    <w:rsid w:val="007A2D6D"/>
    <w:rsid w:val="007A2F03"/>
    <w:rsid w:val="007A33E7"/>
    <w:rsid w:val="007A3A52"/>
    <w:rsid w:val="007A3CA4"/>
    <w:rsid w:val="007A421C"/>
    <w:rsid w:val="007A45B0"/>
    <w:rsid w:val="007A466A"/>
    <w:rsid w:val="007A49CB"/>
    <w:rsid w:val="007A4FB9"/>
    <w:rsid w:val="007A6010"/>
    <w:rsid w:val="007A690C"/>
    <w:rsid w:val="007B1078"/>
    <w:rsid w:val="007B1FF8"/>
    <w:rsid w:val="007B23A7"/>
    <w:rsid w:val="007B3055"/>
    <w:rsid w:val="007B330A"/>
    <w:rsid w:val="007B3BDA"/>
    <w:rsid w:val="007B3DD1"/>
    <w:rsid w:val="007B412F"/>
    <w:rsid w:val="007B4179"/>
    <w:rsid w:val="007B463A"/>
    <w:rsid w:val="007B49F2"/>
    <w:rsid w:val="007B4D85"/>
    <w:rsid w:val="007B5578"/>
    <w:rsid w:val="007B5B10"/>
    <w:rsid w:val="007B5BB1"/>
    <w:rsid w:val="007B5D05"/>
    <w:rsid w:val="007B5E28"/>
    <w:rsid w:val="007B5E7B"/>
    <w:rsid w:val="007B64CB"/>
    <w:rsid w:val="007B65EF"/>
    <w:rsid w:val="007B693B"/>
    <w:rsid w:val="007B6C0F"/>
    <w:rsid w:val="007B729F"/>
    <w:rsid w:val="007B76EB"/>
    <w:rsid w:val="007C0520"/>
    <w:rsid w:val="007C09AF"/>
    <w:rsid w:val="007C0D65"/>
    <w:rsid w:val="007C0F6C"/>
    <w:rsid w:val="007C1051"/>
    <w:rsid w:val="007C12FB"/>
    <w:rsid w:val="007C1745"/>
    <w:rsid w:val="007C1EF7"/>
    <w:rsid w:val="007C201D"/>
    <w:rsid w:val="007C2EE7"/>
    <w:rsid w:val="007C322D"/>
    <w:rsid w:val="007C32B0"/>
    <w:rsid w:val="007C377E"/>
    <w:rsid w:val="007C3E69"/>
    <w:rsid w:val="007C4006"/>
    <w:rsid w:val="007C4B0D"/>
    <w:rsid w:val="007C59A4"/>
    <w:rsid w:val="007C5B7A"/>
    <w:rsid w:val="007C5ECC"/>
    <w:rsid w:val="007C62CA"/>
    <w:rsid w:val="007C7553"/>
    <w:rsid w:val="007D0EDB"/>
    <w:rsid w:val="007D1007"/>
    <w:rsid w:val="007D119C"/>
    <w:rsid w:val="007D1328"/>
    <w:rsid w:val="007D1F83"/>
    <w:rsid w:val="007D2897"/>
    <w:rsid w:val="007D2BE5"/>
    <w:rsid w:val="007D3031"/>
    <w:rsid w:val="007D31E4"/>
    <w:rsid w:val="007D3211"/>
    <w:rsid w:val="007D39C9"/>
    <w:rsid w:val="007D3B0A"/>
    <w:rsid w:val="007D3F3B"/>
    <w:rsid w:val="007D3FD4"/>
    <w:rsid w:val="007D417F"/>
    <w:rsid w:val="007D4B38"/>
    <w:rsid w:val="007D4CB6"/>
    <w:rsid w:val="007D4D16"/>
    <w:rsid w:val="007D4F37"/>
    <w:rsid w:val="007D5665"/>
    <w:rsid w:val="007D5F52"/>
    <w:rsid w:val="007D601F"/>
    <w:rsid w:val="007D6819"/>
    <w:rsid w:val="007D7B6B"/>
    <w:rsid w:val="007E02CE"/>
    <w:rsid w:val="007E09FC"/>
    <w:rsid w:val="007E200E"/>
    <w:rsid w:val="007E2827"/>
    <w:rsid w:val="007E2BE6"/>
    <w:rsid w:val="007E3664"/>
    <w:rsid w:val="007E3C05"/>
    <w:rsid w:val="007E43ED"/>
    <w:rsid w:val="007E4481"/>
    <w:rsid w:val="007E4A63"/>
    <w:rsid w:val="007E4D9D"/>
    <w:rsid w:val="007E5C72"/>
    <w:rsid w:val="007E5E7A"/>
    <w:rsid w:val="007E626F"/>
    <w:rsid w:val="007E72C2"/>
    <w:rsid w:val="007E73F9"/>
    <w:rsid w:val="007E74DB"/>
    <w:rsid w:val="007E777C"/>
    <w:rsid w:val="007F0496"/>
    <w:rsid w:val="007F05D8"/>
    <w:rsid w:val="007F1084"/>
    <w:rsid w:val="007F1237"/>
    <w:rsid w:val="007F13B0"/>
    <w:rsid w:val="007F21CA"/>
    <w:rsid w:val="007F2A1C"/>
    <w:rsid w:val="007F2A59"/>
    <w:rsid w:val="007F31DB"/>
    <w:rsid w:val="007F37B4"/>
    <w:rsid w:val="007F3AE5"/>
    <w:rsid w:val="007F4545"/>
    <w:rsid w:val="007F4E2B"/>
    <w:rsid w:val="007F5205"/>
    <w:rsid w:val="007F584C"/>
    <w:rsid w:val="007F6D42"/>
    <w:rsid w:val="007F7167"/>
    <w:rsid w:val="007F7B37"/>
    <w:rsid w:val="007F7D60"/>
    <w:rsid w:val="00800746"/>
    <w:rsid w:val="00800D49"/>
    <w:rsid w:val="00801706"/>
    <w:rsid w:val="00801C8B"/>
    <w:rsid w:val="00802CF6"/>
    <w:rsid w:val="00802D64"/>
    <w:rsid w:val="0080320B"/>
    <w:rsid w:val="008032BD"/>
    <w:rsid w:val="0080475D"/>
    <w:rsid w:val="008048E7"/>
    <w:rsid w:val="00805609"/>
    <w:rsid w:val="00805660"/>
    <w:rsid w:val="00805C9A"/>
    <w:rsid w:val="008060CB"/>
    <w:rsid w:val="00806EFD"/>
    <w:rsid w:val="008070AA"/>
    <w:rsid w:val="00807670"/>
    <w:rsid w:val="008108FA"/>
    <w:rsid w:val="00810D4F"/>
    <w:rsid w:val="008122F9"/>
    <w:rsid w:val="00812B2E"/>
    <w:rsid w:val="00813EC5"/>
    <w:rsid w:val="0081467E"/>
    <w:rsid w:val="00814CB0"/>
    <w:rsid w:val="00814CB2"/>
    <w:rsid w:val="00814FF4"/>
    <w:rsid w:val="008154E2"/>
    <w:rsid w:val="008157D8"/>
    <w:rsid w:val="00815BAF"/>
    <w:rsid w:val="00816079"/>
    <w:rsid w:val="0081612B"/>
    <w:rsid w:val="008163F0"/>
    <w:rsid w:val="00816CAE"/>
    <w:rsid w:val="00817109"/>
    <w:rsid w:val="00817753"/>
    <w:rsid w:val="00817950"/>
    <w:rsid w:val="00817F0F"/>
    <w:rsid w:val="00820017"/>
    <w:rsid w:val="0082042A"/>
    <w:rsid w:val="00821269"/>
    <w:rsid w:val="008228F3"/>
    <w:rsid w:val="008239E0"/>
    <w:rsid w:val="008239E4"/>
    <w:rsid w:val="00824A57"/>
    <w:rsid w:val="00824C81"/>
    <w:rsid w:val="00826FD0"/>
    <w:rsid w:val="0083043B"/>
    <w:rsid w:val="00830807"/>
    <w:rsid w:val="00830EBF"/>
    <w:rsid w:val="008315B1"/>
    <w:rsid w:val="00831B22"/>
    <w:rsid w:val="00831D23"/>
    <w:rsid w:val="0083218A"/>
    <w:rsid w:val="008324B6"/>
    <w:rsid w:val="008325D5"/>
    <w:rsid w:val="00833799"/>
    <w:rsid w:val="00833CDF"/>
    <w:rsid w:val="008344F0"/>
    <w:rsid w:val="00834C24"/>
    <w:rsid w:val="0083551E"/>
    <w:rsid w:val="008364B8"/>
    <w:rsid w:val="008364CB"/>
    <w:rsid w:val="008368AD"/>
    <w:rsid w:val="00836EDB"/>
    <w:rsid w:val="008375F4"/>
    <w:rsid w:val="00837AB6"/>
    <w:rsid w:val="00837B4D"/>
    <w:rsid w:val="00840C76"/>
    <w:rsid w:val="00841730"/>
    <w:rsid w:val="00841745"/>
    <w:rsid w:val="008417E1"/>
    <w:rsid w:val="00842AC2"/>
    <w:rsid w:val="00842F22"/>
    <w:rsid w:val="00843089"/>
    <w:rsid w:val="0084459D"/>
    <w:rsid w:val="00844BA2"/>
    <w:rsid w:val="00845238"/>
    <w:rsid w:val="00845C21"/>
    <w:rsid w:val="00845C90"/>
    <w:rsid w:val="00846081"/>
    <w:rsid w:val="0084622D"/>
    <w:rsid w:val="008472E6"/>
    <w:rsid w:val="00851787"/>
    <w:rsid w:val="00851B1C"/>
    <w:rsid w:val="00851E86"/>
    <w:rsid w:val="00852CA9"/>
    <w:rsid w:val="00852D65"/>
    <w:rsid w:val="00853852"/>
    <w:rsid w:val="00853B9E"/>
    <w:rsid w:val="00853F28"/>
    <w:rsid w:val="00854E32"/>
    <w:rsid w:val="008559E2"/>
    <w:rsid w:val="00856028"/>
    <w:rsid w:val="008564F2"/>
    <w:rsid w:val="008567B8"/>
    <w:rsid w:val="0085756B"/>
    <w:rsid w:val="00857988"/>
    <w:rsid w:val="00860204"/>
    <w:rsid w:val="008609B4"/>
    <w:rsid w:val="00860E76"/>
    <w:rsid w:val="00860EFF"/>
    <w:rsid w:val="008611A8"/>
    <w:rsid w:val="0086139A"/>
    <w:rsid w:val="0086158E"/>
    <w:rsid w:val="00863E36"/>
    <w:rsid w:val="00863EDF"/>
    <w:rsid w:val="008641A4"/>
    <w:rsid w:val="008643BD"/>
    <w:rsid w:val="008647E4"/>
    <w:rsid w:val="00865CC5"/>
    <w:rsid w:val="0086612D"/>
    <w:rsid w:val="0086692A"/>
    <w:rsid w:val="00867325"/>
    <w:rsid w:val="008717C5"/>
    <w:rsid w:val="008719FB"/>
    <w:rsid w:val="00871BF5"/>
    <w:rsid w:val="008721A0"/>
    <w:rsid w:val="008722D4"/>
    <w:rsid w:val="00872D6A"/>
    <w:rsid w:val="008731F2"/>
    <w:rsid w:val="00874619"/>
    <w:rsid w:val="00875205"/>
    <w:rsid w:val="00875221"/>
    <w:rsid w:val="00875230"/>
    <w:rsid w:val="00875243"/>
    <w:rsid w:val="0087537A"/>
    <w:rsid w:val="008760CC"/>
    <w:rsid w:val="00876757"/>
    <w:rsid w:val="00876962"/>
    <w:rsid w:val="00876C61"/>
    <w:rsid w:val="00876EC1"/>
    <w:rsid w:val="008774DA"/>
    <w:rsid w:val="00877987"/>
    <w:rsid w:val="008808E9"/>
    <w:rsid w:val="0088199D"/>
    <w:rsid w:val="00881D78"/>
    <w:rsid w:val="008820FD"/>
    <w:rsid w:val="008821A1"/>
    <w:rsid w:val="008830E4"/>
    <w:rsid w:val="00883A68"/>
    <w:rsid w:val="008841BB"/>
    <w:rsid w:val="0088439F"/>
    <w:rsid w:val="0088472B"/>
    <w:rsid w:val="008849AA"/>
    <w:rsid w:val="00885F78"/>
    <w:rsid w:val="00886C99"/>
    <w:rsid w:val="00887812"/>
    <w:rsid w:val="00887BCC"/>
    <w:rsid w:val="0089104D"/>
    <w:rsid w:val="00891637"/>
    <w:rsid w:val="0089265F"/>
    <w:rsid w:val="00892B6A"/>
    <w:rsid w:val="00892C70"/>
    <w:rsid w:val="00894DDB"/>
    <w:rsid w:val="00894E48"/>
    <w:rsid w:val="00895A76"/>
    <w:rsid w:val="00895F56"/>
    <w:rsid w:val="008970F6"/>
    <w:rsid w:val="00897AC4"/>
    <w:rsid w:val="008A01A9"/>
    <w:rsid w:val="008A0BF5"/>
    <w:rsid w:val="008A0C51"/>
    <w:rsid w:val="008A1A23"/>
    <w:rsid w:val="008A1F24"/>
    <w:rsid w:val="008A239B"/>
    <w:rsid w:val="008A25AE"/>
    <w:rsid w:val="008A27E0"/>
    <w:rsid w:val="008A2848"/>
    <w:rsid w:val="008A29D2"/>
    <w:rsid w:val="008A2F10"/>
    <w:rsid w:val="008A6412"/>
    <w:rsid w:val="008A6599"/>
    <w:rsid w:val="008A7CF7"/>
    <w:rsid w:val="008A7DEC"/>
    <w:rsid w:val="008B039D"/>
    <w:rsid w:val="008B1551"/>
    <w:rsid w:val="008B1EAB"/>
    <w:rsid w:val="008B28E0"/>
    <w:rsid w:val="008B3553"/>
    <w:rsid w:val="008B35C3"/>
    <w:rsid w:val="008B36FF"/>
    <w:rsid w:val="008B3B78"/>
    <w:rsid w:val="008B4EC2"/>
    <w:rsid w:val="008B581D"/>
    <w:rsid w:val="008C0802"/>
    <w:rsid w:val="008C09D3"/>
    <w:rsid w:val="008C13B6"/>
    <w:rsid w:val="008C1B9F"/>
    <w:rsid w:val="008C1F41"/>
    <w:rsid w:val="008C2DDD"/>
    <w:rsid w:val="008C2EF9"/>
    <w:rsid w:val="008C47BD"/>
    <w:rsid w:val="008C4AA1"/>
    <w:rsid w:val="008C592F"/>
    <w:rsid w:val="008C7D3B"/>
    <w:rsid w:val="008D0470"/>
    <w:rsid w:val="008D11F5"/>
    <w:rsid w:val="008D1840"/>
    <w:rsid w:val="008D21C3"/>
    <w:rsid w:val="008D5D86"/>
    <w:rsid w:val="008D7917"/>
    <w:rsid w:val="008E0B9F"/>
    <w:rsid w:val="008E0BE5"/>
    <w:rsid w:val="008E0F62"/>
    <w:rsid w:val="008E1216"/>
    <w:rsid w:val="008E1411"/>
    <w:rsid w:val="008E1676"/>
    <w:rsid w:val="008E28D0"/>
    <w:rsid w:val="008E371D"/>
    <w:rsid w:val="008E3839"/>
    <w:rsid w:val="008E4BE7"/>
    <w:rsid w:val="008E5C28"/>
    <w:rsid w:val="008E5EF3"/>
    <w:rsid w:val="008E6C56"/>
    <w:rsid w:val="008E7498"/>
    <w:rsid w:val="008E7A15"/>
    <w:rsid w:val="008E7B59"/>
    <w:rsid w:val="008F017C"/>
    <w:rsid w:val="008F07A6"/>
    <w:rsid w:val="008F07F4"/>
    <w:rsid w:val="008F10D1"/>
    <w:rsid w:val="008F14FA"/>
    <w:rsid w:val="008F1A6D"/>
    <w:rsid w:val="008F1E3D"/>
    <w:rsid w:val="008F20B9"/>
    <w:rsid w:val="008F24DF"/>
    <w:rsid w:val="008F3261"/>
    <w:rsid w:val="008F32EB"/>
    <w:rsid w:val="008F389C"/>
    <w:rsid w:val="008F3BD9"/>
    <w:rsid w:val="008F4113"/>
    <w:rsid w:val="008F4B20"/>
    <w:rsid w:val="008F4D76"/>
    <w:rsid w:val="008F4DC8"/>
    <w:rsid w:val="008F5FA0"/>
    <w:rsid w:val="008F632A"/>
    <w:rsid w:val="008F6796"/>
    <w:rsid w:val="008F758D"/>
    <w:rsid w:val="008F7858"/>
    <w:rsid w:val="009016FB"/>
    <w:rsid w:val="00902421"/>
    <w:rsid w:val="009035DA"/>
    <w:rsid w:val="009037E6"/>
    <w:rsid w:val="00904637"/>
    <w:rsid w:val="0090550A"/>
    <w:rsid w:val="00905B9C"/>
    <w:rsid w:val="0090614B"/>
    <w:rsid w:val="009064EF"/>
    <w:rsid w:val="00906BA4"/>
    <w:rsid w:val="00907781"/>
    <w:rsid w:val="00907B31"/>
    <w:rsid w:val="00907C4A"/>
    <w:rsid w:val="00907EA2"/>
    <w:rsid w:val="0091032D"/>
    <w:rsid w:val="009103B0"/>
    <w:rsid w:val="0091047E"/>
    <w:rsid w:val="00910B15"/>
    <w:rsid w:val="00912126"/>
    <w:rsid w:val="00913625"/>
    <w:rsid w:val="009136BC"/>
    <w:rsid w:val="00913986"/>
    <w:rsid w:val="00913CE4"/>
    <w:rsid w:val="0091463E"/>
    <w:rsid w:val="00917AF5"/>
    <w:rsid w:val="00917CD5"/>
    <w:rsid w:val="00920457"/>
    <w:rsid w:val="009205B5"/>
    <w:rsid w:val="00920A07"/>
    <w:rsid w:val="00921ED2"/>
    <w:rsid w:val="00921F88"/>
    <w:rsid w:val="00921F92"/>
    <w:rsid w:val="00922173"/>
    <w:rsid w:val="0092218C"/>
    <w:rsid w:val="00922E3E"/>
    <w:rsid w:val="0092328D"/>
    <w:rsid w:val="00923292"/>
    <w:rsid w:val="00925332"/>
    <w:rsid w:val="00925D26"/>
    <w:rsid w:val="00926045"/>
    <w:rsid w:val="00926E52"/>
    <w:rsid w:val="00926F5D"/>
    <w:rsid w:val="0092735D"/>
    <w:rsid w:val="00927C7E"/>
    <w:rsid w:val="00927ECE"/>
    <w:rsid w:val="00930175"/>
    <w:rsid w:val="0093043F"/>
    <w:rsid w:val="009307A5"/>
    <w:rsid w:val="009317BE"/>
    <w:rsid w:val="009317C5"/>
    <w:rsid w:val="00932302"/>
    <w:rsid w:val="00933047"/>
    <w:rsid w:val="00933651"/>
    <w:rsid w:val="00933F4D"/>
    <w:rsid w:val="00934F77"/>
    <w:rsid w:val="00936E78"/>
    <w:rsid w:val="009409CB"/>
    <w:rsid w:val="00940B39"/>
    <w:rsid w:val="00940D74"/>
    <w:rsid w:val="0094313C"/>
    <w:rsid w:val="009436CC"/>
    <w:rsid w:val="00943ACD"/>
    <w:rsid w:val="00943E06"/>
    <w:rsid w:val="009451A1"/>
    <w:rsid w:val="0094617F"/>
    <w:rsid w:val="009462C4"/>
    <w:rsid w:val="0094713A"/>
    <w:rsid w:val="0094721F"/>
    <w:rsid w:val="00951669"/>
    <w:rsid w:val="00952B24"/>
    <w:rsid w:val="009535D9"/>
    <w:rsid w:val="009539EB"/>
    <w:rsid w:val="00955754"/>
    <w:rsid w:val="00955D52"/>
    <w:rsid w:val="00957C0B"/>
    <w:rsid w:val="009605EB"/>
    <w:rsid w:val="009605FB"/>
    <w:rsid w:val="00960620"/>
    <w:rsid w:val="009623A9"/>
    <w:rsid w:val="0096261D"/>
    <w:rsid w:val="00962F4B"/>
    <w:rsid w:val="009630DE"/>
    <w:rsid w:val="0096414F"/>
    <w:rsid w:val="00964EA6"/>
    <w:rsid w:val="00965E33"/>
    <w:rsid w:val="00967C0E"/>
    <w:rsid w:val="009701FA"/>
    <w:rsid w:val="009711A3"/>
    <w:rsid w:val="00971E3F"/>
    <w:rsid w:val="009725D8"/>
    <w:rsid w:val="00972909"/>
    <w:rsid w:val="00972C90"/>
    <w:rsid w:val="009730B1"/>
    <w:rsid w:val="009739F3"/>
    <w:rsid w:val="00974729"/>
    <w:rsid w:val="00974F89"/>
    <w:rsid w:val="00975116"/>
    <w:rsid w:val="00975189"/>
    <w:rsid w:val="0097550A"/>
    <w:rsid w:val="00975F82"/>
    <w:rsid w:val="0097625D"/>
    <w:rsid w:val="00977137"/>
    <w:rsid w:val="00977B5F"/>
    <w:rsid w:val="009812CD"/>
    <w:rsid w:val="0098130E"/>
    <w:rsid w:val="009823FF"/>
    <w:rsid w:val="00982401"/>
    <w:rsid w:val="00982EB0"/>
    <w:rsid w:val="00983528"/>
    <w:rsid w:val="009846AB"/>
    <w:rsid w:val="00985011"/>
    <w:rsid w:val="0098656D"/>
    <w:rsid w:val="009866B2"/>
    <w:rsid w:val="0098751B"/>
    <w:rsid w:val="00987DA9"/>
    <w:rsid w:val="009915B5"/>
    <w:rsid w:val="00991619"/>
    <w:rsid w:val="00992B82"/>
    <w:rsid w:val="00993656"/>
    <w:rsid w:val="00993CEA"/>
    <w:rsid w:val="00993D8C"/>
    <w:rsid w:val="00994047"/>
    <w:rsid w:val="00995B7A"/>
    <w:rsid w:val="00997477"/>
    <w:rsid w:val="0099779B"/>
    <w:rsid w:val="009A01CD"/>
    <w:rsid w:val="009A0AD8"/>
    <w:rsid w:val="009A1090"/>
    <w:rsid w:val="009A1891"/>
    <w:rsid w:val="009A1B0B"/>
    <w:rsid w:val="009A325F"/>
    <w:rsid w:val="009A36B7"/>
    <w:rsid w:val="009A3837"/>
    <w:rsid w:val="009A46D8"/>
    <w:rsid w:val="009A4B89"/>
    <w:rsid w:val="009A59C5"/>
    <w:rsid w:val="009A615D"/>
    <w:rsid w:val="009A64B8"/>
    <w:rsid w:val="009A6523"/>
    <w:rsid w:val="009A673B"/>
    <w:rsid w:val="009A67DC"/>
    <w:rsid w:val="009A68C2"/>
    <w:rsid w:val="009A6D5D"/>
    <w:rsid w:val="009A7091"/>
    <w:rsid w:val="009A726C"/>
    <w:rsid w:val="009A7924"/>
    <w:rsid w:val="009B09EF"/>
    <w:rsid w:val="009B1A59"/>
    <w:rsid w:val="009B1BCA"/>
    <w:rsid w:val="009B3694"/>
    <w:rsid w:val="009B37EB"/>
    <w:rsid w:val="009B39FC"/>
    <w:rsid w:val="009B4C79"/>
    <w:rsid w:val="009B4EC0"/>
    <w:rsid w:val="009B5443"/>
    <w:rsid w:val="009B62CD"/>
    <w:rsid w:val="009B63CC"/>
    <w:rsid w:val="009B64EA"/>
    <w:rsid w:val="009B6875"/>
    <w:rsid w:val="009B7FB8"/>
    <w:rsid w:val="009C008E"/>
    <w:rsid w:val="009C0CA8"/>
    <w:rsid w:val="009C1576"/>
    <w:rsid w:val="009C1ADA"/>
    <w:rsid w:val="009C31A4"/>
    <w:rsid w:val="009C3F29"/>
    <w:rsid w:val="009C404B"/>
    <w:rsid w:val="009C4CB4"/>
    <w:rsid w:val="009C54EC"/>
    <w:rsid w:val="009C6AC4"/>
    <w:rsid w:val="009C6EFC"/>
    <w:rsid w:val="009C7AB0"/>
    <w:rsid w:val="009C7AB3"/>
    <w:rsid w:val="009D030F"/>
    <w:rsid w:val="009D04F0"/>
    <w:rsid w:val="009D0E04"/>
    <w:rsid w:val="009D2A2A"/>
    <w:rsid w:val="009D3752"/>
    <w:rsid w:val="009D3B45"/>
    <w:rsid w:val="009D3C88"/>
    <w:rsid w:val="009D3F94"/>
    <w:rsid w:val="009D41A5"/>
    <w:rsid w:val="009D48B5"/>
    <w:rsid w:val="009D4DF2"/>
    <w:rsid w:val="009D51A1"/>
    <w:rsid w:val="009D5EFB"/>
    <w:rsid w:val="009D677F"/>
    <w:rsid w:val="009D6A1C"/>
    <w:rsid w:val="009D702F"/>
    <w:rsid w:val="009D72A8"/>
    <w:rsid w:val="009D781E"/>
    <w:rsid w:val="009D7D39"/>
    <w:rsid w:val="009E1A23"/>
    <w:rsid w:val="009E1D28"/>
    <w:rsid w:val="009E1DB9"/>
    <w:rsid w:val="009E20A3"/>
    <w:rsid w:val="009E2362"/>
    <w:rsid w:val="009E28FE"/>
    <w:rsid w:val="009E33A4"/>
    <w:rsid w:val="009E398D"/>
    <w:rsid w:val="009E52FB"/>
    <w:rsid w:val="009E6F96"/>
    <w:rsid w:val="009E7AFB"/>
    <w:rsid w:val="009F0446"/>
    <w:rsid w:val="009F08D9"/>
    <w:rsid w:val="009F0DC0"/>
    <w:rsid w:val="009F0E66"/>
    <w:rsid w:val="009F1D8D"/>
    <w:rsid w:val="009F1D8F"/>
    <w:rsid w:val="009F20E3"/>
    <w:rsid w:val="009F3170"/>
    <w:rsid w:val="009F3422"/>
    <w:rsid w:val="009F351A"/>
    <w:rsid w:val="009F410C"/>
    <w:rsid w:val="009F424C"/>
    <w:rsid w:val="009F5244"/>
    <w:rsid w:val="009F687C"/>
    <w:rsid w:val="009F6C16"/>
    <w:rsid w:val="009F76D9"/>
    <w:rsid w:val="009F77A9"/>
    <w:rsid w:val="009F7AC3"/>
    <w:rsid w:val="00A005F0"/>
    <w:rsid w:val="00A00792"/>
    <w:rsid w:val="00A008DA"/>
    <w:rsid w:val="00A009EE"/>
    <w:rsid w:val="00A02262"/>
    <w:rsid w:val="00A02989"/>
    <w:rsid w:val="00A029B7"/>
    <w:rsid w:val="00A02CB1"/>
    <w:rsid w:val="00A02F56"/>
    <w:rsid w:val="00A02F74"/>
    <w:rsid w:val="00A02FF8"/>
    <w:rsid w:val="00A0346C"/>
    <w:rsid w:val="00A03556"/>
    <w:rsid w:val="00A04CC3"/>
    <w:rsid w:val="00A05AA9"/>
    <w:rsid w:val="00A05AFA"/>
    <w:rsid w:val="00A06A81"/>
    <w:rsid w:val="00A070DA"/>
    <w:rsid w:val="00A07707"/>
    <w:rsid w:val="00A07AB1"/>
    <w:rsid w:val="00A07FB5"/>
    <w:rsid w:val="00A11D43"/>
    <w:rsid w:val="00A11FF6"/>
    <w:rsid w:val="00A12BD6"/>
    <w:rsid w:val="00A12F7D"/>
    <w:rsid w:val="00A133B8"/>
    <w:rsid w:val="00A13E8E"/>
    <w:rsid w:val="00A14413"/>
    <w:rsid w:val="00A1443C"/>
    <w:rsid w:val="00A1455F"/>
    <w:rsid w:val="00A1457C"/>
    <w:rsid w:val="00A14584"/>
    <w:rsid w:val="00A14BAC"/>
    <w:rsid w:val="00A14E5F"/>
    <w:rsid w:val="00A15655"/>
    <w:rsid w:val="00A15966"/>
    <w:rsid w:val="00A165ED"/>
    <w:rsid w:val="00A16927"/>
    <w:rsid w:val="00A16B13"/>
    <w:rsid w:val="00A179DB"/>
    <w:rsid w:val="00A20876"/>
    <w:rsid w:val="00A20EC2"/>
    <w:rsid w:val="00A21DF7"/>
    <w:rsid w:val="00A24794"/>
    <w:rsid w:val="00A25B1B"/>
    <w:rsid w:val="00A262FA"/>
    <w:rsid w:val="00A26B71"/>
    <w:rsid w:val="00A27370"/>
    <w:rsid w:val="00A27F71"/>
    <w:rsid w:val="00A30119"/>
    <w:rsid w:val="00A30405"/>
    <w:rsid w:val="00A3053F"/>
    <w:rsid w:val="00A31003"/>
    <w:rsid w:val="00A3121C"/>
    <w:rsid w:val="00A3141E"/>
    <w:rsid w:val="00A314A7"/>
    <w:rsid w:val="00A31ACF"/>
    <w:rsid w:val="00A31F99"/>
    <w:rsid w:val="00A322CA"/>
    <w:rsid w:val="00A32A06"/>
    <w:rsid w:val="00A3358A"/>
    <w:rsid w:val="00A33CC1"/>
    <w:rsid w:val="00A33E45"/>
    <w:rsid w:val="00A3578F"/>
    <w:rsid w:val="00A35F2A"/>
    <w:rsid w:val="00A35F64"/>
    <w:rsid w:val="00A36C97"/>
    <w:rsid w:val="00A37454"/>
    <w:rsid w:val="00A37E72"/>
    <w:rsid w:val="00A4021B"/>
    <w:rsid w:val="00A4067F"/>
    <w:rsid w:val="00A406A8"/>
    <w:rsid w:val="00A40BF0"/>
    <w:rsid w:val="00A41F10"/>
    <w:rsid w:val="00A42CDE"/>
    <w:rsid w:val="00A42ED4"/>
    <w:rsid w:val="00A42F5C"/>
    <w:rsid w:val="00A44079"/>
    <w:rsid w:val="00A44506"/>
    <w:rsid w:val="00A44514"/>
    <w:rsid w:val="00A457AC"/>
    <w:rsid w:val="00A4600E"/>
    <w:rsid w:val="00A4657B"/>
    <w:rsid w:val="00A4673F"/>
    <w:rsid w:val="00A47B33"/>
    <w:rsid w:val="00A47DB8"/>
    <w:rsid w:val="00A47E74"/>
    <w:rsid w:val="00A511F2"/>
    <w:rsid w:val="00A51229"/>
    <w:rsid w:val="00A5131E"/>
    <w:rsid w:val="00A514A3"/>
    <w:rsid w:val="00A51ADA"/>
    <w:rsid w:val="00A51BD5"/>
    <w:rsid w:val="00A52D73"/>
    <w:rsid w:val="00A53044"/>
    <w:rsid w:val="00A5329F"/>
    <w:rsid w:val="00A53DCA"/>
    <w:rsid w:val="00A546E2"/>
    <w:rsid w:val="00A54759"/>
    <w:rsid w:val="00A54D2F"/>
    <w:rsid w:val="00A5536E"/>
    <w:rsid w:val="00A55491"/>
    <w:rsid w:val="00A559AD"/>
    <w:rsid w:val="00A55CA9"/>
    <w:rsid w:val="00A569B4"/>
    <w:rsid w:val="00A56C4E"/>
    <w:rsid w:val="00A57723"/>
    <w:rsid w:val="00A5791E"/>
    <w:rsid w:val="00A6089F"/>
    <w:rsid w:val="00A60CD8"/>
    <w:rsid w:val="00A6158B"/>
    <w:rsid w:val="00A616AB"/>
    <w:rsid w:val="00A61A40"/>
    <w:rsid w:val="00A61C84"/>
    <w:rsid w:val="00A62295"/>
    <w:rsid w:val="00A62C03"/>
    <w:rsid w:val="00A62FC3"/>
    <w:rsid w:val="00A6391E"/>
    <w:rsid w:val="00A64F49"/>
    <w:rsid w:val="00A652B6"/>
    <w:rsid w:val="00A66495"/>
    <w:rsid w:val="00A667D3"/>
    <w:rsid w:val="00A67649"/>
    <w:rsid w:val="00A70812"/>
    <w:rsid w:val="00A70B5C"/>
    <w:rsid w:val="00A70EF2"/>
    <w:rsid w:val="00A71155"/>
    <w:rsid w:val="00A712A4"/>
    <w:rsid w:val="00A719CF"/>
    <w:rsid w:val="00A73963"/>
    <w:rsid w:val="00A73B65"/>
    <w:rsid w:val="00A73D92"/>
    <w:rsid w:val="00A75C65"/>
    <w:rsid w:val="00A760C3"/>
    <w:rsid w:val="00A7673F"/>
    <w:rsid w:val="00A768FD"/>
    <w:rsid w:val="00A77065"/>
    <w:rsid w:val="00A7716D"/>
    <w:rsid w:val="00A773EF"/>
    <w:rsid w:val="00A809A2"/>
    <w:rsid w:val="00A827BC"/>
    <w:rsid w:val="00A83876"/>
    <w:rsid w:val="00A841A8"/>
    <w:rsid w:val="00A84304"/>
    <w:rsid w:val="00A843F3"/>
    <w:rsid w:val="00A84573"/>
    <w:rsid w:val="00A85A24"/>
    <w:rsid w:val="00A85AA1"/>
    <w:rsid w:val="00A85AAA"/>
    <w:rsid w:val="00A86ED1"/>
    <w:rsid w:val="00A90609"/>
    <w:rsid w:val="00A90D4D"/>
    <w:rsid w:val="00A90EEE"/>
    <w:rsid w:val="00A9120F"/>
    <w:rsid w:val="00A929F0"/>
    <w:rsid w:val="00A92CF8"/>
    <w:rsid w:val="00A93632"/>
    <w:rsid w:val="00A941B4"/>
    <w:rsid w:val="00A94430"/>
    <w:rsid w:val="00A95561"/>
    <w:rsid w:val="00A95959"/>
    <w:rsid w:val="00A95CFB"/>
    <w:rsid w:val="00A96183"/>
    <w:rsid w:val="00A96BA1"/>
    <w:rsid w:val="00A9769F"/>
    <w:rsid w:val="00A9799A"/>
    <w:rsid w:val="00A97B7D"/>
    <w:rsid w:val="00AA0251"/>
    <w:rsid w:val="00AA043B"/>
    <w:rsid w:val="00AA0C07"/>
    <w:rsid w:val="00AA1150"/>
    <w:rsid w:val="00AA16B1"/>
    <w:rsid w:val="00AA1E81"/>
    <w:rsid w:val="00AA200E"/>
    <w:rsid w:val="00AA24B5"/>
    <w:rsid w:val="00AA3419"/>
    <w:rsid w:val="00AA3586"/>
    <w:rsid w:val="00AA3B53"/>
    <w:rsid w:val="00AA446C"/>
    <w:rsid w:val="00AA45FD"/>
    <w:rsid w:val="00AA473F"/>
    <w:rsid w:val="00AA4B99"/>
    <w:rsid w:val="00AA5E64"/>
    <w:rsid w:val="00AA67EE"/>
    <w:rsid w:val="00AA6A38"/>
    <w:rsid w:val="00AA7642"/>
    <w:rsid w:val="00AA7F65"/>
    <w:rsid w:val="00AB07F0"/>
    <w:rsid w:val="00AB097C"/>
    <w:rsid w:val="00AB0AF4"/>
    <w:rsid w:val="00AB0ED2"/>
    <w:rsid w:val="00AB1B6A"/>
    <w:rsid w:val="00AB36E2"/>
    <w:rsid w:val="00AB38C6"/>
    <w:rsid w:val="00AB4922"/>
    <w:rsid w:val="00AB4BBD"/>
    <w:rsid w:val="00AB4FCF"/>
    <w:rsid w:val="00AB6707"/>
    <w:rsid w:val="00AB7214"/>
    <w:rsid w:val="00AB7A08"/>
    <w:rsid w:val="00AB7ED1"/>
    <w:rsid w:val="00AC003E"/>
    <w:rsid w:val="00AC00E1"/>
    <w:rsid w:val="00AC06D6"/>
    <w:rsid w:val="00AC0E8D"/>
    <w:rsid w:val="00AC1015"/>
    <w:rsid w:val="00AC1A54"/>
    <w:rsid w:val="00AC22E4"/>
    <w:rsid w:val="00AC3323"/>
    <w:rsid w:val="00AC3648"/>
    <w:rsid w:val="00AC38A6"/>
    <w:rsid w:val="00AC3A8C"/>
    <w:rsid w:val="00AC4417"/>
    <w:rsid w:val="00AC48A8"/>
    <w:rsid w:val="00AC4B3D"/>
    <w:rsid w:val="00AC5054"/>
    <w:rsid w:val="00AC5F79"/>
    <w:rsid w:val="00AC5FB0"/>
    <w:rsid w:val="00AC67B5"/>
    <w:rsid w:val="00AC6DD2"/>
    <w:rsid w:val="00AC78D0"/>
    <w:rsid w:val="00AC7A66"/>
    <w:rsid w:val="00AD017A"/>
    <w:rsid w:val="00AD04F0"/>
    <w:rsid w:val="00AD0639"/>
    <w:rsid w:val="00AD08B2"/>
    <w:rsid w:val="00AD0F18"/>
    <w:rsid w:val="00AD1834"/>
    <w:rsid w:val="00AD1DF4"/>
    <w:rsid w:val="00AD222B"/>
    <w:rsid w:val="00AD22E2"/>
    <w:rsid w:val="00AD2D24"/>
    <w:rsid w:val="00AD3B00"/>
    <w:rsid w:val="00AD3B51"/>
    <w:rsid w:val="00AD4D9B"/>
    <w:rsid w:val="00AD5640"/>
    <w:rsid w:val="00AD5680"/>
    <w:rsid w:val="00AD6038"/>
    <w:rsid w:val="00AD6F4A"/>
    <w:rsid w:val="00AD73EB"/>
    <w:rsid w:val="00AD7C63"/>
    <w:rsid w:val="00AE03E8"/>
    <w:rsid w:val="00AE0769"/>
    <w:rsid w:val="00AE0A4C"/>
    <w:rsid w:val="00AE0DDE"/>
    <w:rsid w:val="00AE0ED6"/>
    <w:rsid w:val="00AE129E"/>
    <w:rsid w:val="00AE156A"/>
    <w:rsid w:val="00AE1DDB"/>
    <w:rsid w:val="00AE214E"/>
    <w:rsid w:val="00AE22ED"/>
    <w:rsid w:val="00AE249A"/>
    <w:rsid w:val="00AE38E7"/>
    <w:rsid w:val="00AE512C"/>
    <w:rsid w:val="00AE56D3"/>
    <w:rsid w:val="00AE68AC"/>
    <w:rsid w:val="00AE7637"/>
    <w:rsid w:val="00AE790E"/>
    <w:rsid w:val="00AE7F41"/>
    <w:rsid w:val="00AF06D7"/>
    <w:rsid w:val="00AF0798"/>
    <w:rsid w:val="00AF0AEF"/>
    <w:rsid w:val="00AF0BCF"/>
    <w:rsid w:val="00AF0F72"/>
    <w:rsid w:val="00AF1A8C"/>
    <w:rsid w:val="00AF1BCD"/>
    <w:rsid w:val="00AF249F"/>
    <w:rsid w:val="00AF5395"/>
    <w:rsid w:val="00AF5BCD"/>
    <w:rsid w:val="00AF5FB7"/>
    <w:rsid w:val="00AF6581"/>
    <w:rsid w:val="00AF7C50"/>
    <w:rsid w:val="00B000ED"/>
    <w:rsid w:val="00B00126"/>
    <w:rsid w:val="00B003CD"/>
    <w:rsid w:val="00B0050A"/>
    <w:rsid w:val="00B0063D"/>
    <w:rsid w:val="00B00688"/>
    <w:rsid w:val="00B018F0"/>
    <w:rsid w:val="00B027A2"/>
    <w:rsid w:val="00B027E6"/>
    <w:rsid w:val="00B029F1"/>
    <w:rsid w:val="00B04772"/>
    <w:rsid w:val="00B04E1F"/>
    <w:rsid w:val="00B05D91"/>
    <w:rsid w:val="00B06683"/>
    <w:rsid w:val="00B07061"/>
    <w:rsid w:val="00B079C3"/>
    <w:rsid w:val="00B109FC"/>
    <w:rsid w:val="00B10ED5"/>
    <w:rsid w:val="00B1198B"/>
    <w:rsid w:val="00B11B1D"/>
    <w:rsid w:val="00B127CD"/>
    <w:rsid w:val="00B12992"/>
    <w:rsid w:val="00B12C3D"/>
    <w:rsid w:val="00B13359"/>
    <w:rsid w:val="00B136C0"/>
    <w:rsid w:val="00B13BC8"/>
    <w:rsid w:val="00B13F17"/>
    <w:rsid w:val="00B13FAF"/>
    <w:rsid w:val="00B14047"/>
    <w:rsid w:val="00B14CF4"/>
    <w:rsid w:val="00B14D7C"/>
    <w:rsid w:val="00B1599D"/>
    <w:rsid w:val="00B15B88"/>
    <w:rsid w:val="00B15C75"/>
    <w:rsid w:val="00B178CA"/>
    <w:rsid w:val="00B178F8"/>
    <w:rsid w:val="00B17D44"/>
    <w:rsid w:val="00B20F0C"/>
    <w:rsid w:val="00B21B7D"/>
    <w:rsid w:val="00B21CDC"/>
    <w:rsid w:val="00B2312D"/>
    <w:rsid w:val="00B245AF"/>
    <w:rsid w:val="00B24837"/>
    <w:rsid w:val="00B24B0F"/>
    <w:rsid w:val="00B24B9E"/>
    <w:rsid w:val="00B2546D"/>
    <w:rsid w:val="00B259D2"/>
    <w:rsid w:val="00B2612D"/>
    <w:rsid w:val="00B2654F"/>
    <w:rsid w:val="00B26E3A"/>
    <w:rsid w:val="00B27686"/>
    <w:rsid w:val="00B27DDF"/>
    <w:rsid w:val="00B30C47"/>
    <w:rsid w:val="00B32412"/>
    <w:rsid w:val="00B34201"/>
    <w:rsid w:val="00B3452B"/>
    <w:rsid w:val="00B3492B"/>
    <w:rsid w:val="00B358F6"/>
    <w:rsid w:val="00B3664F"/>
    <w:rsid w:val="00B3684D"/>
    <w:rsid w:val="00B372F6"/>
    <w:rsid w:val="00B37E7A"/>
    <w:rsid w:val="00B406AC"/>
    <w:rsid w:val="00B4076E"/>
    <w:rsid w:val="00B40DE0"/>
    <w:rsid w:val="00B40F32"/>
    <w:rsid w:val="00B41275"/>
    <w:rsid w:val="00B41B85"/>
    <w:rsid w:val="00B41BE1"/>
    <w:rsid w:val="00B422F4"/>
    <w:rsid w:val="00B43123"/>
    <w:rsid w:val="00B436CC"/>
    <w:rsid w:val="00B4395B"/>
    <w:rsid w:val="00B43C24"/>
    <w:rsid w:val="00B463C2"/>
    <w:rsid w:val="00B469C7"/>
    <w:rsid w:val="00B476A6"/>
    <w:rsid w:val="00B4794A"/>
    <w:rsid w:val="00B504A8"/>
    <w:rsid w:val="00B51727"/>
    <w:rsid w:val="00B52B38"/>
    <w:rsid w:val="00B5363B"/>
    <w:rsid w:val="00B55545"/>
    <w:rsid w:val="00B55B83"/>
    <w:rsid w:val="00B5602B"/>
    <w:rsid w:val="00B57219"/>
    <w:rsid w:val="00B57406"/>
    <w:rsid w:val="00B579A7"/>
    <w:rsid w:val="00B60BCD"/>
    <w:rsid w:val="00B60F06"/>
    <w:rsid w:val="00B6180C"/>
    <w:rsid w:val="00B6234C"/>
    <w:rsid w:val="00B62A84"/>
    <w:rsid w:val="00B62C73"/>
    <w:rsid w:val="00B64047"/>
    <w:rsid w:val="00B641D6"/>
    <w:rsid w:val="00B64729"/>
    <w:rsid w:val="00B64B3C"/>
    <w:rsid w:val="00B6535C"/>
    <w:rsid w:val="00B65B5A"/>
    <w:rsid w:val="00B65FC9"/>
    <w:rsid w:val="00B662C4"/>
    <w:rsid w:val="00B67C85"/>
    <w:rsid w:val="00B67CB0"/>
    <w:rsid w:val="00B67F42"/>
    <w:rsid w:val="00B70894"/>
    <w:rsid w:val="00B711C1"/>
    <w:rsid w:val="00B71463"/>
    <w:rsid w:val="00B71A20"/>
    <w:rsid w:val="00B71B47"/>
    <w:rsid w:val="00B71C6A"/>
    <w:rsid w:val="00B71DB1"/>
    <w:rsid w:val="00B721DD"/>
    <w:rsid w:val="00B72B52"/>
    <w:rsid w:val="00B73027"/>
    <w:rsid w:val="00B74011"/>
    <w:rsid w:val="00B74109"/>
    <w:rsid w:val="00B74E0B"/>
    <w:rsid w:val="00B75011"/>
    <w:rsid w:val="00B75528"/>
    <w:rsid w:val="00B756D2"/>
    <w:rsid w:val="00B75E39"/>
    <w:rsid w:val="00B76071"/>
    <w:rsid w:val="00B76470"/>
    <w:rsid w:val="00B76FF2"/>
    <w:rsid w:val="00B77212"/>
    <w:rsid w:val="00B77259"/>
    <w:rsid w:val="00B80060"/>
    <w:rsid w:val="00B8041B"/>
    <w:rsid w:val="00B814FB"/>
    <w:rsid w:val="00B81D12"/>
    <w:rsid w:val="00B8329B"/>
    <w:rsid w:val="00B8343A"/>
    <w:rsid w:val="00B84C70"/>
    <w:rsid w:val="00B85121"/>
    <w:rsid w:val="00B85307"/>
    <w:rsid w:val="00B85AB1"/>
    <w:rsid w:val="00B85E06"/>
    <w:rsid w:val="00B8776A"/>
    <w:rsid w:val="00B87F1C"/>
    <w:rsid w:val="00B90929"/>
    <w:rsid w:val="00B91C8E"/>
    <w:rsid w:val="00B91DD5"/>
    <w:rsid w:val="00B93F83"/>
    <w:rsid w:val="00B94CE0"/>
    <w:rsid w:val="00B951D7"/>
    <w:rsid w:val="00B956A5"/>
    <w:rsid w:val="00B9660A"/>
    <w:rsid w:val="00B96C90"/>
    <w:rsid w:val="00B97467"/>
    <w:rsid w:val="00BA0BE2"/>
    <w:rsid w:val="00BA1ED8"/>
    <w:rsid w:val="00BA2195"/>
    <w:rsid w:val="00BA2BE2"/>
    <w:rsid w:val="00BA41D1"/>
    <w:rsid w:val="00BA5CC8"/>
    <w:rsid w:val="00BA5CCA"/>
    <w:rsid w:val="00BA7FBA"/>
    <w:rsid w:val="00BB028F"/>
    <w:rsid w:val="00BB072F"/>
    <w:rsid w:val="00BB0EB9"/>
    <w:rsid w:val="00BB0F9C"/>
    <w:rsid w:val="00BB1B2C"/>
    <w:rsid w:val="00BB1D94"/>
    <w:rsid w:val="00BB342B"/>
    <w:rsid w:val="00BB4476"/>
    <w:rsid w:val="00BB5002"/>
    <w:rsid w:val="00BB609D"/>
    <w:rsid w:val="00BB641C"/>
    <w:rsid w:val="00BB6E99"/>
    <w:rsid w:val="00BB7943"/>
    <w:rsid w:val="00BB7FD3"/>
    <w:rsid w:val="00BC0BB3"/>
    <w:rsid w:val="00BC135B"/>
    <w:rsid w:val="00BC3DB3"/>
    <w:rsid w:val="00BC42D4"/>
    <w:rsid w:val="00BC50C2"/>
    <w:rsid w:val="00BC55C9"/>
    <w:rsid w:val="00BC57C2"/>
    <w:rsid w:val="00BC5B44"/>
    <w:rsid w:val="00BC60B2"/>
    <w:rsid w:val="00BC6BD7"/>
    <w:rsid w:val="00BC7944"/>
    <w:rsid w:val="00BC7993"/>
    <w:rsid w:val="00BD082D"/>
    <w:rsid w:val="00BD15BF"/>
    <w:rsid w:val="00BD1D60"/>
    <w:rsid w:val="00BD209E"/>
    <w:rsid w:val="00BD23BA"/>
    <w:rsid w:val="00BD29B5"/>
    <w:rsid w:val="00BD3344"/>
    <w:rsid w:val="00BD43E4"/>
    <w:rsid w:val="00BD52D6"/>
    <w:rsid w:val="00BD5374"/>
    <w:rsid w:val="00BD57BE"/>
    <w:rsid w:val="00BD5FBE"/>
    <w:rsid w:val="00BD630D"/>
    <w:rsid w:val="00BD710A"/>
    <w:rsid w:val="00BD730B"/>
    <w:rsid w:val="00BD7599"/>
    <w:rsid w:val="00BD7E94"/>
    <w:rsid w:val="00BE02EA"/>
    <w:rsid w:val="00BE058E"/>
    <w:rsid w:val="00BE1D85"/>
    <w:rsid w:val="00BE25E2"/>
    <w:rsid w:val="00BE2E03"/>
    <w:rsid w:val="00BE3103"/>
    <w:rsid w:val="00BE375E"/>
    <w:rsid w:val="00BE3A95"/>
    <w:rsid w:val="00BE4501"/>
    <w:rsid w:val="00BE4779"/>
    <w:rsid w:val="00BE47DB"/>
    <w:rsid w:val="00BE47DE"/>
    <w:rsid w:val="00BE4F81"/>
    <w:rsid w:val="00BE5405"/>
    <w:rsid w:val="00BE5AAA"/>
    <w:rsid w:val="00BE631D"/>
    <w:rsid w:val="00BE6931"/>
    <w:rsid w:val="00BE7527"/>
    <w:rsid w:val="00BE7E7F"/>
    <w:rsid w:val="00BF0359"/>
    <w:rsid w:val="00BF08CE"/>
    <w:rsid w:val="00BF0F5D"/>
    <w:rsid w:val="00BF0F8E"/>
    <w:rsid w:val="00BF126A"/>
    <w:rsid w:val="00BF1781"/>
    <w:rsid w:val="00BF1CD4"/>
    <w:rsid w:val="00BF201D"/>
    <w:rsid w:val="00BF2C68"/>
    <w:rsid w:val="00BF43F7"/>
    <w:rsid w:val="00BF499A"/>
    <w:rsid w:val="00BF7B8C"/>
    <w:rsid w:val="00C00924"/>
    <w:rsid w:val="00C00B6A"/>
    <w:rsid w:val="00C00FD8"/>
    <w:rsid w:val="00C0256C"/>
    <w:rsid w:val="00C02A98"/>
    <w:rsid w:val="00C02B6B"/>
    <w:rsid w:val="00C02DD1"/>
    <w:rsid w:val="00C033F2"/>
    <w:rsid w:val="00C03549"/>
    <w:rsid w:val="00C03558"/>
    <w:rsid w:val="00C04042"/>
    <w:rsid w:val="00C0457E"/>
    <w:rsid w:val="00C04782"/>
    <w:rsid w:val="00C04DC6"/>
    <w:rsid w:val="00C07745"/>
    <w:rsid w:val="00C07889"/>
    <w:rsid w:val="00C110BC"/>
    <w:rsid w:val="00C11A95"/>
    <w:rsid w:val="00C140BC"/>
    <w:rsid w:val="00C14BA3"/>
    <w:rsid w:val="00C15215"/>
    <w:rsid w:val="00C15602"/>
    <w:rsid w:val="00C15DC4"/>
    <w:rsid w:val="00C16380"/>
    <w:rsid w:val="00C16F00"/>
    <w:rsid w:val="00C204D7"/>
    <w:rsid w:val="00C211BC"/>
    <w:rsid w:val="00C215F1"/>
    <w:rsid w:val="00C218E6"/>
    <w:rsid w:val="00C21B9F"/>
    <w:rsid w:val="00C21BED"/>
    <w:rsid w:val="00C24496"/>
    <w:rsid w:val="00C250A3"/>
    <w:rsid w:val="00C25834"/>
    <w:rsid w:val="00C2652C"/>
    <w:rsid w:val="00C2698D"/>
    <w:rsid w:val="00C27D68"/>
    <w:rsid w:val="00C3124A"/>
    <w:rsid w:val="00C314D9"/>
    <w:rsid w:val="00C31A09"/>
    <w:rsid w:val="00C32DDF"/>
    <w:rsid w:val="00C32F14"/>
    <w:rsid w:val="00C32F4D"/>
    <w:rsid w:val="00C330AA"/>
    <w:rsid w:val="00C331DA"/>
    <w:rsid w:val="00C3420C"/>
    <w:rsid w:val="00C35441"/>
    <w:rsid w:val="00C35C31"/>
    <w:rsid w:val="00C37629"/>
    <w:rsid w:val="00C40596"/>
    <w:rsid w:val="00C414F5"/>
    <w:rsid w:val="00C43A6D"/>
    <w:rsid w:val="00C43A86"/>
    <w:rsid w:val="00C43BC3"/>
    <w:rsid w:val="00C44A1F"/>
    <w:rsid w:val="00C4502E"/>
    <w:rsid w:val="00C4599E"/>
    <w:rsid w:val="00C46A60"/>
    <w:rsid w:val="00C47EC8"/>
    <w:rsid w:val="00C508CE"/>
    <w:rsid w:val="00C510ED"/>
    <w:rsid w:val="00C52B28"/>
    <w:rsid w:val="00C537CF"/>
    <w:rsid w:val="00C53E3C"/>
    <w:rsid w:val="00C545DC"/>
    <w:rsid w:val="00C5506F"/>
    <w:rsid w:val="00C56531"/>
    <w:rsid w:val="00C56815"/>
    <w:rsid w:val="00C576B8"/>
    <w:rsid w:val="00C57D64"/>
    <w:rsid w:val="00C57FB8"/>
    <w:rsid w:val="00C57FE3"/>
    <w:rsid w:val="00C6084B"/>
    <w:rsid w:val="00C60891"/>
    <w:rsid w:val="00C6126B"/>
    <w:rsid w:val="00C62261"/>
    <w:rsid w:val="00C62833"/>
    <w:rsid w:val="00C636F9"/>
    <w:rsid w:val="00C64DEE"/>
    <w:rsid w:val="00C65505"/>
    <w:rsid w:val="00C65F12"/>
    <w:rsid w:val="00C66604"/>
    <w:rsid w:val="00C67334"/>
    <w:rsid w:val="00C702F1"/>
    <w:rsid w:val="00C71C46"/>
    <w:rsid w:val="00C71FAD"/>
    <w:rsid w:val="00C74134"/>
    <w:rsid w:val="00C75B30"/>
    <w:rsid w:val="00C75E43"/>
    <w:rsid w:val="00C75E50"/>
    <w:rsid w:val="00C75F2E"/>
    <w:rsid w:val="00C76B34"/>
    <w:rsid w:val="00C76DE4"/>
    <w:rsid w:val="00C76EE8"/>
    <w:rsid w:val="00C77280"/>
    <w:rsid w:val="00C7764D"/>
    <w:rsid w:val="00C77689"/>
    <w:rsid w:val="00C77D93"/>
    <w:rsid w:val="00C805B8"/>
    <w:rsid w:val="00C80F77"/>
    <w:rsid w:val="00C81D30"/>
    <w:rsid w:val="00C830F9"/>
    <w:rsid w:val="00C84249"/>
    <w:rsid w:val="00C859C4"/>
    <w:rsid w:val="00C86239"/>
    <w:rsid w:val="00C8650A"/>
    <w:rsid w:val="00C86851"/>
    <w:rsid w:val="00C872CB"/>
    <w:rsid w:val="00C87883"/>
    <w:rsid w:val="00C87B83"/>
    <w:rsid w:val="00C901B8"/>
    <w:rsid w:val="00C901EB"/>
    <w:rsid w:val="00C901F5"/>
    <w:rsid w:val="00C90CB4"/>
    <w:rsid w:val="00C911B5"/>
    <w:rsid w:val="00C913E0"/>
    <w:rsid w:val="00C91636"/>
    <w:rsid w:val="00C919E6"/>
    <w:rsid w:val="00C91E7E"/>
    <w:rsid w:val="00C92009"/>
    <w:rsid w:val="00C92712"/>
    <w:rsid w:val="00C93268"/>
    <w:rsid w:val="00C946B9"/>
    <w:rsid w:val="00C9471F"/>
    <w:rsid w:val="00C94D26"/>
    <w:rsid w:val="00C94E3D"/>
    <w:rsid w:val="00C953EF"/>
    <w:rsid w:val="00C954DE"/>
    <w:rsid w:val="00C95B47"/>
    <w:rsid w:val="00C96BA0"/>
    <w:rsid w:val="00C970DB"/>
    <w:rsid w:val="00C97829"/>
    <w:rsid w:val="00CA0015"/>
    <w:rsid w:val="00CA00AB"/>
    <w:rsid w:val="00CA04AD"/>
    <w:rsid w:val="00CA0667"/>
    <w:rsid w:val="00CA0AB3"/>
    <w:rsid w:val="00CA0CD1"/>
    <w:rsid w:val="00CA20F2"/>
    <w:rsid w:val="00CA2D27"/>
    <w:rsid w:val="00CA3051"/>
    <w:rsid w:val="00CA329D"/>
    <w:rsid w:val="00CA38FE"/>
    <w:rsid w:val="00CA5110"/>
    <w:rsid w:val="00CA5244"/>
    <w:rsid w:val="00CA5492"/>
    <w:rsid w:val="00CA5AF0"/>
    <w:rsid w:val="00CA5F9A"/>
    <w:rsid w:val="00CA63B5"/>
    <w:rsid w:val="00CA6829"/>
    <w:rsid w:val="00CA758E"/>
    <w:rsid w:val="00CA77C4"/>
    <w:rsid w:val="00CA7CD4"/>
    <w:rsid w:val="00CA7CE8"/>
    <w:rsid w:val="00CB0067"/>
    <w:rsid w:val="00CB0250"/>
    <w:rsid w:val="00CB033C"/>
    <w:rsid w:val="00CB052E"/>
    <w:rsid w:val="00CB0BC6"/>
    <w:rsid w:val="00CB14B3"/>
    <w:rsid w:val="00CB250B"/>
    <w:rsid w:val="00CB2927"/>
    <w:rsid w:val="00CB31AD"/>
    <w:rsid w:val="00CB5830"/>
    <w:rsid w:val="00CB68B8"/>
    <w:rsid w:val="00CB7714"/>
    <w:rsid w:val="00CB7850"/>
    <w:rsid w:val="00CB7B22"/>
    <w:rsid w:val="00CC0F00"/>
    <w:rsid w:val="00CC19A8"/>
    <w:rsid w:val="00CC244C"/>
    <w:rsid w:val="00CC27BA"/>
    <w:rsid w:val="00CC3B79"/>
    <w:rsid w:val="00CC401F"/>
    <w:rsid w:val="00CC4345"/>
    <w:rsid w:val="00CC4449"/>
    <w:rsid w:val="00CC498A"/>
    <w:rsid w:val="00CC5DE5"/>
    <w:rsid w:val="00CC6408"/>
    <w:rsid w:val="00CC66F5"/>
    <w:rsid w:val="00CC6E5B"/>
    <w:rsid w:val="00CC725F"/>
    <w:rsid w:val="00CD07BC"/>
    <w:rsid w:val="00CD08A0"/>
    <w:rsid w:val="00CD1998"/>
    <w:rsid w:val="00CD19C8"/>
    <w:rsid w:val="00CD1F7C"/>
    <w:rsid w:val="00CD25D2"/>
    <w:rsid w:val="00CD2BC8"/>
    <w:rsid w:val="00CD32A2"/>
    <w:rsid w:val="00CD3503"/>
    <w:rsid w:val="00CD3F22"/>
    <w:rsid w:val="00CD5168"/>
    <w:rsid w:val="00CD777E"/>
    <w:rsid w:val="00CD7E47"/>
    <w:rsid w:val="00CE1749"/>
    <w:rsid w:val="00CE2107"/>
    <w:rsid w:val="00CE2183"/>
    <w:rsid w:val="00CE2B12"/>
    <w:rsid w:val="00CE4687"/>
    <w:rsid w:val="00CE54E1"/>
    <w:rsid w:val="00CE55AC"/>
    <w:rsid w:val="00CE6B87"/>
    <w:rsid w:val="00CE6D15"/>
    <w:rsid w:val="00CE6D28"/>
    <w:rsid w:val="00CE6DCB"/>
    <w:rsid w:val="00CE6FEE"/>
    <w:rsid w:val="00CE72E6"/>
    <w:rsid w:val="00CE7385"/>
    <w:rsid w:val="00CE7A8F"/>
    <w:rsid w:val="00CF1066"/>
    <w:rsid w:val="00CF1F19"/>
    <w:rsid w:val="00CF371D"/>
    <w:rsid w:val="00CF4BA9"/>
    <w:rsid w:val="00CF57AE"/>
    <w:rsid w:val="00CF57B9"/>
    <w:rsid w:val="00CF58BE"/>
    <w:rsid w:val="00CF5932"/>
    <w:rsid w:val="00CF5A56"/>
    <w:rsid w:val="00CF5C66"/>
    <w:rsid w:val="00CF7CB8"/>
    <w:rsid w:val="00CF7D8B"/>
    <w:rsid w:val="00D00799"/>
    <w:rsid w:val="00D00947"/>
    <w:rsid w:val="00D01275"/>
    <w:rsid w:val="00D01A17"/>
    <w:rsid w:val="00D01A21"/>
    <w:rsid w:val="00D01F08"/>
    <w:rsid w:val="00D02216"/>
    <w:rsid w:val="00D027BD"/>
    <w:rsid w:val="00D0316F"/>
    <w:rsid w:val="00D03E02"/>
    <w:rsid w:val="00D04200"/>
    <w:rsid w:val="00D044A3"/>
    <w:rsid w:val="00D0481A"/>
    <w:rsid w:val="00D053D5"/>
    <w:rsid w:val="00D05500"/>
    <w:rsid w:val="00D055B2"/>
    <w:rsid w:val="00D05B9A"/>
    <w:rsid w:val="00D060F6"/>
    <w:rsid w:val="00D06632"/>
    <w:rsid w:val="00D06A0F"/>
    <w:rsid w:val="00D06BFA"/>
    <w:rsid w:val="00D0707B"/>
    <w:rsid w:val="00D0709A"/>
    <w:rsid w:val="00D0730F"/>
    <w:rsid w:val="00D10268"/>
    <w:rsid w:val="00D106D3"/>
    <w:rsid w:val="00D10B89"/>
    <w:rsid w:val="00D10E06"/>
    <w:rsid w:val="00D11C4B"/>
    <w:rsid w:val="00D1281C"/>
    <w:rsid w:val="00D12E6D"/>
    <w:rsid w:val="00D134CC"/>
    <w:rsid w:val="00D13D09"/>
    <w:rsid w:val="00D13ECC"/>
    <w:rsid w:val="00D14AAB"/>
    <w:rsid w:val="00D14CD7"/>
    <w:rsid w:val="00D14CDB"/>
    <w:rsid w:val="00D15CFA"/>
    <w:rsid w:val="00D15E41"/>
    <w:rsid w:val="00D15E90"/>
    <w:rsid w:val="00D1645D"/>
    <w:rsid w:val="00D16618"/>
    <w:rsid w:val="00D16F24"/>
    <w:rsid w:val="00D178D9"/>
    <w:rsid w:val="00D178FD"/>
    <w:rsid w:val="00D17B8F"/>
    <w:rsid w:val="00D17C74"/>
    <w:rsid w:val="00D20AC3"/>
    <w:rsid w:val="00D20C8E"/>
    <w:rsid w:val="00D21242"/>
    <w:rsid w:val="00D21770"/>
    <w:rsid w:val="00D22527"/>
    <w:rsid w:val="00D226D6"/>
    <w:rsid w:val="00D22871"/>
    <w:rsid w:val="00D2312E"/>
    <w:rsid w:val="00D235E5"/>
    <w:rsid w:val="00D2365F"/>
    <w:rsid w:val="00D239F2"/>
    <w:rsid w:val="00D23BC5"/>
    <w:rsid w:val="00D24293"/>
    <w:rsid w:val="00D247D7"/>
    <w:rsid w:val="00D24C0D"/>
    <w:rsid w:val="00D24D6D"/>
    <w:rsid w:val="00D26421"/>
    <w:rsid w:val="00D26642"/>
    <w:rsid w:val="00D26DD8"/>
    <w:rsid w:val="00D26E6C"/>
    <w:rsid w:val="00D26F2A"/>
    <w:rsid w:val="00D30691"/>
    <w:rsid w:val="00D30AE0"/>
    <w:rsid w:val="00D329D8"/>
    <w:rsid w:val="00D32DF9"/>
    <w:rsid w:val="00D3314C"/>
    <w:rsid w:val="00D339A8"/>
    <w:rsid w:val="00D351AF"/>
    <w:rsid w:val="00D35367"/>
    <w:rsid w:val="00D35612"/>
    <w:rsid w:val="00D35E1C"/>
    <w:rsid w:val="00D36022"/>
    <w:rsid w:val="00D36314"/>
    <w:rsid w:val="00D3707C"/>
    <w:rsid w:val="00D402C2"/>
    <w:rsid w:val="00D41601"/>
    <w:rsid w:val="00D41710"/>
    <w:rsid w:val="00D41875"/>
    <w:rsid w:val="00D42701"/>
    <w:rsid w:val="00D43AB8"/>
    <w:rsid w:val="00D43B68"/>
    <w:rsid w:val="00D444FD"/>
    <w:rsid w:val="00D44B9E"/>
    <w:rsid w:val="00D44C46"/>
    <w:rsid w:val="00D44C65"/>
    <w:rsid w:val="00D45762"/>
    <w:rsid w:val="00D457FB"/>
    <w:rsid w:val="00D45F99"/>
    <w:rsid w:val="00D50376"/>
    <w:rsid w:val="00D503F6"/>
    <w:rsid w:val="00D50C37"/>
    <w:rsid w:val="00D50DBD"/>
    <w:rsid w:val="00D51479"/>
    <w:rsid w:val="00D51597"/>
    <w:rsid w:val="00D51BA7"/>
    <w:rsid w:val="00D5203D"/>
    <w:rsid w:val="00D52497"/>
    <w:rsid w:val="00D54603"/>
    <w:rsid w:val="00D54B0F"/>
    <w:rsid w:val="00D54D09"/>
    <w:rsid w:val="00D57D97"/>
    <w:rsid w:val="00D61D95"/>
    <w:rsid w:val="00D61DFD"/>
    <w:rsid w:val="00D624F3"/>
    <w:rsid w:val="00D64156"/>
    <w:rsid w:val="00D655FF"/>
    <w:rsid w:val="00D65E1C"/>
    <w:rsid w:val="00D6732D"/>
    <w:rsid w:val="00D67D1E"/>
    <w:rsid w:val="00D67F3F"/>
    <w:rsid w:val="00D70A14"/>
    <w:rsid w:val="00D70E83"/>
    <w:rsid w:val="00D71932"/>
    <w:rsid w:val="00D71FB3"/>
    <w:rsid w:val="00D71FDD"/>
    <w:rsid w:val="00D72597"/>
    <w:rsid w:val="00D72766"/>
    <w:rsid w:val="00D72B9C"/>
    <w:rsid w:val="00D73415"/>
    <w:rsid w:val="00D743C5"/>
    <w:rsid w:val="00D75689"/>
    <w:rsid w:val="00D770EC"/>
    <w:rsid w:val="00D7762B"/>
    <w:rsid w:val="00D776AE"/>
    <w:rsid w:val="00D8227F"/>
    <w:rsid w:val="00D826C0"/>
    <w:rsid w:val="00D82FB3"/>
    <w:rsid w:val="00D83469"/>
    <w:rsid w:val="00D8373B"/>
    <w:rsid w:val="00D839C3"/>
    <w:rsid w:val="00D84C49"/>
    <w:rsid w:val="00D85E85"/>
    <w:rsid w:val="00D86FE9"/>
    <w:rsid w:val="00D8756C"/>
    <w:rsid w:val="00D900CA"/>
    <w:rsid w:val="00D91D2D"/>
    <w:rsid w:val="00D922B8"/>
    <w:rsid w:val="00D927BD"/>
    <w:rsid w:val="00D937E8"/>
    <w:rsid w:val="00D93E32"/>
    <w:rsid w:val="00D9416F"/>
    <w:rsid w:val="00D95242"/>
    <w:rsid w:val="00D952C6"/>
    <w:rsid w:val="00D95BFD"/>
    <w:rsid w:val="00D96057"/>
    <w:rsid w:val="00D96ED8"/>
    <w:rsid w:val="00D97D6D"/>
    <w:rsid w:val="00DA015C"/>
    <w:rsid w:val="00DA0538"/>
    <w:rsid w:val="00DA1A2A"/>
    <w:rsid w:val="00DA1AA6"/>
    <w:rsid w:val="00DA2773"/>
    <w:rsid w:val="00DA2853"/>
    <w:rsid w:val="00DA3AA6"/>
    <w:rsid w:val="00DA3ADC"/>
    <w:rsid w:val="00DA3B40"/>
    <w:rsid w:val="00DA549C"/>
    <w:rsid w:val="00DA62D3"/>
    <w:rsid w:val="00DA69BD"/>
    <w:rsid w:val="00DA6F3E"/>
    <w:rsid w:val="00DA6F8F"/>
    <w:rsid w:val="00DA736E"/>
    <w:rsid w:val="00DA75C4"/>
    <w:rsid w:val="00DA791C"/>
    <w:rsid w:val="00DA7AF1"/>
    <w:rsid w:val="00DB03A9"/>
    <w:rsid w:val="00DB07F7"/>
    <w:rsid w:val="00DB12C4"/>
    <w:rsid w:val="00DB3793"/>
    <w:rsid w:val="00DB3A19"/>
    <w:rsid w:val="00DB424C"/>
    <w:rsid w:val="00DB4265"/>
    <w:rsid w:val="00DB4D2C"/>
    <w:rsid w:val="00DB5057"/>
    <w:rsid w:val="00DB5C63"/>
    <w:rsid w:val="00DB71AE"/>
    <w:rsid w:val="00DC01C6"/>
    <w:rsid w:val="00DC0988"/>
    <w:rsid w:val="00DC13BF"/>
    <w:rsid w:val="00DC14B0"/>
    <w:rsid w:val="00DC2331"/>
    <w:rsid w:val="00DC2599"/>
    <w:rsid w:val="00DC2B79"/>
    <w:rsid w:val="00DC2D5C"/>
    <w:rsid w:val="00DC3B2D"/>
    <w:rsid w:val="00DC471B"/>
    <w:rsid w:val="00DC4B47"/>
    <w:rsid w:val="00DC6591"/>
    <w:rsid w:val="00DC68E5"/>
    <w:rsid w:val="00DC69C6"/>
    <w:rsid w:val="00DC7551"/>
    <w:rsid w:val="00DC77B6"/>
    <w:rsid w:val="00DD0970"/>
    <w:rsid w:val="00DD21E9"/>
    <w:rsid w:val="00DD3193"/>
    <w:rsid w:val="00DD36D1"/>
    <w:rsid w:val="00DD3BD8"/>
    <w:rsid w:val="00DD4855"/>
    <w:rsid w:val="00DD497D"/>
    <w:rsid w:val="00DD4B02"/>
    <w:rsid w:val="00DD52A6"/>
    <w:rsid w:val="00DD63FD"/>
    <w:rsid w:val="00DD6AF6"/>
    <w:rsid w:val="00DD6FC4"/>
    <w:rsid w:val="00DD765D"/>
    <w:rsid w:val="00DD7D7D"/>
    <w:rsid w:val="00DE0078"/>
    <w:rsid w:val="00DE009E"/>
    <w:rsid w:val="00DE0E80"/>
    <w:rsid w:val="00DE0F4A"/>
    <w:rsid w:val="00DE13E2"/>
    <w:rsid w:val="00DE1EAC"/>
    <w:rsid w:val="00DE28DD"/>
    <w:rsid w:val="00DE32B4"/>
    <w:rsid w:val="00DE3C88"/>
    <w:rsid w:val="00DE4331"/>
    <w:rsid w:val="00DE4E4F"/>
    <w:rsid w:val="00DE55FC"/>
    <w:rsid w:val="00DE5AED"/>
    <w:rsid w:val="00DE7308"/>
    <w:rsid w:val="00DE7D77"/>
    <w:rsid w:val="00DF0BD8"/>
    <w:rsid w:val="00DF16E3"/>
    <w:rsid w:val="00DF1EC2"/>
    <w:rsid w:val="00DF20B0"/>
    <w:rsid w:val="00DF23FE"/>
    <w:rsid w:val="00DF3867"/>
    <w:rsid w:val="00DF399F"/>
    <w:rsid w:val="00DF3BF9"/>
    <w:rsid w:val="00DF427A"/>
    <w:rsid w:val="00DF4E1E"/>
    <w:rsid w:val="00DF4F44"/>
    <w:rsid w:val="00DF4FCA"/>
    <w:rsid w:val="00DF5552"/>
    <w:rsid w:val="00DF576F"/>
    <w:rsid w:val="00DF63C8"/>
    <w:rsid w:val="00DF7284"/>
    <w:rsid w:val="00DF74A1"/>
    <w:rsid w:val="00DF78CE"/>
    <w:rsid w:val="00E00336"/>
    <w:rsid w:val="00E005D4"/>
    <w:rsid w:val="00E007BF"/>
    <w:rsid w:val="00E00871"/>
    <w:rsid w:val="00E00896"/>
    <w:rsid w:val="00E00B6D"/>
    <w:rsid w:val="00E00C5D"/>
    <w:rsid w:val="00E00C6F"/>
    <w:rsid w:val="00E00E88"/>
    <w:rsid w:val="00E010E4"/>
    <w:rsid w:val="00E019B1"/>
    <w:rsid w:val="00E01A2B"/>
    <w:rsid w:val="00E02297"/>
    <w:rsid w:val="00E02493"/>
    <w:rsid w:val="00E0264E"/>
    <w:rsid w:val="00E042BC"/>
    <w:rsid w:val="00E044F1"/>
    <w:rsid w:val="00E0491F"/>
    <w:rsid w:val="00E055D8"/>
    <w:rsid w:val="00E05B6B"/>
    <w:rsid w:val="00E05C66"/>
    <w:rsid w:val="00E0608E"/>
    <w:rsid w:val="00E063B3"/>
    <w:rsid w:val="00E064E1"/>
    <w:rsid w:val="00E06E85"/>
    <w:rsid w:val="00E0775B"/>
    <w:rsid w:val="00E07F2F"/>
    <w:rsid w:val="00E108F1"/>
    <w:rsid w:val="00E10EE0"/>
    <w:rsid w:val="00E11E41"/>
    <w:rsid w:val="00E11E9B"/>
    <w:rsid w:val="00E12856"/>
    <w:rsid w:val="00E12B43"/>
    <w:rsid w:val="00E14337"/>
    <w:rsid w:val="00E148BB"/>
    <w:rsid w:val="00E15535"/>
    <w:rsid w:val="00E15CA3"/>
    <w:rsid w:val="00E16556"/>
    <w:rsid w:val="00E166D3"/>
    <w:rsid w:val="00E16B19"/>
    <w:rsid w:val="00E170FA"/>
    <w:rsid w:val="00E172AE"/>
    <w:rsid w:val="00E201FB"/>
    <w:rsid w:val="00E20249"/>
    <w:rsid w:val="00E2057E"/>
    <w:rsid w:val="00E215E5"/>
    <w:rsid w:val="00E21644"/>
    <w:rsid w:val="00E219CF"/>
    <w:rsid w:val="00E21EB3"/>
    <w:rsid w:val="00E233E5"/>
    <w:rsid w:val="00E23BDE"/>
    <w:rsid w:val="00E240BC"/>
    <w:rsid w:val="00E246F7"/>
    <w:rsid w:val="00E24A03"/>
    <w:rsid w:val="00E24C15"/>
    <w:rsid w:val="00E24F9A"/>
    <w:rsid w:val="00E265DF"/>
    <w:rsid w:val="00E27325"/>
    <w:rsid w:val="00E277AA"/>
    <w:rsid w:val="00E30BFA"/>
    <w:rsid w:val="00E30D12"/>
    <w:rsid w:val="00E30DFB"/>
    <w:rsid w:val="00E31431"/>
    <w:rsid w:val="00E31969"/>
    <w:rsid w:val="00E31C5A"/>
    <w:rsid w:val="00E31F98"/>
    <w:rsid w:val="00E326C4"/>
    <w:rsid w:val="00E34263"/>
    <w:rsid w:val="00E34B4E"/>
    <w:rsid w:val="00E34CFF"/>
    <w:rsid w:val="00E3547C"/>
    <w:rsid w:val="00E357BC"/>
    <w:rsid w:val="00E368EB"/>
    <w:rsid w:val="00E36ACE"/>
    <w:rsid w:val="00E36AEF"/>
    <w:rsid w:val="00E36F5E"/>
    <w:rsid w:val="00E37315"/>
    <w:rsid w:val="00E406D1"/>
    <w:rsid w:val="00E40F16"/>
    <w:rsid w:val="00E41460"/>
    <w:rsid w:val="00E42326"/>
    <w:rsid w:val="00E430BE"/>
    <w:rsid w:val="00E44614"/>
    <w:rsid w:val="00E446CD"/>
    <w:rsid w:val="00E44ED9"/>
    <w:rsid w:val="00E44F87"/>
    <w:rsid w:val="00E45E5A"/>
    <w:rsid w:val="00E45EC0"/>
    <w:rsid w:val="00E46565"/>
    <w:rsid w:val="00E468FC"/>
    <w:rsid w:val="00E4724E"/>
    <w:rsid w:val="00E47D25"/>
    <w:rsid w:val="00E47D7C"/>
    <w:rsid w:val="00E501A6"/>
    <w:rsid w:val="00E505C3"/>
    <w:rsid w:val="00E50607"/>
    <w:rsid w:val="00E514C7"/>
    <w:rsid w:val="00E5213F"/>
    <w:rsid w:val="00E522CB"/>
    <w:rsid w:val="00E52320"/>
    <w:rsid w:val="00E52573"/>
    <w:rsid w:val="00E52C38"/>
    <w:rsid w:val="00E53446"/>
    <w:rsid w:val="00E5381D"/>
    <w:rsid w:val="00E53EAB"/>
    <w:rsid w:val="00E5458C"/>
    <w:rsid w:val="00E54AD8"/>
    <w:rsid w:val="00E54D6E"/>
    <w:rsid w:val="00E55A77"/>
    <w:rsid w:val="00E565CC"/>
    <w:rsid w:val="00E56CBD"/>
    <w:rsid w:val="00E602A7"/>
    <w:rsid w:val="00E60B89"/>
    <w:rsid w:val="00E60ECC"/>
    <w:rsid w:val="00E60F9A"/>
    <w:rsid w:val="00E60FB1"/>
    <w:rsid w:val="00E6117E"/>
    <w:rsid w:val="00E611DF"/>
    <w:rsid w:val="00E619A6"/>
    <w:rsid w:val="00E61D46"/>
    <w:rsid w:val="00E61F84"/>
    <w:rsid w:val="00E62EA7"/>
    <w:rsid w:val="00E6312B"/>
    <w:rsid w:val="00E655CD"/>
    <w:rsid w:val="00E65C08"/>
    <w:rsid w:val="00E662F7"/>
    <w:rsid w:val="00E66C32"/>
    <w:rsid w:val="00E66DED"/>
    <w:rsid w:val="00E677A3"/>
    <w:rsid w:val="00E7192A"/>
    <w:rsid w:val="00E728E7"/>
    <w:rsid w:val="00E72D53"/>
    <w:rsid w:val="00E72FDA"/>
    <w:rsid w:val="00E7311B"/>
    <w:rsid w:val="00E739F9"/>
    <w:rsid w:val="00E741AB"/>
    <w:rsid w:val="00E7457D"/>
    <w:rsid w:val="00E74637"/>
    <w:rsid w:val="00E74C8C"/>
    <w:rsid w:val="00E751F2"/>
    <w:rsid w:val="00E752DE"/>
    <w:rsid w:val="00E75315"/>
    <w:rsid w:val="00E755C3"/>
    <w:rsid w:val="00E77465"/>
    <w:rsid w:val="00E808E5"/>
    <w:rsid w:val="00E80C0B"/>
    <w:rsid w:val="00E80FF4"/>
    <w:rsid w:val="00E81239"/>
    <w:rsid w:val="00E819C8"/>
    <w:rsid w:val="00E81F20"/>
    <w:rsid w:val="00E82564"/>
    <w:rsid w:val="00E82736"/>
    <w:rsid w:val="00E833E1"/>
    <w:rsid w:val="00E842CD"/>
    <w:rsid w:val="00E8439D"/>
    <w:rsid w:val="00E84407"/>
    <w:rsid w:val="00E84445"/>
    <w:rsid w:val="00E8455B"/>
    <w:rsid w:val="00E85B1F"/>
    <w:rsid w:val="00E87195"/>
    <w:rsid w:val="00E873CF"/>
    <w:rsid w:val="00E8750D"/>
    <w:rsid w:val="00E8790F"/>
    <w:rsid w:val="00E90B3F"/>
    <w:rsid w:val="00E90C71"/>
    <w:rsid w:val="00E90F68"/>
    <w:rsid w:val="00E90FC2"/>
    <w:rsid w:val="00E91143"/>
    <w:rsid w:val="00E91D04"/>
    <w:rsid w:val="00E92264"/>
    <w:rsid w:val="00E929BB"/>
    <w:rsid w:val="00E92DF5"/>
    <w:rsid w:val="00E940DD"/>
    <w:rsid w:val="00E943B7"/>
    <w:rsid w:val="00E944ED"/>
    <w:rsid w:val="00E949A8"/>
    <w:rsid w:val="00E9759C"/>
    <w:rsid w:val="00EA12AC"/>
    <w:rsid w:val="00EA153A"/>
    <w:rsid w:val="00EA2286"/>
    <w:rsid w:val="00EA23CA"/>
    <w:rsid w:val="00EA24EE"/>
    <w:rsid w:val="00EA2A76"/>
    <w:rsid w:val="00EA37B1"/>
    <w:rsid w:val="00EA397B"/>
    <w:rsid w:val="00EA3DAA"/>
    <w:rsid w:val="00EA5BD5"/>
    <w:rsid w:val="00EA6AFE"/>
    <w:rsid w:val="00EA6CBB"/>
    <w:rsid w:val="00EB29C5"/>
    <w:rsid w:val="00EB360D"/>
    <w:rsid w:val="00EB5ED2"/>
    <w:rsid w:val="00EB646A"/>
    <w:rsid w:val="00EB7E32"/>
    <w:rsid w:val="00EB7EEE"/>
    <w:rsid w:val="00EC0A91"/>
    <w:rsid w:val="00EC0D24"/>
    <w:rsid w:val="00EC14D2"/>
    <w:rsid w:val="00EC3444"/>
    <w:rsid w:val="00EC34F5"/>
    <w:rsid w:val="00EC3B14"/>
    <w:rsid w:val="00EC44A0"/>
    <w:rsid w:val="00EC4B37"/>
    <w:rsid w:val="00EC552E"/>
    <w:rsid w:val="00EC6AD5"/>
    <w:rsid w:val="00EC6EFD"/>
    <w:rsid w:val="00EC7605"/>
    <w:rsid w:val="00EC7786"/>
    <w:rsid w:val="00ED076B"/>
    <w:rsid w:val="00ED145B"/>
    <w:rsid w:val="00ED1DB1"/>
    <w:rsid w:val="00ED2049"/>
    <w:rsid w:val="00ED20F0"/>
    <w:rsid w:val="00ED2161"/>
    <w:rsid w:val="00ED41BC"/>
    <w:rsid w:val="00ED42E9"/>
    <w:rsid w:val="00ED45B5"/>
    <w:rsid w:val="00ED51A7"/>
    <w:rsid w:val="00ED5C86"/>
    <w:rsid w:val="00ED6320"/>
    <w:rsid w:val="00ED6D4F"/>
    <w:rsid w:val="00ED7800"/>
    <w:rsid w:val="00ED7CF5"/>
    <w:rsid w:val="00EE05B0"/>
    <w:rsid w:val="00EE1821"/>
    <w:rsid w:val="00EE1DD0"/>
    <w:rsid w:val="00EE1F3F"/>
    <w:rsid w:val="00EE2241"/>
    <w:rsid w:val="00EE27C9"/>
    <w:rsid w:val="00EE2D6C"/>
    <w:rsid w:val="00EE2DFA"/>
    <w:rsid w:val="00EE2F0B"/>
    <w:rsid w:val="00EE344B"/>
    <w:rsid w:val="00EE396E"/>
    <w:rsid w:val="00EE3DE4"/>
    <w:rsid w:val="00EE46EE"/>
    <w:rsid w:val="00EE4DD2"/>
    <w:rsid w:val="00EE6DC4"/>
    <w:rsid w:val="00EE75E3"/>
    <w:rsid w:val="00EE7E13"/>
    <w:rsid w:val="00EF1717"/>
    <w:rsid w:val="00EF18B3"/>
    <w:rsid w:val="00EF2291"/>
    <w:rsid w:val="00EF238F"/>
    <w:rsid w:val="00EF255A"/>
    <w:rsid w:val="00EF34BD"/>
    <w:rsid w:val="00EF34EC"/>
    <w:rsid w:val="00EF3599"/>
    <w:rsid w:val="00EF3989"/>
    <w:rsid w:val="00EF3D48"/>
    <w:rsid w:val="00EF3F6F"/>
    <w:rsid w:val="00EF3FF2"/>
    <w:rsid w:val="00EF4D78"/>
    <w:rsid w:val="00EF4E49"/>
    <w:rsid w:val="00EF507D"/>
    <w:rsid w:val="00EF5D79"/>
    <w:rsid w:val="00EF5F09"/>
    <w:rsid w:val="00EF7648"/>
    <w:rsid w:val="00F007E6"/>
    <w:rsid w:val="00F008DE"/>
    <w:rsid w:val="00F0233A"/>
    <w:rsid w:val="00F02AB8"/>
    <w:rsid w:val="00F031C1"/>
    <w:rsid w:val="00F03262"/>
    <w:rsid w:val="00F0353A"/>
    <w:rsid w:val="00F03623"/>
    <w:rsid w:val="00F05B6D"/>
    <w:rsid w:val="00F05F5A"/>
    <w:rsid w:val="00F06411"/>
    <w:rsid w:val="00F06565"/>
    <w:rsid w:val="00F07929"/>
    <w:rsid w:val="00F07CD7"/>
    <w:rsid w:val="00F108CD"/>
    <w:rsid w:val="00F10D83"/>
    <w:rsid w:val="00F11A61"/>
    <w:rsid w:val="00F125FE"/>
    <w:rsid w:val="00F12634"/>
    <w:rsid w:val="00F126B5"/>
    <w:rsid w:val="00F134C7"/>
    <w:rsid w:val="00F13529"/>
    <w:rsid w:val="00F13679"/>
    <w:rsid w:val="00F13812"/>
    <w:rsid w:val="00F138E2"/>
    <w:rsid w:val="00F143EE"/>
    <w:rsid w:val="00F14DD0"/>
    <w:rsid w:val="00F156F3"/>
    <w:rsid w:val="00F159AE"/>
    <w:rsid w:val="00F15EB4"/>
    <w:rsid w:val="00F16283"/>
    <w:rsid w:val="00F163F9"/>
    <w:rsid w:val="00F174E3"/>
    <w:rsid w:val="00F203CB"/>
    <w:rsid w:val="00F20493"/>
    <w:rsid w:val="00F227EC"/>
    <w:rsid w:val="00F2315E"/>
    <w:rsid w:val="00F23482"/>
    <w:rsid w:val="00F23765"/>
    <w:rsid w:val="00F23E48"/>
    <w:rsid w:val="00F242CF"/>
    <w:rsid w:val="00F24809"/>
    <w:rsid w:val="00F25705"/>
    <w:rsid w:val="00F26075"/>
    <w:rsid w:val="00F26528"/>
    <w:rsid w:val="00F2686E"/>
    <w:rsid w:val="00F27D73"/>
    <w:rsid w:val="00F27EBE"/>
    <w:rsid w:val="00F305D2"/>
    <w:rsid w:val="00F30B91"/>
    <w:rsid w:val="00F318AA"/>
    <w:rsid w:val="00F31A9B"/>
    <w:rsid w:val="00F326D6"/>
    <w:rsid w:val="00F3299C"/>
    <w:rsid w:val="00F33517"/>
    <w:rsid w:val="00F336C8"/>
    <w:rsid w:val="00F336CB"/>
    <w:rsid w:val="00F3450B"/>
    <w:rsid w:val="00F34744"/>
    <w:rsid w:val="00F3531B"/>
    <w:rsid w:val="00F35684"/>
    <w:rsid w:val="00F36184"/>
    <w:rsid w:val="00F36363"/>
    <w:rsid w:val="00F36AB6"/>
    <w:rsid w:val="00F37646"/>
    <w:rsid w:val="00F37EAD"/>
    <w:rsid w:val="00F40FD7"/>
    <w:rsid w:val="00F41893"/>
    <w:rsid w:val="00F42390"/>
    <w:rsid w:val="00F42750"/>
    <w:rsid w:val="00F42AD4"/>
    <w:rsid w:val="00F42E92"/>
    <w:rsid w:val="00F43759"/>
    <w:rsid w:val="00F43B47"/>
    <w:rsid w:val="00F43C84"/>
    <w:rsid w:val="00F44B73"/>
    <w:rsid w:val="00F45BC1"/>
    <w:rsid w:val="00F45EEE"/>
    <w:rsid w:val="00F466EA"/>
    <w:rsid w:val="00F46ADA"/>
    <w:rsid w:val="00F46FB9"/>
    <w:rsid w:val="00F47136"/>
    <w:rsid w:val="00F47597"/>
    <w:rsid w:val="00F47DD3"/>
    <w:rsid w:val="00F50A72"/>
    <w:rsid w:val="00F50EB0"/>
    <w:rsid w:val="00F51EC1"/>
    <w:rsid w:val="00F52EFB"/>
    <w:rsid w:val="00F52F71"/>
    <w:rsid w:val="00F5300D"/>
    <w:rsid w:val="00F5635F"/>
    <w:rsid w:val="00F6072D"/>
    <w:rsid w:val="00F6073D"/>
    <w:rsid w:val="00F60D4A"/>
    <w:rsid w:val="00F638B0"/>
    <w:rsid w:val="00F64021"/>
    <w:rsid w:val="00F645D2"/>
    <w:rsid w:val="00F65DD8"/>
    <w:rsid w:val="00F66126"/>
    <w:rsid w:val="00F66A8E"/>
    <w:rsid w:val="00F674B9"/>
    <w:rsid w:val="00F70655"/>
    <w:rsid w:val="00F708C1"/>
    <w:rsid w:val="00F723F4"/>
    <w:rsid w:val="00F73423"/>
    <w:rsid w:val="00F734C2"/>
    <w:rsid w:val="00F740F0"/>
    <w:rsid w:val="00F749C8"/>
    <w:rsid w:val="00F763C9"/>
    <w:rsid w:val="00F764A1"/>
    <w:rsid w:val="00F76AA3"/>
    <w:rsid w:val="00F77043"/>
    <w:rsid w:val="00F8028C"/>
    <w:rsid w:val="00F802D3"/>
    <w:rsid w:val="00F80A28"/>
    <w:rsid w:val="00F81047"/>
    <w:rsid w:val="00F81802"/>
    <w:rsid w:val="00F81989"/>
    <w:rsid w:val="00F81CF4"/>
    <w:rsid w:val="00F81DD3"/>
    <w:rsid w:val="00F829A8"/>
    <w:rsid w:val="00F83F45"/>
    <w:rsid w:val="00F840D7"/>
    <w:rsid w:val="00F845C7"/>
    <w:rsid w:val="00F84F25"/>
    <w:rsid w:val="00F85B49"/>
    <w:rsid w:val="00F8634F"/>
    <w:rsid w:val="00F86A27"/>
    <w:rsid w:val="00F86A7F"/>
    <w:rsid w:val="00F879C0"/>
    <w:rsid w:val="00F87C57"/>
    <w:rsid w:val="00F90511"/>
    <w:rsid w:val="00F90709"/>
    <w:rsid w:val="00F91923"/>
    <w:rsid w:val="00F91D9D"/>
    <w:rsid w:val="00F91E1C"/>
    <w:rsid w:val="00F93502"/>
    <w:rsid w:val="00F93BB2"/>
    <w:rsid w:val="00F93F0B"/>
    <w:rsid w:val="00F94333"/>
    <w:rsid w:val="00F951A9"/>
    <w:rsid w:val="00F95755"/>
    <w:rsid w:val="00F95853"/>
    <w:rsid w:val="00F96401"/>
    <w:rsid w:val="00F96E50"/>
    <w:rsid w:val="00F972B5"/>
    <w:rsid w:val="00FA04E0"/>
    <w:rsid w:val="00FA0918"/>
    <w:rsid w:val="00FA1454"/>
    <w:rsid w:val="00FA16C0"/>
    <w:rsid w:val="00FA2655"/>
    <w:rsid w:val="00FA2E73"/>
    <w:rsid w:val="00FA3023"/>
    <w:rsid w:val="00FA48C2"/>
    <w:rsid w:val="00FA4E6C"/>
    <w:rsid w:val="00FA540A"/>
    <w:rsid w:val="00FA5B64"/>
    <w:rsid w:val="00FA62ED"/>
    <w:rsid w:val="00FA6E00"/>
    <w:rsid w:val="00FA7B67"/>
    <w:rsid w:val="00FA7BD9"/>
    <w:rsid w:val="00FA7C3F"/>
    <w:rsid w:val="00FB1769"/>
    <w:rsid w:val="00FB20DC"/>
    <w:rsid w:val="00FB28C1"/>
    <w:rsid w:val="00FB29E8"/>
    <w:rsid w:val="00FB2D61"/>
    <w:rsid w:val="00FB3521"/>
    <w:rsid w:val="00FB4139"/>
    <w:rsid w:val="00FB4688"/>
    <w:rsid w:val="00FB52FB"/>
    <w:rsid w:val="00FB6C93"/>
    <w:rsid w:val="00FB7215"/>
    <w:rsid w:val="00FB72C0"/>
    <w:rsid w:val="00FB79BB"/>
    <w:rsid w:val="00FB7A56"/>
    <w:rsid w:val="00FC0FC5"/>
    <w:rsid w:val="00FC1036"/>
    <w:rsid w:val="00FC12CC"/>
    <w:rsid w:val="00FC3D12"/>
    <w:rsid w:val="00FC3DF2"/>
    <w:rsid w:val="00FC4757"/>
    <w:rsid w:val="00FC4A11"/>
    <w:rsid w:val="00FC4A39"/>
    <w:rsid w:val="00FC4B92"/>
    <w:rsid w:val="00FC5322"/>
    <w:rsid w:val="00FC62CA"/>
    <w:rsid w:val="00FC7E64"/>
    <w:rsid w:val="00FD0D2C"/>
    <w:rsid w:val="00FD1D26"/>
    <w:rsid w:val="00FD2851"/>
    <w:rsid w:val="00FD3DB4"/>
    <w:rsid w:val="00FD4163"/>
    <w:rsid w:val="00FD506C"/>
    <w:rsid w:val="00FD5B29"/>
    <w:rsid w:val="00FD7201"/>
    <w:rsid w:val="00FD7A38"/>
    <w:rsid w:val="00FD7E4B"/>
    <w:rsid w:val="00FE0797"/>
    <w:rsid w:val="00FE0843"/>
    <w:rsid w:val="00FE0BDE"/>
    <w:rsid w:val="00FE0E2A"/>
    <w:rsid w:val="00FE0FEF"/>
    <w:rsid w:val="00FE1F72"/>
    <w:rsid w:val="00FE3144"/>
    <w:rsid w:val="00FE53E4"/>
    <w:rsid w:val="00FE554F"/>
    <w:rsid w:val="00FE5900"/>
    <w:rsid w:val="00FE5BF5"/>
    <w:rsid w:val="00FE5ED4"/>
    <w:rsid w:val="00FE65C9"/>
    <w:rsid w:val="00FE67C3"/>
    <w:rsid w:val="00FE67E7"/>
    <w:rsid w:val="00FE71BC"/>
    <w:rsid w:val="00FE7D39"/>
    <w:rsid w:val="00FE7E1F"/>
    <w:rsid w:val="00FF061C"/>
    <w:rsid w:val="00FF170E"/>
    <w:rsid w:val="00FF1F1F"/>
    <w:rsid w:val="00FF2430"/>
    <w:rsid w:val="00FF27FA"/>
    <w:rsid w:val="00FF2A8D"/>
    <w:rsid w:val="00FF3E03"/>
    <w:rsid w:val="00FF4658"/>
    <w:rsid w:val="00FF4842"/>
    <w:rsid w:val="00FF5CA9"/>
    <w:rsid w:val="00FF6C88"/>
    <w:rsid w:val="00FF7747"/>
    <w:rsid w:val="00FF7F4E"/>
    <w:rsid w:val="0D52773D"/>
    <w:rsid w:val="18982671"/>
    <w:rsid w:val="27125FA8"/>
    <w:rsid w:val="2EE36FFE"/>
    <w:rsid w:val="369753A0"/>
    <w:rsid w:val="39916502"/>
    <w:rsid w:val="448E44E0"/>
    <w:rsid w:val="44C04B5B"/>
    <w:rsid w:val="488C725D"/>
    <w:rsid w:val="4A80244F"/>
    <w:rsid w:val="57E956A2"/>
    <w:rsid w:val="5E116D5B"/>
    <w:rsid w:val="61862061"/>
    <w:rsid w:val="66704CF7"/>
    <w:rsid w:val="68402AA0"/>
    <w:rsid w:val="73612CDD"/>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0" w:name="toc 1"/>
    <w:lsdException w:unhideWhenUsed="0" w:uiPriority="0" w:name="toc 2"/>
    <w:lsdException w:qFormat="1" w:unhideWhenUsed="0" w:uiPriority="0" w:name="toc 3"/>
    <w:lsdException w:qFormat="1" w:unhideWhenUsed="0" w:uiPriority="0" w:name="toc 4"/>
    <w:lsdException w:qFormat="1" w:unhideWhenUsed="0" w:uiPriority="0" w:name="toc 5"/>
    <w:lsdException w:qFormat="1" w:unhideWhenUsed="0" w:uiPriority="0" w:name="toc 6"/>
    <w:lsdException w:qFormat="1" w:unhideWhenUsed="0" w:uiPriority="0" w:name="toc 7"/>
    <w:lsdException w:unhideWhenUsed="0" w:uiPriority="0" w:name="toc 8"/>
    <w:lsdException w:qFormat="1" w:unhideWhenUsed="0" w:uiPriority="0" w:name="toc 9"/>
    <w:lsdException w:qFormat="1" w:unhideWhenUsed="0" w:uiPriority="0" w:semiHidden="0" w:name="Normal Indent"/>
    <w:lsdException w:uiPriority="0" w:name="footnote text"/>
    <w:lsdException w:qFormat="1" w:unhideWhenUsed="0" w:uiPriority="0" w:name="annotation text"/>
    <w:lsdException w:qFormat="1" w:unhideWhenUsed="0" w:uiPriority="0" w:semiHidden="0" w:name="header"/>
    <w:lsdException w:unhideWhenUsed="0" w:uiPriority="99" w:semiHidden="0" w:name="footer"/>
    <w:lsdException w:uiPriority="0" w:name="index heading"/>
    <w:lsdException w:qFormat="1" w:uiPriority="0" w:name="caption"/>
    <w:lsdException w:uiPriority="0" w:name="table of figures"/>
    <w:lsdException w:qFormat="1" w:unhideWhenUsed="0" w:uiPriority="0" w:name="envelope address"/>
    <w:lsdException w:unhideWhenUsed="0" w:uiPriority="0" w:name="envelope return"/>
    <w:lsdException w:uiPriority="0" w:name="footnote reference"/>
    <w:lsdException w:unhideWhenUsed="0" w:uiPriority="0" w:name="annotation reference"/>
    <w:lsdException w:unhideWhenUsed="0" w:uiPriority="0" w:name="line number"/>
    <w:lsdException w:unhideWhenUsed="0" w:uiPriority="0" w:semiHidden="0" w:name="page number"/>
    <w:lsdException w:uiPriority="0" w:name="endnote reference"/>
    <w:lsdException w:uiPriority="0" w:name="endnote text"/>
    <w:lsdException w:uiPriority="0" w:name="table of authorities"/>
    <w:lsdException w:unhideWhenUsed="0" w:uiPriority="0" w:semiHidden="0" w:name="macro"/>
    <w:lsdException w:uiPriority="0" w:name="toa heading"/>
    <w:lsdException w:qFormat="1" w:unhideWhenUsed="0" w:uiPriority="0" w:name="List"/>
    <w:lsdException w:qFormat="1" w:unhideWhenUsed="0" w:uiPriority="0" w:name="List Bullet"/>
    <w:lsdException w:qFormat="1" w:unhideWhenUsed="0" w:uiPriority="0" w:name="List Number"/>
    <w:lsdException w:qFormat="1" w:unhideWhenUsed="0" w:uiPriority="0" w:name="List 2"/>
    <w:lsdException w:qFormat="1" w:unhideWhenUsed="0" w:uiPriority="0" w:name="List 3"/>
    <w:lsdException w:unhideWhenUsed="0" w:uiPriority="0" w:name="List 4"/>
    <w:lsdException w:unhideWhenUsed="0" w:uiPriority="0" w:name="List 5"/>
    <w:lsdException w:unhideWhenUsed="0" w:uiPriority="0" w:name="List Bullet 2"/>
    <w:lsdException w:unhideWhenUsed="0" w:uiPriority="0" w:name="List Bullet 3"/>
    <w:lsdException w:unhideWhenUsed="0" w:uiPriority="0" w:name="List Bullet 4"/>
    <w:lsdException w:qFormat="1" w:unhideWhenUsed="0" w:uiPriority="0" w:name="List Bullet 5"/>
    <w:lsdException w:qFormat="1" w:unhideWhenUsed="0" w:uiPriority="0" w:name="List Number 2"/>
    <w:lsdException w:unhideWhenUsed="0" w:uiPriority="0" w:name="List Number 3"/>
    <w:lsdException w:unhideWhenUsed="0" w:uiPriority="0" w:name="List Number 4"/>
    <w:lsdException w:qFormat="1" w:unhideWhenUsed="0" w:uiPriority="0" w:name="List Number 5"/>
    <w:lsdException w:qFormat="1" w:unhideWhenUsed="0" w:uiPriority="0" w:semiHidden="0" w:name="Title"/>
    <w:lsdException w:qFormat="1" w:unhideWhenUsed="0" w:uiPriority="0" w:name="Closing"/>
    <w:lsdException w:unhideWhenUsed="0" w:uiPriority="0" w:name="Signature"/>
    <w:lsdException w:qFormat="1" w:uiPriority="1" w:name="Default Paragraph Font"/>
    <w:lsdException w:unhideWhenUsed="0" w:uiPriority="0" w:name="Body Text"/>
    <w:lsdException w:unhideWhenUsed="0" w:uiPriority="0" w:name="Body Text Indent"/>
    <w:lsdException w:qFormat="1" w:unhideWhenUsed="0" w:uiPriority="0" w:name="List Continue"/>
    <w:lsdException w:unhideWhenUsed="0" w:uiPriority="0" w:name="List Continue 2"/>
    <w:lsdException w:qFormat="1" w:unhideWhenUsed="0" w:uiPriority="0" w:name="List Continue 3"/>
    <w:lsdException w:qFormat="1" w:unhideWhenUsed="0" w:uiPriority="0" w:name="List Continue 4"/>
    <w:lsdException w:unhideWhenUsed="0" w:uiPriority="0" w:name="List Continue 5"/>
    <w:lsdException w:qFormat="1" w:unhideWhenUsed="0" w:uiPriority="0" w:name="Message Header"/>
    <w:lsdException w:qFormat="1" w:unhideWhenUsed="0" w:uiPriority="0" w:semiHidden="0" w:name="Subtitle"/>
    <w:lsdException w:qFormat="1" w:unhideWhenUsed="0" w:uiPriority="0" w:name="Salutation"/>
    <w:lsdException w:unhideWhenUsed="0" w:uiPriority="0" w:name="Date"/>
    <w:lsdException w:unhideWhenUsed="0" w:uiPriority="0" w:name="Body Text First Indent"/>
    <w:lsdException w:qFormat="1" w:unhideWhenUsed="0" w:uiPriority="0" w:name="Body Text First Indent 2"/>
    <w:lsdException w:qFormat="1" w:unhideWhenUsed="0" w:uiPriority="0" w:name="Note Heading"/>
    <w:lsdException w:qFormat="1" w:unhideWhenUsed="0" w:uiPriority="0" w:name="Body Text 2"/>
    <w:lsdException w:qFormat="1" w:unhideWhenUsed="0" w:uiPriority="0" w:name="Body Text 3"/>
    <w:lsdException w:unhideWhenUsed="0" w:uiPriority="0" w:name="Body Text Indent 2"/>
    <w:lsdException w:qFormat="1" w:unhideWhenUsed="0" w:uiPriority="0" w:name="Body Text Indent 3"/>
    <w:lsdException w:qFormat="1" w:unhideWhenUsed="0" w:uiPriority="0" w:name="Block Text"/>
    <w:lsdException w:unhideWhenUsed="0" w:uiPriority="0" w:name="Hyperlink"/>
    <w:lsdException w:unhideWhenUsed="0" w:uiPriority="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qFormat="1" w:unhideWhenUsed="0" w:uiPriority="0" w:name="E-mail Signature"/>
    <w:lsdException w:unhideWhenUsed="0" w:uiPriority="0" w:name="Normal (Web)"/>
    <w:lsdException w:unhideWhenUsed="0" w:uiPriority="0" w:name="HTML Acronym"/>
    <w:lsdException w:unhideWhenUsed="0" w:uiPriority="0" w:name="HTML Address"/>
    <w:lsdException w:unhideWhenUsed="0" w:uiPriority="0" w:name="HTML Cite"/>
    <w:lsdException w:unhideWhenUsed="0" w:uiPriority="0" w:name="HTML Code"/>
    <w:lsdException w:unhideWhenUsed="0" w:uiPriority="0" w:name="HTML Definition"/>
    <w:lsdException w:unhideWhenUsed="0" w:uiPriority="0" w:name="HTML Keyboard"/>
    <w:lsdException w:unhideWhenUsed="0" w:uiPriority="0" w:name="HTML Preformatted"/>
    <w:lsdException w:unhideWhenUsed="0" w:uiPriority="0" w:name="HTML Sample"/>
    <w:lsdException w:unhideWhenUsed="0" w:uiPriority="0" w:name="HTML Typewriter"/>
    <w:lsdException w:unhideWhenUsed="0" w:uiPriority="0" w:name="HTML Variable"/>
    <w:lsdException w:qFormat="1" w:uiPriority="99" w:name="Normal Table"/>
    <w:lsdException w:uiPriority="0" w:name="annotation subject"/>
    <w:lsdException w:unhideWhenUsed="0" w:uiPriority="0" w:name="Table Simple 1"/>
    <w:lsdException w:unhideWhenUsed="0" w:uiPriority="0" w:name="Table Simple 2"/>
    <w:lsdException w:qFormat="1" w:unhideWhenUsed="0" w:uiPriority="0" w:name="Table Simple 3"/>
    <w:lsdException w:qFormat="1" w:unhideWhenUsed="0" w:uiPriority="0" w:name="Table Classic 1"/>
    <w:lsdException w:unhideWhenUsed="0" w:uiPriority="0" w:name="Table Classic 2"/>
    <w:lsdException w:unhideWhenUsed="0" w:uiPriority="0" w:name="Table Classic 3"/>
    <w:lsdException w:unhideWhenUsed="0" w:uiPriority="0" w:name="Table Classic 4"/>
    <w:lsdException w:qFormat="1" w:unhideWhenUsed="0" w:uiPriority="0" w:name="Table Colorful 1"/>
    <w:lsdException w:unhideWhenUsed="0" w:uiPriority="0" w:name="Table Colorful 2"/>
    <w:lsdException w:unhideWhenUsed="0" w:uiPriority="0" w:name="Table Colorful 3"/>
    <w:lsdException w:unhideWhenUsed="0" w:uiPriority="0" w:name="Table Columns 1"/>
    <w:lsdException w:unhideWhenUsed="0" w:uiPriority="0" w:name="Table Columns 2"/>
    <w:lsdException w:unhideWhenUsed="0" w:uiPriority="0" w:name="Table Columns 3"/>
    <w:lsdException w:unhideWhenUsed="0" w:uiPriority="0" w:name="Table Columns 4"/>
    <w:lsdException w:unhideWhenUsed="0" w:uiPriority="0" w:name="Table Columns 5"/>
    <w:lsdException w:unhideWhenUsed="0" w:uiPriority="0" w:name="Table Grid 1"/>
    <w:lsdException w:unhideWhenUsed="0" w:uiPriority="0" w:name="Table Grid 2"/>
    <w:lsdException w:unhideWhenUsed="0" w:uiPriority="0" w:name="Table Grid 3"/>
    <w:lsdException w:unhideWhenUsed="0" w:uiPriority="0" w:name="Table Grid 4"/>
    <w:lsdException w:unhideWhenUsed="0" w:uiPriority="0" w:name="Table Grid 5"/>
    <w:lsdException w:unhideWhenUsed="0" w:uiPriority="0" w:name="Table Grid 6"/>
    <w:lsdException w:unhideWhenUsed="0" w:uiPriority="0" w:name="Table Grid 7"/>
    <w:lsdException w:unhideWhenUsed="0" w:uiPriority="0" w:name="Table Grid 8"/>
    <w:lsdException w:qFormat="1" w:unhideWhenUsed="0" w:uiPriority="0" w:name="Table List 1"/>
    <w:lsdException w:unhideWhenUsed="0" w:uiPriority="0" w:name="Table List 2"/>
    <w:lsdException w:unhideWhenUsed="0" w:uiPriority="0" w:name="Table List 3"/>
    <w:lsdException w:unhideWhenUsed="0" w:uiPriority="0" w:name="Table List 4"/>
    <w:lsdException w:unhideWhenUsed="0" w:uiPriority="0" w:name="Table List 5"/>
    <w:lsdException w:unhideWhenUsed="0" w:uiPriority="0" w:name="Table List 6"/>
    <w:lsdException w:unhideWhenUsed="0" w:uiPriority="0" w:name="Table List 7"/>
    <w:lsdException w:unhideWhenUsed="0" w:uiPriority="0" w:name="Table List 8"/>
    <w:lsdException w:unhideWhenUsed="0" w:uiPriority="0" w:name="Table 3D effects 1"/>
    <w:lsdException w:unhideWhenUsed="0" w:uiPriority="0" w:name="Table 3D effects 2"/>
    <w:lsdException w:unhideWhenUsed="0" w:uiPriority="0" w:name="Table 3D effects 3"/>
    <w:lsdException w:unhideWhenUsed="0" w:uiPriority="0" w:name="Table Contemporary"/>
    <w:lsdException w:unhideWhenUsed="0" w:uiPriority="0" w:name="Table Elegant"/>
    <w:lsdException w:unhideWhenUsed="0" w:uiPriority="0" w:name="Table Professional"/>
    <w:lsdException w:unhideWhenUsed="0" w:uiPriority="0" w:name="Table Subtle 1"/>
    <w:lsdException w:unhideWhenUsed="0" w:uiPriority="0" w:name="Table Subtle 2"/>
    <w:lsdException w:unhideWhenUsed="0" w:uiPriority="0" w:name="Table Web 1"/>
    <w:lsdException w:unhideWhenUsed="0" w:uiPriority="0" w:name="Table Web 2"/>
    <w:lsdException w:unhideWhenUsed="0" w:uiPriority="0" w:name="Table Web 3"/>
    <w:lsdException w:unhideWhenUsed="0" w:uiPriority="0" w:name="Balloon Text"/>
    <w:lsdException w:qFormat="1" w:unhideWhenUsed="0" w:uiPriority="59" w:semiHidden="0" w:name="Table Grid"/>
    <w:lsdException w:unhideWhenUsed="0"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480" w:lineRule="exact"/>
      <w:ind w:firstLine="200" w:firstLineChars="200"/>
      <w:jc w:val="both"/>
    </w:pPr>
    <w:rPr>
      <w:rFonts w:ascii="Times New Roman" w:hAnsi="Times New Roman" w:eastAsia="宋体" w:cs="Times New Roman"/>
      <w:kern w:val="2"/>
      <w:sz w:val="24"/>
      <w:lang w:val="en-US" w:eastAsia="zh-CN" w:bidi="ar-SA"/>
    </w:rPr>
  </w:style>
  <w:style w:type="paragraph" w:styleId="2">
    <w:name w:val="heading 1"/>
    <w:basedOn w:val="1"/>
    <w:next w:val="1"/>
    <w:link w:val="145"/>
    <w:qFormat/>
    <w:uiPriority w:val="0"/>
    <w:pPr>
      <w:keepNext/>
      <w:keepLines/>
      <w:spacing w:before="340" w:after="330"/>
      <w:jc w:val="center"/>
      <w:outlineLvl w:val="0"/>
    </w:pPr>
    <w:rPr>
      <w:rFonts w:eastAsia="华文中宋"/>
      <w:kern w:val="44"/>
      <w:sz w:val="44"/>
      <w:szCs w:val="44"/>
    </w:rPr>
  </w:style>
  <w:style w:type="paragraph" w:styleId="3">
    <w:name w:val="heading 2"/>
    <w:basedOn w:val="1"/>
    <w:next w:val="1"/>
    <w:link w:val="139"/>
    <w:qFormat/>
    <w:uiPriority w:val="0"/>
    <w:pPr>
      <w:keepNext/>
      <w:keepLines/>
      <w:spacing w:before="240" w:after="120"/>
      <w:outlineLvl w:val="1"/>
    </w:pPr>
    <w:rPr>
      <w:rFonts w:ascii="Arial" w:hAnsi="Arial" w:eastAsia="黑体" w:cs="Arial"/>
      <w:sz w:val="28"/>
      <w:szCs w:val="28"/>
    </w:rPr>
  </w:style>
  <w:style w:type="paragraph" w:styleId="4">
    <w:name w:val="heading 3"/>
    <w:basedOn w:val="1"/>
    <w:next w:val="1"/>
    <w:qFormat/>
    <w:uiPriority w:val="0"/>
    <w:pPr>
      <w:keepNext/>
      <w:keepLines/>
      <w:spacing w:before="120" w:after="120"/>
      <w:ind w:firstLine="560"/>
      <w:outlineLvl w:val="2"/>
    </w:pPr>
    <w:rPr>
      <w:rFonts w:ascii="Arial" w:hAnsi="Arial" w:eastAsia="黑体" w:cs="Arial"/>
      <w:bCs/>
      <w:sz w:val="28"/>
      <w:szCs w:val="32"/>
    </w:rPr>
  </w:style>
  <w:style w:type="paragraph" w:styleId="5">
    <w:name w:val="heading 4"/>
    <w:basedOn w:val="1"/>
    <w:next w:val="1"/>
    <w:qFormat/>
    <w:uiPriority w:val="0"/>
    <w:pPr>
      <w:keepNext/>
      <w:keepLines/>
      <w:spacing w:before="280" w:after="290" w:line="376" w:lineRule="auto"/>
      <w:outlineLvl w:val="3"/>
    </w:pPr>
    <w:rPr>
      <w:rFonts w:ascii="Arial" w:hAnsi="Arial" w:eastAsia="黑体"/>
      <w:b/>
      <w:bCs/>
      <w:sz w:val="28"/>
      <w:szCs w:val="28"/>
    </w:rPr>
  </w:style>
  <w:style w:type="paragraph" w:styleId="6">
    <w:name w:val="heading 5"/>
    <w:basedOn w:val="1"/>
    <w:next w:val="1"/>
    <w:qFormat/>
    <w:uiPriority w:val="0"/>
    <w:pPr>
      <w:keepNext/>
      <w:keepLines/>
      <w:spacing w:before="280" w:after="290" w:line="376" w:lineRule="auto"/>
      <w:outlineLvl w:val="4"/>
    </w:pPr>
    <w:rPr>
      <w:b/>
      <w:bCs/>
      <w:sz w:val="28"/>
      <w:szCs w:val="28"/>
    </w:rPr>
  </w:style>
  <w:style w:type="paragraph" w:styleId="7">
    <w:name w:val="heading 6"/>
    <w:basedOn w:val="1"/>
    <w:next w:val="1"/>
    <w:qFormat/>
    <w:uiPriority w:val="0"/>
    <w:pPr>
      <w:keepNext/>
      <w:widowControl/>
      <w:tabs>
        <w:tab w:val="left" w:pos="2520"/>
      </w:tabs>
      <w:spacing w:before="40" w:after="40"/>
      <w:ind w:left="3600"/>
      <w:outlineLvl w:val="5"/>
    </w:pPr>
    <w:rPr>
      <w:rFonts w:ascii="宋体" w:cs="宋体"/>
      <w:b/>
      <w:bCs/>
      <w:color w:val="000000"/>
      <w:kern w:val="0"/>
      <w:szCs w:val="24"/>
    </w:rPr>
  </w:style>
  <w:style w:type="paragraph" w:styleId="8">
    <w:name w:val="heading 7"/>
    <w:basedOn w:val="1"/>
    <w:next w:val="1"/>
    <w:qFormat/>
    <w:uiPriority w:val="0"/>
    <w:pPr>
      <w:keepNext/>
      <w:widowControl/>
      <w:shd w:val="pct5" w:color="auto" w:fill="auto"/>
      <w:tabs>
        <w:tab w:val="left" w:pos="4680"/>
      </w:tabs>
      <w:spacing w:after="120"/>
      <w:ind w:left="4320"/>
      <w:jc w:val="left"/>
      <w:outlineLvl w:val="6"/>
    </w:pPr>
    <w:rPr>
      <w:rFonts w:ascii="宋体" w:cs="宋体"/>
      <w:b/>
      <w:bCs/>
      <w:i/>
      <w:iCs/>
      <w:color w:val="000000"/>
      <w:kern w:val="0"/>
      <w:szCs w:val="24"/>
    </w:rPr>
  </w:style>
  <w:style w:type="paragraph" w:styleId="9">
    <w:name w:val="heading 8"/>
    <w:basedOn w:val="1"/>
    <w:next w:val="1"/>
    <w:qFormat/>
    <w:uiPriority w:val="0"/>
    <w:pPr>
      <w:keepNext/>
      <w:widowControl/>
      <w:tabs>
        <w:tab w:val="left" w:pos="5400"/>
      </w:tabs>
      <w:spacing w:line="360" w:lineRule="auto"/>
      <w:ind w:left="5040"/>
      <w:jc w:val="left"/>
      <w:outlineLvl w:val="7"/>
    </w:pPr>
    <w:rPr>
      <w:rFonts w:ascii="宋体" w:cs="宋体"/>
      <w:b/>
      <w:bCs/>
      <w:color w:val="000000"/>
      <w:kern w:val="0"/>
      <w:szCs w:val="24"/>
    </w:rPr>
  </w:style>
  <w:style w:type="paragraph" w:styleId="10">
    <w:name w:val="heading 9"/>
    <w:basedOn w:val="1"/>
    <w:next w:val="1"/>
    <w:qFormat/>
    <w:uiPriority w:val="0"/>
    <w:pPr>
      <w:keepNext/>
      <w:widowControl/>
      <w:tabs>
        <w:tab w:val="left" w:pos="6120"/>
      </w:tabs>
      <w:spacing w:line="360" w:lineRule="auto"/>
      <w:ind w:left="5760"/>
      <w:jc w:val="left"/>
      <w:outlineLvl w:val="8"/>
    </w:pPr>
    <w:rPr>
      <w:rFonts w:ascii="宋体" w:cs="宋体"/>
      <w:color w:val="000000"/>
      <w:kern w:val="0"/>
      <w:szCs w:val="24"/>
      <w:u w:val="single"/>
    </w:rPr>
  </w:style>
  <w:style w:type="character" w:default="1" w:styleId="115">
    <w:name w:val="Default Paragraph Font"/>
    <w:semiHidden/>
    <w:unhideWhenUsed/>
    <w:qFormat/>
    <w:uiPriority w:val="1"/>
  </w:style>
  <w:style w:type="table" w:default="1" w:styleId="70">
    <w:name w:val="Normal Table"/>
    <w:semiHidden/>
    <w:unhideWhenUsed/>
    <w:qFormat/>
    <w:uiPriority w:val="99"/>
    <w:tblPr>
      <w:tblCellMar>
        <w:top w:w="0" w:type="dxa"/>
        <w:left w:w="108" w:type="dxa"/>
        <w:bottom w:w="0" w:type="dxa"/>
        <w:right w:w="108" w:type="dxa"/>
      </w:tblCellMar>
    </w:tblPr>
  </w:style>
  <w:style w:type="paragraph" w:styleId="11">
    <w:name w:val="List 3"/>
    <w:basedOn w:val="1"/>
    <w:semiHidden/>
    <w:qFormat/>
    <w:uiPriority w:val="0"/>
    <w:pPr>
      <w:snapToGrid w:val="0"/>
      <w:spacing w:before="120" w:after="120" w:line="460" w:lineRule="exact"/>
      <w:ind w:left="100" w:leftChars="400" w:hanging="200" w:hangingChars="200"/>
    </w:pPr>
    <w:rPr>
      <w:rFonts w:eastAsia="仿宋_GB2312"/>
      <w:sz w:val="28"/>
      <w:szCs w:val="28"/>
    </w:rPr>
  </w:style>
  <w:style w:type="paragraph" w:styleId="12">
    <w:name w:val="toc 7"/>
    <w:basedOn w:val="1"/>
    <w:next w:val="1"/>
    <w:semiHidden/>
    <w:qFormat/>
    <w:uiPriority w:val="0"/>
    <w:pPr>
      <w:ind w:left="2520" w:leftChars="1200"/>
    </w:pPr>
    <w:rPr>
      <w:szCs w:val="21"/>
    </w:rPr>
  </w:style>
  <w:style w:type="paragraph" w:styleId="13">
    <w:name w:val="List Number 2"/>
    <w:basedOn w:val="1"/>
    <w:semiHidden/>
    <w:qFormat/>
    <w:uiPriority w:val="0"/>
    <w:pPr>
      <w:tabs>
        <w:tab w:val="left" w:pos="780"/>
      </w:tabs>
      <w:snapToGrid w:val="0"/>
      <w:spacing w:before="120" w:after="120" w:line="460" w:lineRule="exact"/>
      <w:ind w:left="780" w:leftChars="200" w:hanging="360" w:hangingChars="200"/>
    </w:pPr>
    <w:rPr>
      <w:rFonts w:eastAsia="仿宋_GB2312"/>
      <w:sz w:val="28"/>
      <w:szCs w:val="28"/>
    </w:rPr>
  </w:style>
  <w:style w:type="paragraph" w:styleId="14">
    <w:name w:val="Note Heading"/>
    <w:basedOn w:val="1"/>
    <w:next w:val="1"/>
    <w:semiHidden/>
    <w:qFormat/>
    <w:uiPriority w:val="0"/>
    <w:pPr>
      <w:snapToGrid w:val="0"/>
      <w:spacing w:before="120" w:after="120" w:line="460" w:lineRule="exact"/>
      <w:jc w:val="center"/>
    </w:pPr>
    <w:rPr>
      <w:rFonts w:eastAsia="仿宋_GB2312"/>
      <w:sz w:val="28"/>
      <w:szCs w:val="28"/>
    </w:rPr>
  </w:style>
  <w:style w:type="paragraph" w:styleId="15">
    <w:name w:val="List Bullet 4"/>
    <w:basedOn w:val="1"/>
    <w:semiHidden/>
    <w:uiPriority w:val="0"/>
    <w:pPr>
      <w:tabs>
        <w:tab w:val="left" w:pos="1620"/>
      </w:tabs>
      <w:snapToGrid w:val="0"/>
      <w:spacing w:before="120" w:after="120" w:line="460" w:lineRule="exact"/>
      <w:ind w:left="1620" w:leftChars="600" w:hanging="360" w:hangingChars="200"/>
    </w:pPr>
    <w:rPr>
      <w:rFonts w:eastAsia="仿宋_GB2312"/>
      <w:sz w:val="28"/>
      <w:szCs w:val="28"/>
    </w:rPr>
  </w:style>
  <w:style w:type="paragraph" w:styleId="16">
    <w:name w:val="E-mail Signature"/>
    <w:basedOn w:val="1"/>
    <w:semiHidden/>
    <w:qFormat/>
    <w:uiPriority w:val="0"/>
    <w:pPr>
      <w:snapToGrid w:val="0"/>
      <w:spacing w:before="120" w:after="120" w:line="460" w:lineRule="exact"/>
    </w:pPr>
    <w:rPr>
      <w:rFonts w:eastAsia="仿宋_GB2312"/>
      <w:sz w:val="28"/>
      <w:szCs w:val="28"/>
    </w:rPr>
  </w:style>
  <w:style w:type="paragraph" w:styleId="17">
    <w:name w:val="List Number"/>
    <w:basedOn w:val="1"/>
    <w:semiHidden/>
    <w:qFormat/>
    <w:uiPriority w:val="0"/>
    <w:pPr>
      <w:tabs>
        <w:tab w:val="left" w:pos="360"/>
      </w:tabs>
      <w:snapToGrid w:val="0"/>
      <w:spacing w:before="120" w:after="120" w:line="460" w:lineRule="exact"/>
      <w:ind w:left="360" w:hanging="360" w:hangingChars="200"/>
    </w:pPr>
    <w:rPr>
      <w:rFonts w:eastAsia="仿宋_GB2312"/>
      <w:sz w:val="28"/>
      <w:szCs w:val="28"/>
    </w:rPr>
  </w:style>
  <w:style w:type="paragraph" w:styleId="18">
    <w:name w:val="Normal Indent"/>
    <w:basedOn w:val="1"/>
    <w:link w:val="163"/>
    <w:qFormat/>
    <w:uiPriority w:val="0"/>
    <w:pPr>
      <w:ind w:firstLine="420"/>
    </w:pPr>
    <w:rPr>
      <w:sz w:val="21"/>
      <w:szCs w:val="24"/>
    </w:rPr>
  </w:style>
  <w:style w:type="paragraph" w:styleId="19">
    <w:name w:val="List Bullet"/>
    <w:basedOn w:val="1"/>
    <w:semiHidden/>
    <w:qFormat/>
    <w:uiPriority w:val="0"/>
    <w:pPr>
      <w:tabs>
        <w:tab w:val="left" w:pos="360"/>
      </w:tabs>
      <w:snapToGrid w:val="0"/>
      <w:spacing w:before="120" w:after="120" w:line="460" w:lineRule="exact"/>
      <w:ind w:left="360" w:hanging="360" w:hangingChars="200"/>
    </w:pPr>
    <w:rPr>
      <w:rFonts w:eastAsia="仿宋_GB2312"/>
      <w:sz w:val="28"/>
      <w:szCs w:val="28"/>
    </w:rPr>
  </w:style>
  <w:style w:type="paragraph" w:styleId="20">
    <w:name w:val="envelope address"/>
    <w:basedOn w:val="1"/>
    <w:semiHidden/>
    <w:qFormat/>
    <w:uiPriority w:val="0"/>
    <w:pPr>
      <w:framePr w:w="7920" w:h="1980" w:hRule="exact" w:hSpace="180" w:wrap="around" w:vAnchor="margin" w:hAnchor="page" w:xAlign="center" w:yAlign="bottom"/>
      <w:snapToGrid w:val="0"/>
      <w:spacing w:before="120" w:after="120" w:line="460" w:lineRule="exact"/>
      <w:ind w:left="100" w:leftChars="1400"/>
    </w:pPr>
    <w:rPr>
      <w:rFonts w:ascii="Arial" w:hAnsi="Arial" w:eastAsia="仿宋_GB2312" w:cs="Arial"/>
      <w:szCs w:val="24"/>
    </w:rPr>
  </w:style>
  <w:style w:type="paragraph" w:styleId="21">
    <w:name w:val="Document Map"/>
    <w:basedOn w:val="1"/>
    <w:semiHidden/>
    <w:qFormat/>
    <w:uiPriority w:val="0"/>
    <w:pPr>
      <w:shd w:val="clear" w:color="auto" w:fill="000080"/>
    </w:pPr>
  </w:style>
  <w:style w:type="paragraph" w:styleId="22">
    <w:name w:val="annotation text"/>
    <w:basedOn w:val="1"/>
    <w:semiHidden/>
    <w:qFormat/>
    <w:uiPriority w:val="0"/>
    <w:pPr>
      <w:jc w:val="left"/>
    </w:pPr>
    <w:rPr>
      <w:szCs w:val="21"/>
    </w:rPr>
  </w:style>
  <w:style w:type="paragraph" w:styleId="23">
    <w:name w:val="Salutation"/>
    <w:basedOn w:val="1"/>
    <w:next w:val="1"/>
    <w:semiHidden/>
    <w:qFormat/>
    <w:uiPriority w:val="0"/>
    <w:pPr>
      <w:snapToGrid w:val="0"/>
      <w:spacing w:before="120" w:after="120" w:line="460" w:lineRule="exact"/>
    </w:pPr>
    <w:rPr>
      <w:rFonts w:eastAsia="仿宋_GB2312"/>
      <w:sz w:val="28"/>
      <w:szCs w:val="28"/>
    </w:rPr>
  </w:style>
  <w:style w:type="paragraph" w:styleId="24">
    <w:name w:val="Body Text 3"/>
    <w:basedOn w:val="1"/>
    <w:semiHidden/>
    <w:qFormat/>
    <w:uiPriority w:val="0"/>
    <w:pPr>
      <w:snapToGrid w:val="0"/>
      <w:spacing w:before="120" w:after="120" w:line="460" w:lineRule="exact"/>
    </w:pPr>
    <w:rPr>
      <w:rFonts w:eastAsia="仿宋_GB2312"/>
      <w:sz w:val="16"/>
      <w:szCs w:val="16"/>
    </w:rPr>
  </w:style>
  <w:style w:type="paragraph" w:styleId="25">
    <w:name w:val="Closing"/>
    <w:basedOn w:val="1"/>
    <w:semiHidden/>
    <w:qFormat/>
    <w:uiPriority w:val="0"/>
    <w:pPr>
      <w:snapToGrid w:val="0"/>
      <w:spacing w:before="120" w:after="120" w:line="460" w:lineRule="exact"/>
      <w:ind w:left="100" w:leftChars="2100"/>
    </w:pPr>
    <w:rPr>
      <w:rFonts w:eastAsia="仿宋_GB2312"/>
      <w:sz w:val="28"/>
      <w:szCs w:val="28"/>
    </w:rPr>
  </w:style>
  <w:style w:type="paragraph" w:styleId="26">
    <w:name w:val="List Bullet 3"/>
    <w:basedOn w:val="1"/>
    <w:semiHidden/>
    <w:uiPriority w:val="0"/>
    <w:pPr>
      <w:tabs>
        <w:tab w:val="left" w:pos="1200"/>
      </w:tabs>
      <w:snapToGrid w:val="0"/>
      <w:spacing w:before="120" w:after="120" w:line="460" w:lineRule="exact"/>
      <w:ind w:left="1200" w:leftChars="400" w:hanging="360" w:hangingChars="200"/>
    </w:pPr>
    <w:rPr>
      <w:rFonts w:eastAsia="仿宋_GB2312"/>
      <w:sz w:val="28"/>
      <w:szCs w:val="28"/>
    </w:rPr>
  </w:style>
  <w:style w:type="paragraph" w:styleId="27">
    <w:name w:val="Body Text"/>
    <w:basedOn w:val="1"/>
    <w:semiHidden/>
    <w:uiPriority w:val="0"/>
    <w:rPr>
      <w:rFonts w:ascii="楷体_GB2312" w:hAnsi="宋体" w:eastAsia="楷体_GB2312" w:cs="楷体_GB2312"/>
      <w:sz w:val="28"/>
      <w:szCs w:val="28"/>
    </w:rPr>
  </w:style>
  <w:style w:type="paragraph" w:styleId="28">
    <w:name w:val="Body Text Indent"/>
    <w:basedOn w:val="1"/>
    <w:semiHidden/>
    <w:uiPriority w:val="0"/>
    <w:pPr>
      <w:ind w:firstLine="720" w:firstLineChars="300"/>
    </w:pPr>
  </w:style>
  <w:style w:type="paragraph" w:styleId="29">
    <w:name w:val="List Number 3"/>
    <w:basedOn w:val="1"/>
    <w:semiHidden/>
    <w:uiPriority w:val="0"/>
    <w:pPr>
      <w:tabs>
        <w:tab w:val="left" w:pos="1200"/>
      </w:tabs>
      <w:snapToGrid w:val="0"/>
      <w:spacing w:before="120" w:after="120" w:line="460" w:lineRule="exact"/>
      <w:ind w:left="1200" w:leftChars="400" w:hanging="360" w:hangingChars="200"/>
    </w:pPr>
    <w:rPr>
      <w:rFonts w:eastAsia="仿宋_GB2312"/>
      <w:sz w:val="28"/>
      <w:szCs w:val="28"/>
    </w:rPr>
  </w:style>
  <w:style w:type="paragraph" w:styleId="30">
    <w:name w:val="List 2"/>
    <w:basedOn w:val="1"/>
    <w:semiHidden/>
    <w:qFormat/>
    <w:uiPriority w:val="0"/>
    <w:pPr>
      <w:snapToGrid w:val="0"/>
      <w:spacing w:before="120" w:after="120" w:line="460" w:lineRule="exact"/>
      <w:ind w:left="100" w:leftChars="200" w:hanging="200" w:hangingChars="200"/>
    </w:pPr>
    <w:rPr>
      <w:rFonts w:eastAsia="仿宋_GB2312"/>
      <w:sz w:val="28"/>
      <w:szCs w:val="28"/>
    </w:rPr>
  </w:style>
  <w:style w:type="paragraph" w:styleId="31">
    <w:name w:val="List Continue"/>
    <w:basedOn w:val="1"/>
    <w:semiHidden/>
    <w:qFormat/>
    <w:uiPriority w:val="0"/>
    <w:pPr>
      <w:snapToGrid w:val="0"/>
      <w:spacing w:before="120" w:after="120" w:line="460" w:lineRule="exact"/>
      <w:ind w:left="420" w:leftChars="200"/>
    </w:pPr>
    <w:rPr>
      <w:rFonts w:eastAsia="仿宋_GB2312"/>
      <w:sz w:val="28"/>
      <w:szCs w:val="28"/>
    </w:rPr>
  </w:style>
  <w:style w:type="paragraph" w:styleId="32">
    <w:name w:val="Block Text"/>
    <w:basedOn w:val="1"/>
    <w:semiHidden/>
    <w:qFormat/>
    <w:uiPriority w:val="0"/>
    <w:pPr>
      <w:snapToGrid w:val="0"/>
      <w:spacing w:before="120" w:after="120" w:line="460" w:lineRule="exact"/>
      <w:ind w:left="1440" w:leftChars="700" w:right="1440" w:rightChars="700"/>
    </w:pPr>
    <w:rPr>
      <w:rFonts w:eastAsia="仿宋_GB2312"/>
      <w:sz w:val="28"/>
      <w:szCs w:val="28"/>
    </w:rPr>
  </w:style>
  <w:style w:type="paragraph" w:styleId="33">
    <w:name w:val="List Bullet 2"/>
    <w:basedOn w:val="1"/>
    <w:semiHidden/>
    <w:uiPriority w:val="0"/>
    <w:pPr>
      <w:tabs>
        <w:tab w:val="left" w:pos="780"/>
      </w:tabs>
      <w:snapToGrid w:val="0"/>
      <w:spacing w:before="120" w:after="120" w:line="460" w:lineRule="exact"/>
      <w:ind w:left="780" w:leftChars="200" w:hanging="360" w:hangingChars="200"/>
    </w:pPr>
    <w:rPr>
      <w:rFonts w:eastAsia="仿宋_GB2312"/>
      <w:sz w:val="28"/>
      <w:szCs w:val="28"/>
    </w:rPr>
  </w:style>
  <w:style w:type="paragraph" w:styleId="34">
    <w:name w:val="HTML Address"/>
    <w:basedOn w:val="1"/>
    <w:semiHidden/>
    <w:uiPriority w:val="0"/>
    <w:pPr>
      <w:snapToGrid w:val="0"/>
      <w:spacing w:before="120" w:after="120" w:line="460" w:lineRule="exact"/>
    </w:pPr>
    <w:rPr>
      <w:rFonts w:eastAsia="仿宋_GB2312"/>
      <w:i/>
      <w:iCs/>
      <w:sz w:val="28"/>
      <w:szCs w:val="28"/>
    </w:rPr>
  </w:style>
  <w:style w:type="paragraph" w:styleId="35">
    <w:name w:val="toc 5"/>
    <w:basedOn w:val="1"/>
    <w:next w:val="1"/>
    <w:semiHidden/>
    <w:qFormat/>
    <w:uiPriority w:val="0"/>
    <w:pPr>
      <w:ind w:left="1680" w:leftChars="800"/>
    </w:pPr>
    <w:rPr>
      <w:szCs w:val="21"/>
    </w:rPr>
  </w:style>
  <w:style w:type="paragraph" w:styleId="36">
    <w:name w:val="toc 3"/>
    <w:basedOn w:val="1"/>
    <w:next w:val="1"/>
    <w:semiHidden/>
    <w:qFormat/>
    <w:uiPriority w:val="0"/>
    <w:pPr>
      <w:snapToGrid w:val="0"/>
      <w:spacing w:before="120" w:after="120" w:line="460" w:lineRule="exact"/>
      <w:ind w:left="840" w:leftChars="400"/>
    </w:pPr>
    <w:rPr>
      <w:rFonts w:eastAsia="仿宋_GB2312"/>
      <w:sz w:val="28"/>
      <w:szCs w:val="28"/>
    </w:rPr>
  </w:style>
  <w:style w:type="paragraph" w:styleId="37">
    <w:name w:val="Plain Text"/>
    <w:basedOn w:val="1"/>
    <w:link w:val="160"/>
    <w:qFormat/>
    <w:uiPriority w:val="0"/>
    <w:rPr>
      <w:rFonts w:ascii="宋体" w:hAnsi="Courier New"/>
      <w:sz w:val="21"/>
      <w:szCs w:val="24"/>
    </w:rPr>
  </w:style>
  <w:style w:type="paragraph" w:styleId="38">
    <w:name w:val="List Bullet 5"/>
    <w:basedOn w:val="1"/>
    <w:semiHidden/>
    <w:qFormat/>
    <w:uiPriority w:val="0"/>
    <w:pPr>
      <w:tabs>
        <w:tab w:val="left" w:pos="2040"/>
      </w:tabs>
      <w:snapToGrid w:val="0"/>
      <w:spacing w:before="120" w:after="120" w:line="460" w:lineRule="exact"/>
      <w:ind w:left="2040" w:leftChars="800" w:hanging="360" w:hangingChars="200"/>
    </w:pPr>
    <w:rPr>
      <w:rFonts w:eastAsia="仿宋_GB2312"/>
      <w:sz w:val="28"/>
      <w:szCs w:val="28"/>
    </w:rPr>
  </w:style>
  <w:style w:type="paragraph" w:styleId="39">
    <w:name w:val="List Number 4"/>
    <w:basedOn w:val="1"/>
    <w:semiHidden/>
    <w:uiPriority w:val="0"/>
    <w:pPr>
      <w:tabs>
        <w:tab w:val="left" w:pos="1620"/>
      </w:tabs>
      <w:snapToGrid w:val="0"/>
      <w:spacing w:before="120" w:after="120" w:line="460" w:lineRule="exact"/>
      <w:ind w:left="1620" w:leftChars="600" w:hanging="360" w:hangingChars="200"/>
    </w:pPr>
    <w:rPr>
      <w:rFonts w:eastAsia="仿宋_GB2312"/>
      <w:sz w:val="28"/>
      <w:szCs w:val="28"/>
    </w:rPr>
  </w:style>
  <w:style w:type="paragraph" w:styleId="40">
    <w:name w:val="toc 8"/>
    <w:basedOn w:val="1"/>
    <w:next w:val="1"/>
    <w:semiHidden/>
    <w:uiPriority w:val="0"/>
    <w:pPr>
      <w:ind w:left="2940" w:leftChars="1400"/>
    </w:pPr>
    <w:rPr>
      <w:szCs w:val="21"/>
    </w:rPr>
  </w:style>
  <w:style w:type="paragraph" w:styleId="41">
    <w:name w:val="Date"/>
    <w:basedOn w:val="1"/>
    <w:next w:val="1"/>
    <w:semiHidden/>
    <w:uiPriority w:val="0"/>
    <w:rPr>
      <w:rFonts w:ascii="仿宋_GB2312" w:eastAsia="仿宋_GB2312" w:cs="仿宋_GB2312"/>
      <w:b/>
      <w:bCs/>
      <w:sz w:val="28"/>
      <w:szCs w:val="28"/>
    </w:rPr>
  </w:style>
  <w:style w:type="paragraph" w:styleId="42">
    <w:name w:val="Body Text Indent 2"/>
    <w:basedOn w:val="1"/>
    <w:semiHidden/>
    <w:uiPriority w:val="0"/>
    <w:pPr>
      <w:snapToGrid w:val="0"/>
      <w:spacing w:before="120" w:after="120" w:line="480" w:lineRule="auto"/>
      <w:ind w:left="420" w:leftChars="200"/>
    </w:pPr>
    <w:rPr>
      <w:rFonts w:eastAsia="仿宋_GB2312"/>
      <w:sz w:val="28"/>
      <w:szCs w:val="28"/>
    </w:rPr>
  </w:style>
  <w:style w:type="paragraph" w:styleId="43">
    <w:name w:val="List Continue 5"/>
    <w:basedOn w:val="1"/>
    <w:semiHidden/>
    <w:uiPriority w:val="0"/>
    <w:pPr>
      <w:snapToGrid w:val="0"/>
      <w:spacing w:before="120" w:after="120" w:line="460" w:lineRule="exact"/>
      <w:ind w:left="2100" w:leftChars="1000"/>
    </w:pPr>
    <w:rPr>
      <w:rFonts w:eastAsia="仿宋_GB2312"/>
      <w:sz w:val="28"/>
      <w:szCs w:val="28"/>
    </w:rPr>
  </w:style>
  <w:style w:type="paragraph" w:styleId="44">
    <w:name w:val="Balloon Text"/>
    <w:basedOn w:val="1"/>
    <w:semiHidden/>
    <w:uiPriority w:val="0"/>
    <w:rPr>
      <w:sz w:val="18"/>
      <w:szCs w:val="18"/>
    </w:rPr>
  </w:style>
  <w:style w:type="paragraph" w:styleId="45">
    <w:name w:val="footer"/>
    <w:basedOn w:val="1"/>
    <w:link w:val="254"/>
    <w:uiPriority w:val="99"/>
    <w:pPr>
      <w:tabs>
        <w:tab w:val="center" w:pos="4153"/>
        <w:tab w:val="right" w:pos="8306"/>
      </w:tabs>
      <w:snapToGrid w:val="0"/>
      <w:jc w:val="left"/>
    </w:pPr>
    <w:rPr>
      <w:sz w:val="18"/>
      <w:szCs w:val="18"/>
    </w:rPr>
  </w:style>
  <w:style w:type="paragraph" w:styleId="46">
    <w:name w:val="envelope return"/>
    <w:basedOn w:val="1"/>
    <w:semiHidden/>
    <w:uiPriority w:val="0"/>
    <w:pPr>
      <w:snapToGrid w:val="0"/>
      <w:spacing w:before="120" w:after="120" w:line="460" w:lineRule="exact"/>
    </w:pPr>
    <w:rPr>
      <w:rFonts w:ascii="Arial" w:hAnsi="Arial" w:eastAsia="仿宋_GB2312" w:cs="Arial"/>
      <w:sz w:val="28"/>
      <w:szCs w:val="28"/>
    </w:rPr>
  </w:style>
  <w:style w:type="paragraph" w:styleId="47">
    <w:name w:val="header"/>
    <w:basedOn w:val="1"/>
    <w:link w:val="156"/>
    <w:qFormat/>
    <w:uiPriority w:val="0"/>
    <w:pPr>
      <w:pBdr>
        <w:bottom w:val="single" w:color="auto" w:sz="6" w:space="1"/>
      </w:pBdr>
      <w:tabs>
        <w:tab w:val="center" w:pos="4153"/>
        <w:tab w:val="right" w:pos="8306"/>
      </w:tabs>
      <w:snapToGrid w:val="0"/>
      <w:jc w:val="center"/>
    </w:pPr>
    <w:rPr>
      <w:sz w:val="18"/>
      <w:szCs w:val="18"/>
    </w:rPr>
  </w:style>
  <w:style w:type="paragraph" w:styleId="48">
    <w:name w:val="Signature"/>
    <w:basedOn w:val="1"/>
    <w:semiHidden/>
    <w:uiPriority w:val="0"/>
    <w:pPr>
      <w:snapToGrid w:val="0"/>
      <w:spacing w:before="120" w:after="120" w:line="460" w:lineRule="exact"/>
      <w:ind w:left="100" w:leftChars="2100"/>
    </w:pPr>
    <w:rPr>
      <w:rFonts w:eastAsia="仿宋_GB2312"/>
      <w:sz w:val="28"/>
      <w:szCs w:val="28"/>
    </w:rPr>
  </w:style>
  <w:style w:type="paragraph" w:styleId="49">
    <w:name w:val="toc 1"/>
    <w:basedOn w:val="1"/>
    <w:next w:val="1"/>
    <w:semiHidden/>
    <w:qFormat/>
    <w:uiPriority w:val="0"/>
    <w:pPr>
      <w:snapToGrid w:val="0"/>
      <w:spacing w:before="120" w:after="120" w:line="460" w:lineRule="exact"/>
    </w:pPr>
    <w:rPr>
      <w:rFonts w:eastAsia="仿宋_GB2312"/>
      <w:sz w:val="28"/>
      <w:szCs w:val="28"/>
    </w:rPr>
  </w:style>
  <w:style w:type="paragraph" w:styleId="50">
    <w:name w:val="List Continue 4"/>
    <w:basedOn w:val="1"/>
    <w:semiHidden/>
    <w:qFormat/>
    <w:uiPriority w:val="0"/>
    <w:pPr>
      <w:snapToGrid w:val="0"/>
      <w:spacing w:before="120" w:after="120" w:line="460" w:lineRule="exact"/>
      <w:ind w:left="1680" w:leftChars="800"/>
    </w:pPr>
    <w:rPr>
      <w:rFonts w:eastAsia="仿宋_GB2312"/>
      <w:sz w:val="28"/>
      <w:szCs w:val="28"/>
    </w:rPr>
  </w:style>
  <w:style w:type="paragraph" w:styleId="51">
    <w:name w:val="toc 4"/>
    <w:basedOn w:val="1"/>
    <w:next w:val="1"/>
    <w:semiHidden/>
    <w:qFormat/>
    <w:uiPriority w:val="0"/>
    <w:pPr>
      <w:ind w:left="1260" w:leftChars="600"/>
    </w:pPr>
    <w:rPr>
      <w:szCs w:val="21"/>
    </w:rPr>
  </w:style>
  <w:style w:type="paragraph" w:styleId="52">
    <w:name w:val="Subtitle"/>
    <w:basedOn w:val="1"/>
    <w:qFormat/>
    <w:uiPriority w:val="0"/>
    <w:pPr>
      <w:snapToGrid w:val="0"/>
      <w:spacing w:before="240" w:after="60" w:line="312" w:lineRule="atLeast"/>
      <w:jc w:val="center"/>
      <w:outlineLvl w:val="1"/>
    </w:pPr>
    <w:rPr>
      <w:rFonts w:ascii="Arial" w:hAnsi="Arial" w:cs="Arial"/>
      <w:b/>
      <w:bCs/>
      <w:kern w:val="28"/>
      <w:sz w:val="32"/>
      <w:szCs w:val="32"/>
    </w:rPr>
  </w:style>
  <w:style w:type="paragraph" w:styleId="53">
    <w:name w:val="List Number 5"/>
    <w:basedOn w:val="1"/>
    <w:semiHidden/>
    <w:qFormat/>
    <w:uiPriority w:val="0"/>
    <w:pPr>
      <w:tabs>
        <w:tab w:val="left" w:pos="2040"/>
      </w:tabs>
      <w:snapToGrid w:val="0"/>
      <w:spacing w:before="120" w:after="120" w:line="460" w:lineRule="exact"/>
      <w:ind w:left="2040" w:leftChars="800" w:hanging="360" w:hangingChars="200"/>
    </w:pPr>
    <w:rPr>
      <w:rFonts w:eastAsia="仿宋_GB2312"/>
      <w:sz w:val="28"/>
      <w:szCs w:val="28"/>
    </w:rPr>
  </w:style>
  <w:style w:type="paragraph" w:styleId="54">
    <w:name w:val="List"/>
    <w:basedOn w:val="1"/>
    <w:semiHidden/>
    <w:qFormat/>
    <w:uiPriority w:val="0"/>
    <w:pPr>
      <w:snapToGrid w:val="0"/>
      <w:spacing w:before="120" w:after="120" w:line="460" w:lineRule="exact"/>
      <w:ind w:left="200" w:hanging="200" w:hangingChars="200"/>
    </w:pPr>
    <w:rPr>
      <w:rFonts w:eastAsia="仿宋_GB2312"/>
      <w:sz w:val="28"/>
      <w:szCs w:val="28"/>
    </w:rPr>
  </w:style>
  <w:style w:type="paragraph" w:styleId="55">
    <w:name w:val="toc 6"/>
    <w:basedOn w:val="1"/>
    <w:next w:val="1"/>
    <w:semiHidden/>
    <w:qFormat/>
    <w:uiPriority w:val="0"/>
    <w:pPr>
      <w:ind w:left="2100" w:leftChars="1000"/>
    </w:pPr>
    <w:rPr>
      <w:szCs w:val="21"/>
    </w:rPr>
  </w:style>
  <w:style w:type="paragraph" w:styleId="56">
    <w:name w:val="List 5"/>
    <w:basedOn w:val="1"/>
    <w:semiHidden/>
    <w:uiPriority w:val="0"/>
    <w:pPr>
      <w:snapToGrid w:val="0"/>
      <w:spacing w:before="120" w:after="120" w:line="460" w:lineRule="exact"/>
      <w:ind w:left="100" w:leftChars="800" w:hanging="200" w:hangingChars="200"/>
    </w:pPr>
    <w:rPr>
      <w:rFonts w:eastAsia="仿宋_GB2312"/>
      <w:sz w:val="28"/>
      <w:szCs w:val="28"/>
    </w:rPr>
  </w:style>
  <w:style w:type="paragraph" w:styleId="57">
    <w:name w:val="Body Text Indent 3"/>
    <w:basedOn w:val="1"/>
    <w:semiHidden/>
    <w:qFormat/>
    <w:uiPriority w:val="0"/>
    <w:pPr>
      <w:spacing w:line="460" w:lineRule="exact"/>
      <w:ind w:firstLine="570"/>
    </w:pPr>
    <w:rPr>
      <w:rFonts w:ascii="仿宋_GB2312" w:hAnsi="宋体" w:eastAsia="仿宋_GB2312" w:cs="仿宋_GB2312"/>
      <w:b/>
      <w:bCs/>
      <w:sz w:val="28"/>
      <w:szCs w:val="28"/>
    </w:rPr>
  </w:style>
  <w:style w:type="paragraph" w:styleId="58">
    <w:name w:val="toc 2"/>
    <w:basedOn w:val="1"/>
    <w:next w:val="1"/>
    <w:semiHidden/>
    <w:uiPriority w:val="0"/>
    <w:pPr>
      <w:snapToGrid w:val="0"/>
      <w:spacing w:before="120" w:after="120" w:line="460" w:lineRule="exact"/>
      <w:ind w:left="200" w:leftChars="200"/>
    </w:pPr>
    <w:rPr>
      <w:rFonts w:eastAsia="仿宋_GB2312"/>
      <w:sz w:val="28"/>
      <w:szCs w:val="28"/>
    </w:rPr>
  </w:style>
  <w:style w:type="paragraph" w:styleId="59">
    <w:name w:val="toc 9"/>
    <w:basedOn w:val="1"/>
    <w:next w:val="1"/>
    <w:semiHidden/>
    <w:qFormat/>
    <w:uiPriority w:val="0"/>
    <w:pPr>
      <w:ind w:left="3360" w:leftChars="1600"/>
    </w:pPr>
    <w:rPr>
      <w:szCs w:val="21"/>
    </w:rPr>
  </w:style>
  <w:style w:type="paragraph" w:styleId="60">
    <w:name w:val="Body Text 2"/>
    <w:basedOn w:val="1"/>
    <w:semiHidden/>
    <w:qFormat/>
    <w:uiPriority w:val="0"/>
    <w:pPr>
      <w:snapToGrid w:val="0"/>
      <w:spacing w:before="120" w:after="120" w:line="480" w:lineRule="auto"/>
    </w:pPr>
    <w:rPr>
      <w:rFonts w:eastAsia="仿宋_GB2312"/>
      <w:sz w:val="28"/>
      <w:szCs w:val="28"/>
    </w:rPr>
  </w:style>
  <w:style w:type="paragraph" w:styleId="61">
    <w:name w:val="List 4"/>
    <w:basedOn w:val="1"/>
    <w:semiHidden/>
    <w:uiPriority w:val="0"/>
    <w:pPr>
      <w:snapToGrid w:val="0"/>
      <w:spacing w:before="120" w:after="120" w:line="460" w:lineRule="exact"/>
      <w:ind w:left="100" w:leftChars="600" w:hanging="200" w:hangingChars="200"/>
    </w:pPr>
    <w:rPr>
      <w:rFonts w:eastAsia="仿宋_GB2312"/>
      <w:sz w:val="28"/>
      <w:szCs w:val="28"/>
    </w:rPr>
  </w:style>
  <w:style w:type="paragraph" w:styleId="62">
    <w:name w:val="List Continue 2"/>
    <w:basedOn w:val="1"/>
    <w:semiHidden/>
    <w:uiPriority w:val="0"/>
    <w:pPr>
      <w:snapToGrid w:val="0"/>
      <w:spacing w:before="120" w:after="120" w:line="460" w:lineRule="exact"/>
      <w:ind w:left="840" w:leftChars="400"/>
    </w:pPr>
    <w:rPr>
      <w:rFonts w:eastAsia="仿宋_GB2312"/>
      <w:sz w:val="28"/>
      <w:szCs w:val="28"/>
    </w:rPr>
  </w:style>
  <w:style w:type="paragraph" w:styleId="63">
    <w:name w:val="Message Header"/>
    <w:basedOn w:val="1"/>
    <w:semiHidden/>
    <w:qFormat/>
    <w:uiPriority w:val="0"/>
    <w:pPr>
      <w:pBdr>
        <w:top w:val="single" w:color="auto" w:sz="6" w:space="1"/>
        <w:left w:val="single" w:color="auto" w:sz="6" w:space="1"/>
        <w:bottom w:val="single" w:color="auto" w:sz="6" w:space="1"/>
        <w:right w:val="single" w:color="auto" w:sz="6" w:space="1"/>
      </w:pBdr>
      <w:shd w:val="pct20" w:color="auto" w:fill="auto"/>
      <w:snapToGrid w:val="0"/>
      <w:spacing w:before="120" w:after="120" w:line="460" w:lineRule="exact"/>
      <w:ind w:left="1080" w:leftChars="500" w:hanging="1080" w:hangingChars="500"/>
    </w:pPr>
    <w:rPr>
      <w:rFonts w:ascii="Arial" w:hAnsi="Arial" w:eastAsia="仿宋_GB2312" w:cs="Arial"/>
      <w:szCs w:val="24"/>
    </w:rPr>
  </w:style>
  <w:style w:type="paragraph" w:styleId="64">
    <w:name w:val="HTML Preformatted"/>
    <w:basedOn w:val="1"/>
    <w:semiHidden/>
    <w:uiPriority w:val="0"/>
    <w:pPr>
      <w:snapToGrid w:val="0"/>
      <w:spacing w:before="120" w:after="120" w:line="460" w:lineRule="exact"/>
    </w:pPr>
    <w:rPr>
      <w:rFonts w:ascii="Courier New" w:hAnsi="Courier New" w:eastAsia="仿宋_GB2312" w:cs="Courier New"/>
      <w:sz w:val="20"/>
    </w:rPr>
  </w:style>
  <w:style w:type="paragraph" w:styleId="65">
    <w:name w:val="Normal (Web)"/>
    <w:basedOn w:val="1"/>
    <w:semiHidden/>
    <w:uiPriority w:val="0"/>
    <w:pPr>
      <w:widowControl/>
      <w:spacing w:before="100" w:beforeAutospacing="1" w:after="100" w:afterAutospacing="1"/>
      <w:jc w:val="left"/>
    </w:pPr>
    <w:rPr>
      <w:rFonts w:ascii="宋体" w:hAnsi="宋体" w:cs="宋体"/>
      <w:kern w:val="0"/>
      <w:sz w:val="20"/>
    </w:rPr>
  </w:style>
  <w:style w:type="paragraph" w:styleId="66">
    <w:name w:val="List Continue 3"/>
    <w:basedOn w:val="1"/>
    <w:semiHidden/>
    <w:qFormat/>
    <w:uiPriority w:val="0"/>
    <w:pPr>
      <w:snapToGrid w:val="0"/>
      <w:spacing w:before="120" w:after="120" w:line="460" w:lineRule="exact"/>
      <w:ind w:left="1260" w:leftChars="600"/>
    </w:pPr>
    <w:rPr>
      <w:rFonts w:eastAsia="仿宋_GB2312"/>
      <w:sz w:val="28"/>
      <w:szCs w:val="28"/>
    </w:rPr>
  </w:style>
  <w:style w:type="paragraph" w:styleId="67">
    <w:name w:val="Title"/>
    <w:basedOn w:val="1"/>
    <w:qFormat/>
    <w:uiPriority w:val="0"/>
    <w:pPr>
      <w:snapToGrid w:val="0"/>
      <w:spacing w:before="240" w:after="60" w:line="460" w:lineRule="exact"/>
      <w:jc w:val="center"/>
      <w:outlineLvl w:val="0"/>
    </w:pPr>
    <w:rPr>
      <w:rFonts w:ascii="Arial" w:hAnsi="Arial" w:cs="Arial"/>
      <w:b/>
      <w:bCs/>
      <w:sz w:val="32"/>
      <w:szCs w:val="32"/>
    </w:rPr>
  </w:style>
  <w:style w:type="paragraph" w:styleId="68">
    <w:name w:val="Body Text First Indent"/>
    <w:basedOn w:val="27"/>
    <w:semiHidden/>
    <w:uiPriority w:val="0"/>
    <w:pPr>
      <w:snapToGrid w:val="0"/>
      <w:spacing w:before="120" w:after="120" w:line="460" w:lineRule="exact"/>
      <w:ind w:firstLine="420" w:firstLineChars="100"/>
    </w:pPr>
    <w:rPr>
      <w:rFonts w:ascii="Times New Roman" w:hAnsi="Times New Roman" w:eastAsia="仿宋_GB2312" w:cs="Times New Roman"/>
    </w:rPr>
  </w:style>
  <w:style w:type="paragraph" w:styleId="69">
    <w:name w:val="Body Text First Indent 2"/>
    <w:basedOn w:val="28"/>
    <w:semiHidden/>
    <w:qFormat/>
    <w:uiPriority w:val="0"/>
    <w:pPr>
      <w:snapToGrid w:val="0"/>
      <w:spacing w:before="120" w:after="120" w:line="460" w:lineRule="exact"/>
      <w:ind w:left="420" w:leftChars="200" w:firstLine="420" w:firstLineChars="200"/>
    </w:pPr>
    <w:rPr>
      <w:rFonts w:eastAsia="仿宋_GB2312"/>
      <w:sz w:val="28"/>
      <w:szCs w:val="28"/>
    </w:rPr>
  </w:style>
  <w:style w:type="table" w:styleId="71">
    <w:name w:val="Table Grid"/>
    <w:basedOn w:val="70"/>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72">
    <w:name w:val="Table Theme"/>
    <w:basedOn w:val="70"/>
    <w:semiHidden/>
    <w:uiPriority w:val="0"/>
    <w:pPr>
      <w:widowControl w:val="0"/>
      <w:snapToGrid w:val="0"/>
      <w:spacing w:before="120" w:after="120" w:line="460" w:lineRule="exact"/>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73">
    <w:name w:val="Table Colorful 1"/>
    <w:basedOn w:val="70"/>
    <w:semiHidden/>
    <w:qFormat/>
    <w:uiPriority w:val="0"/>
    <w:pPr>
      <w:widowControl w:val="0"/>
      <w:snapToGrid w:val="0"/>
      <w:spacing w:before="120" w:after="120" w:line="460" w:lineRule="exact"/>
      <w:ind w:firstLine="200" w:firstLineChars="20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CellMar>
        <w:top w:w="0" w:type="dxa"/>
        <w:left w:w="108" w:type="dxa"/>
        <w:bottom w:w="0" w:type="dxa"/>
        <w:right w:w="108" w:type="dxa"/>
      </w:tblCellMar>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74">
    <w:name w:val="Table Colorful 2"/>
    <w:basedOn w:val="70"/>
    <w:semiHidden/>
    <w:uiPriority w:val="0"/>
    <w:pPr>
      <w:widowControl w:val="0"/>
      <w:snapToGrid w:val="0"/>
      <w:spacing w:before="120" w:after="120" w:line="460" w:lineRule="exact"/>
      <w:ind w:firstLine="200" w:firstLineChars="200"/>
      <w:jc w:val="both"/>
    </w:pPr>
    <w:tblPr>
      <w:tblBorders>
        <w:bottom w:val="single" w:color="000000" w:sz="12" w:space="0"/>
      </w:tblBorders>
      <w:tblCellMar>
        <w:top w:w="0" w:type="dxa"/>
        <w:left w:w="108" w:type="dxa"/>
        <w:bottom w:w="0" w:type="dxa"/>
        <w:right w:w="108" w:type="dxa"/>
      </w:tblCellMar>
    </w:tblPr>
    <w:tcPr>
      <w:shd w:val="pct20" w:color="FFFF00" w:fill="FFFFFF"/>
    </w:tcPr>
    <w:tblStylePr w:type="firstRow">
      <w:rPr>
        <w:b/>
        <w:bCs/>
        <w:i/>
        <w:iCs/>
        <w:color w:val="FFFFFF"/>
      </w:rPr>
      <w:tbl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75">
    <w:name w:val="Table Colorful 3"/>
    <w:basedOn w:val="70"/>
    <w:semiHidden/>
    <w:uiPriority w:val="0"/>
    <w:pPr>
      <w:widowControl w:val="0"/>
      <w:snapToGrid w:val="0"/>
      <w:spacing w:before="120" w:after="120" w:line="460" w:lineRule="exact"/>
      <w:ind w:firstLine="200" w:firstLineChars="200"/>
      <w:jc w:val="both"/>
    </w:pPr>
    <w:tblPr>
      <w:tblBorders>
        <w:top w:val="single" w:color="000000" w:sz="18" w:space="0"/>
        <w:left w:val="single" w:color="000000" w:sz="18" w:space="0"/>
        <w:bottom w:val="single" w:color="000000" w:sz="18" w:space="0"/>
        <w:right w:val="single" w:color="000000" w:sz="18" w:space="0"/>
        <w:insideH w:val="single" w:color="C0C0C0" w:sz="6" w:space="0"/>
      </w:tblBorders>
      <w:tblCellMar>
        <w:top w:w="0" w:type="dxa"/>
        <w:left w:w="108" w:type="dxa"/>
        <w:bottom w:w="0" w:type="dxa"/>
        <w:right w:w="108" w:type="dxa"/>
      </w:tblCellMar>
    </w:tblPr>
    <w:tcPr>
      <w:shd w:val="pct25" w:color="008080" w:fill="FFFFFF"/>
    </w:tcPr>
    <w:tblStylePr w:type="firstRow">
      <w:tblPr/>
      <w:tcPr>
        <w:tcBorders>
          <w:top w:val="nil"/>
          <w:left w:val="nil"/>
          <w:bottom w:val="single" w:color="000000" w:sz="6" w:space="0"/>
          <w:right w:val="nil"/>
          <w:insideH w:val="nil"/>
          <w:insideV w:val="nil"/>
          <w:tl2br w:val="nil"/>
          <w:tr2bl w:val="nil"/>
        </w:tcBorders>
        <w:shd w:val="solid" w:color="008080" w:fill="FFFFFF"/>
      </w:tcPr>
    </w:tblStylePr>
    <w:tblStylePr w:type="firstCol">
      <w:tblPr/>
      <w:tcPr>
        <w:tcBorders>
          <w:top w:val="nil"/>
          <w:left w:val="single" w:color="000000" w:sz="36" w:space="0"/>
          <w:bottom w:val="nil"/>
          <w:right w:val="single" w:color="000000" w:sz="6" w:space="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76">
    <w:name w:val="Table Elegant"/>
    <w:basedOn w:val="70"/>
    <w:semiHidden/>
    <w:uiPriority w:val="0"/>
    <w:pPr>
      <w:widowControl w:val="0"/>
      <w:snapToGrid w:val="0"/>
      <w:spacing w:before="120" w:after="120" w:line="460" w:lineRule="exact"/>
      <w:ind w:firstLine="20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blPr/>
      <w:tcPr>
        <w:tcBorders>
          <w:top w:val="nil"/>
          <w:left w:val="nil"/>
          <w:bottom w:val="nil"/>
          <w:right w:val="nil"/>
          <w:insideH w:val="nil"/>
          <w:insideV w:val="nil"/>
          <w:tl2br w:val="nil"/>
          <w:tr2bl w:val="nil"/>
        </w:tcBorders>
      </w:tcPr>
    </w:tblStylePr>
  </w:style>
  <w:style w:type="table" w:styleId="77">
    <w:name w:val="Table Classic 1"/>
    <w:basedOn w:val="70"/>
    <w:semiHidden/>
    <w:qFormat/>
    <w:uiPriority w:val="0"/>
    <w:pPr>
      <w:widowControl w:val="0"/>
      <w:snapToGrid w:val="0"/>
      <w:spacing w:before="120" w:after="120" w:line="460" w:lineRule="exact"/>
      <w:ind w:firstLine="200" w:firstLineChars="200"/>
      <w:jc w:val="both"/>
    </w:pPr>
    <w:tblPr>
      <w:tblBorders>
        <w:top w:val="single" w:color="000000" w:sz="12" w:space="0"/>
        <w:bottom w:val="single" w:color="000000" w:sz="12" w:space="0"/>
      </w:tblBorders>
      <w:tblCellMar>
        <w:top w:w="0" w:type="dxa"/>
        <w:left w:w="108" w:type="dxa"/>
        <w:bottom w:w="0" w:type="dxa"/>
        <w:right w:w="108" w:type="dxa"/>
      </w:tblCellMar>
    </w:tblPr>
    <w:tblStylePr w:type="firstRow">
      <w:rPr>
        <w:i/>
        <w:iCs/>
      </w:rPr>
      <w:tblPr/>
      <w:tcPr>
        <w:tcBorders>
          <w:top w:val="nil"/>
          <w:left w:val="nil"/>
          <w:bottom w:val="single" w:color="000000" w:sz="6" w:space="0"/>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78">
    <w:name w:val="Table Classic 2"/>
    <w:basedOn w:val="70"/>
    <w:semiHidden/>
    <w:uiPriority w:val="0"/>
    <w:pPr>
      <w:widowControl w:val="0"/>
      <w:snapToGrid w:val="0"/>
      <w:spacing w:before="120" w:after="120" w:line="460" w:lineRule="exact"/>
      <w:ind w:firstLine="200" w:firstLineChars="200"/>
      <w:jc w:val="both"/>
    </w:pPr>
    <w:tblPr>
      <w:tblBorders>
        <w:top w:val="single" w:color="000000" w:sz="12" w:space="0"/>
        <w:bottom w:val="single" w:color="000000" w:sz="12" w:space="0"/>
      </w:tblBorders>
      <w:tblCellMar>
        <w:top w:w="0" w:type="dxa"/>
        <w:left w:w="108" w:type="dxa"/>
        <w:bottom w:w="0" w:type="dxa"/>
        <w:right w:w="108" w:type="dxa"/>
      </w:tblCellMar>
    </w:tblPr>
    <w:tblStylePr w:type="firstRow">
      <w:rPr>
        <w:color w:val="FFFFFF"/>
      </w:rPr>
      <w:tblPr/>
      <w:tcPr>
        <w:tcBorders>
          <w:top w:val="nil"/>
          <w:left w:val="nil"/>
          <w:bottom w:val="single" w:color="000000" w:sz="6" w:space="0"/>
          <w:right w:val="nil"/>
          <w:insideH w:val="nil"/>
          <w:insideV w:val="nil"/>
          <w:tl2br w:val="nil"/>
          <w:tr2bl w:val="nil"/>
        </w:tcBorders>
        <w:shd w:val="solid" w:color="800080" w:fill="FFFFFF"/>
      </w:tcPr>
    </w:tblStylePr>
    <w:tblStylePr w:type="lastRow">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79">
    <w:name w:val="Table Classic 3"/>
    <w:basedOn w:val="70"/>
    <w:semiHidden/>
    <w:uiPriority w:val="0"/>
    <w:pPr>
      <w:widowControl w:val="0"/>
      <w:snapToGrid w:val="0"/>
      <w:spacing w:before="120" w:after="120" w:line="460" w:lineRule="exact"/>
      <w:ind w:firstLine="200" w:firstLineChars="200"/>
      <w:jc w:val="both"/>
    </w:pPr>
    <w:rPr>
      <w:color w:val="000080"/>
    </w:r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solid" w:color="C0C0C0" w:fill="FFFFFF"/>
    </w:tcPr>
    <w:tblStylePr w:type="firstRow">
      <w:rPr>
        <w:b/>
        <w:bCs/>
        <w:i/>
        <w:iCs/>
        <w:color w:val="FFFFFF"/>
      </w:rPr>
      <w:tblPr/>
      <w:tcPr>
        <w:tcBorders>
          <w:top w:val="nil"/>
          <w:left w:val="nil"/>
          <w:bottom w:val="single" w:color="000000" w:sz="6" w:space="0"/>
          <w:right w:val="nil"/>
          <w:insideH w:val="nil"/>
          <w:insideV w:val="nil"/>
          <w:tl2br w:val="nil"/>
          <w:tr2bl w:val="nil"/>
        </w:tcBorders>
        <w:shd w:val="solid" w:color="000080" w:fill="FFFFFF"/>
      </w:tcPr>
    </w:tblStylePr>
    <w:tblStylePr w:type="lastRow">
      <w:rPr>
        <w:color w:val="000080"/>
      </w:rPr>
      <w:tblPr/>
      <w:tcPr>
        <w:tcBorders>
          <w:top w:val="single" w:color="000000" w:sz="12" w:space="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80">
    <w:name w:val="Table Classic 4"/>
    <w:basedOn w:val="70"/>
    <w:semiHidden/>
    <w:uiPriority w:val="0"/>
    <w:pPr>
      <w:widowControl w:val="0"/>
      <w:snapToGrid w:val="0"/>
      <w:spacing w:before="120" w:after="120" w:line="460" w:lineRule="exact"/>
      <w:ind w:firstLine="200" w:firstLineChars="200"/>
      <w:jc w:val="both"/>
    </w:pPr>
    <w:tblPr>
      <w:tblBorders>
        <w:top w:val="single" w:color="000000" w:sz="12" w:space="0"/>
        <w:left w:val="single" w:color="000000" w:sz="6" w:space="0"/>
        <w:bottom w:val="single" w:color="000000" w:sz="12" w:space="0"/>
        <w:right w:val="single" w:color="000000" w:sz="6" w:space="0"/>
      </w:tblBorders>
      <w:tblCellMar>
        <w:top w:w="0" w:type="dxa"/>
        <w:left w:w="108" w:type="dxa"/>
        <w:bottom w:w="0" w:type="dxa"/>
        <w:right w:w="108" w:type="dxa"/>
      </w:tblCellMar>
    </w:tblPr>
    <w:tblStylePr w:type="firstRow">
      <w:rPr>
        <w:b/>
        <w:bCs/>
        <w:i/>
        <w:iCs/>
        <w:color w:val="FFFFFF"/>
      </w:rPr>
      <w:tblPr/>
      <w:tcPr>
        <w:tcBorders>
          <w:top w:val="nil"/>
          <w:left w:val="nil"/>
          <w:bottom w:val="single" w:color="000000" w:sz="6" w:space="0"/>
          <w:right w:val="nil"/>
          <w:insideH w:val="nil"/>
          <w:insideV w:val="nil"/>
          <w:tl2br w:val="nil"/>
          <w:tr2bl w:val="nil"/>
        </w:tcBorders>
        <w:shd w:val="pct50" w:color="000080" w:fill="FFFFFF"/>
      </w:tcPr>
    </w:tblStylePr>
    <w:tblStylePr w:type="lastRow">
      <w:rPr>
        <w:color w:val="000080"/>
      </w:rPr>
      <w:tblPr/>
      <w:tcPr>
        <w:tcBorders>
          <w:top w:val="nil"/>
          <w:left w:val="nil"/>
          <w:bottom w:val="single" w:color="000000" w:sz="6" w:space="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81">
    <w:name w:val="Table Simple 1"/>
    <w:basedOn w:val="70"/>
    <w:semiHidden/>
    <w:uiPriority w:val="0"/>
    <w:pPr>
      <w:widowControl w:val="0"/>
      <w:snapToGrid w:val="0"/>
      <w:spacing w:before="120" w:after="120" w:line="460" w:lineRule="exact"/>
      <w:ind w:firstLine="200" w:firstLineChars="200"/>
      <w:jc w:val="both"/>
    </w:pPr>
    <w:tblPr>
      <w:tblBorders>
        <w:top w:val="single" w:color="008000" w:sz="12" w:space="0"/>
        <w:bottom w:val="single" w:color="008000" w:sz="12" w:space="0"/>
      </w:tblBorders>
      <w:tblCellMar>
        <w:top w:w="0" w:type="dxa"/>
        <w:left w:w="108" w:type="dxa"/>
        <w:bottom w:w="0" w:type="dxa"/>
        <w:right w:w="108" w:type="dxa"/>
      </w:tblCellMar>
    </w:tblPr>
    <w:tblStylePr w:type="firstRow">
      <w:tblPr/>
      <w:tcPr>
        <w:tcBorders>
          <w:top w:val="nil"/>
          <w:left w:val="nil"/>
          <w:bottom w:val="single" w:color="008000" w:sz="6" w:space="0"/>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table" w:styleId="82">
    <w:name w:val="Table Simple 2"/>
    <w:basedOn w:val="70"/>
    <w:semiHidden/>
    <w:uiPriority w:val="0"/>
    <w:pPr>
      <w:widowControl w:val="0"/>
      <w:snapToGrid w:val="0"/>
      <w:spacing w:before="120" w:after="120" w:line="460" w:lineRule="exact"/>
      <w:ind w:firstLine="200" w:firstLineChars="200"/>
      <w:jc w:val="both"/>
    </w:pPr>
    <w:tblPr>
      <w:tblCellMar>
        <w:top w:w="0" w:type="dxa"/>
        <w:left w:w="108" w:type="dxa"/>
        <w:bottom w:w="0" w:type="dxa"/>
        <w:right w:w="108" w:type="dxa"/>
      </w:tblCellMar>
    </w:tblPr>
    <w:tblStylePr w:type="firstRow">
      <w:rPr>
        <w:b/>
        <w:bCs/>
      </w:rPr>
      <w:tblPr/>
      <w:tcPr>
        <w:tcBorders>
          <w:top w:val="nil"/>
          <w:left w:val="nil"/>
          <w:bottom w:val="single" w:color="000000" w:sz="12" w:space="0"/>
          <w:right w:val="nil"/>
          <w:insideH w:val="nil"/>
          <w:insideV w:val="nil"/>
          <w:tl2br w:val="nil"/>
          <w:tr2bl w:val="nil"/>
        </w:tcBorders>
      </w:tcPr>
    </w:tblStylePr>
    <w:tblStylePr w:type="lastRow">
      <w:rPr>
        <w:b/>
        <w:bCs/>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000000" w:sz="12" w:space="0"/>
          <w:insideH w:val="nil"/>
          <w:insideV w:val="nil"/>
          <w:tl2br w:val="nil"/>
          <w:tr2bl w:val="nil"/>
        </w:tcBorders>
      </w:tcPr>
    </w:tblStylePr>
    <w:tblStylePr w:type="lastCol">
      <w:rPr>
        <w:b/>
        <w:bCs/>
      </w:rPr>
      <w:tblPr/>
      <w:tcPr>
        <w:tcBorders>
          <w:top w:val="nil"/>
          <w:left w:val="single" w:color="000000" w:sz="6" w:space="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83">
    <w:name w:val="Table Simple 3"/>
    <w:basedOn w:val="70"/>
    <w:semiHidden/>
    <w:qFormat/>
    <w:uiPriority w:val="0"/>
    <w:pPr>
      <w:widowControl w:val="0"/>
      <w:snapToGrid w:val="0"/>
      <w:spacing w:before="120" w:after="120" w:line="460" w:lineRule="exact"/>
      <w:ind w:firstLine="200" w:firstLineChars="200"/>
      <w:jc w:val="both"/>
    </w:p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84">
    <w:name w:val="Table Subtle 1"/>
    <w:basedOn w:val="70"/>
    <w:semiHidden/>
    <w:uiPriority w:val="0"/>
    <w:pPr>
      <w:widowControl w:val="0"/>
      <w:snapToGrid w:val="0"/>
      <w:spacing w:before="120" w:after="120" w:line="460" w:lineRule="exact"/>
      <w:ind w:firstLine="200" w:firstLineChars="200"/>
      <w:jc w:val="both"/>
    </w:pPr>
    <w:tblPr>
      <w:tblCellMar>
        <w:top w:w="0" w:type="dxa"/>
        <w:left w:w="108" w:type="dxa"/>
        <w:bottom w:w="0" w:type="dxa"/>
        <w:right w:w="108" w:type="dxa"/>
      </w:tblCellMar>
    </w:tblPr>
    <w:tblStylePr w:type="firstRow">
      <w:tblPr/>
      <w:tcPr>
        <w:tcBorders>
          <w:top w:val="single" w:color="000000" w:sz="6" w:space="0"/>
          <w:left w:val="nil"/>
          <w:bottom w:val="single" w:color="000000" w:sz="12" w:space="0"/>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color="000000" w:sz="12" w:space="0"/>
          <w:insideH w:val="nil"/>
          <w:insideV w:val="nil"/>
          <w:tl2br w:val="nil"/>
          <w:tr2bl w:val="nil"/>
        </w:tcBorders>
      </w:tcPr>
    </w:tblStylePr>
    <w:tblStylePr w:type="lastCol">
      <w:tblPr/>
      <w:tcPr>
        <w:tcBorders>
          <w:top w:val="nil"/>
          <w:left w:val="single" w:color="000000" w:sz="12" w:space="0"/>
          <w:bottom w:val="nil"/>
          <w:right w:val="nil"/>
          <w:insideH w:val="nil"/>
          <w:insideV w:val="nil"/>
          <w:tl2br w:val="nil"/>
          <w:tr2bl w:val="nil"/>
        </w:tcBorders>
      </w:tcPr>
    </w:tblStylePr>
    <w:tblStylePr w:type="band1Horz">
      <w:tblPr/>
      <w:tcPr>
        <w:tcBorders>
          <w:top w:val="nil"/>
          <w:left w:val="nil"/>
          <w:bottom w:val="single" w:color="000000" w:sz="6" w:space="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85">
    <w:name w:val="Table Subtle 2"/>
    <w:basedOn w:val="70"/>
    <w:semiHidden/>
    <w:uiPriority w:val="0"/>
    <w:pPr>
      <w:widowControl w:val="0"/>
      <w:snapToGrid w:val="0"/>
      <w:spacing w:before="120" w:after="120" w:line="460" w:lineRule="exact"/>
      <w:ind w:firstLine="200" w:firstLineChars="200"/>
      <w:jc w:val="both"/>
    </w:pPr>
    <w:tblPr>
      <w:tblBorders>
        <w:left w:val="single" w:color="000000" w:sz="6" w:space="0"/>
        <w:right w:val="single" w:color="000000" w:sz="6" w:space="0"/>
      </w:tblBorders>
      <w:tblCellMar>
        <w:top w:w="0" w:type="dxa"/>
        <w:left w:w="108" w:type="dxa"/>
        <w:bottom w:w="0" w:type="dxa"/>
        <w:right w:w="108" w:type="dxa"/>
      </w:tblCellMar>
    </w:tblPr>
    <w:tblStylePr w:type="firstRow">
      <w:tblPr/>
      <w:tcPr>
        <w:tcBorders>
          <w:top w:val="nil"/>
          <w:left w:val="nil"/>
          <w:bottom w:val="single" w:color="000000" w:sz="12" w:space="0"/>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firstCol">
      <w:tblPr/>
      <w:tcPr>
        <w:tcBorders>
          <w:top w:val="nil"/>
          <w:left w:val="nil"/>
          <w:bottom w:val="nil"/>
          <w:right w:val="single" w:color="000000" w:sz="12" w:space="0"/>
          <w:insideH w:val="nil"/>
          <w:insideV w:val="nil"/>
          <w:tl2br w:val="nil"/>
          <w:tr2bl w:val="nil"/>
        </w:tcBorders>
        <w:shd w:val="pct25" w:color="008000" w:fill="FFFFFF"/>
      </w:tcPr>
    </w:tblStylePr>
    <w:tblStylePr w:type="lastCol">
      <w:tblPr/>
      <w:tcPr>
        <w:tcBorders>
          <w:top w:val="nil"/>
          <w:left w:val="single" w:color="000000" w:sz="12" w:space="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86">
    <w:name w:val="Table 3D effects 1"/>
    <w:basedOn w:val="70"/>
    <w:semiHidden/>
    <w:uiPriority w:val="0"/>
    <w:pPr>
      <w:widowControl w:val="0"/>
      <w:snapToGrid w:val="0"/>
      <w:spacing w:before="120" w:after="120" w:line="460" w:lineRule="exact"/>
      <w:ind w:firstLine="200" w:firstLineChars="200"/>
      <w:jc w:val="both"/>
    </w:pPr>
    <w:tblPr>
      <w:tblCellMar>
        <w:top w:w="0" w:type="dxa"/>
        <w:left w:w="108" w:type="dxa"/>
        <w:bottom w:w="0" w:type="dxa"/>
        <w:right w:w="108" w:type="dxa"/>
      </w:tblCellMar>
    </w:tblPr>
    <w:tcPr>
      <w:shd w:val="solid" w:color="C0C0C0" w:fill="FFFFFF"/>
    </w:tcPr>
    <w:tblStylePr w:type="firstRow">
      <w:rPr>
        <w:b/>
        <w:bCs/>
        <w:color w:val="800080"/>
      </w:rPr>
      <w:tblPr/>
      <w:tcPr>
        <w:tcBorders>
          <w:top w:val="nil"/>
          <w:left w:val="nil"/>
          <w:bottom w:val="single" w:color="808080" w:sz="6" w:space="0"/>
          <w:right w:val="nil"/>
          <w:insideH w:val="nil"/>
          <w:insideV w:val="nil"/>
          <w:tl2br w:val="nil"/>
          <w:tr2bl w:val="nil"/>
        </w:tcBorders>
      </w:tcPr>
    </w:tblStylePr>
    <w:tblStylePr w:type="lastRow">
      <w:tblPr/>
      <w:tcPr>
        <w:tcBorders>
          <w:top w:val="single" w:color="FFFFFF"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808080" w:sz="6" w:space="0"/>
          <w:insideH w:val="nil"/>
          <w:insideV w:val="nil"/>
          <w:tl2br w:val="nil"/>
          <w:tr2bl w:val="nil"/>
        </w:tcBorders>
      </w:tcPr>
    </w:tblStylePr>
    <w:tblStylePr w:type="lastCol">
      <w:tblPr/>
      <w:tcPr>
        <w:tcBorders>
          <w:top w:val="nil"/>
          <w:left w:val="single" w:color="FFFFFF" w:sz="6" w:space="0"/>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87">
    <w:name w:val="Table 3D effects 2"/>
    <w:basedOn w:val="70"/>
    <w:semiHidden/>
    <w:uiPriority w:val="0"/>
    <w:pPr>
      <w:widowControl w:val="0"/>
      <w:snapToGrid w:val="0"/>
      <w:spacing w:before="120" w:after="120" w:line="460" w:lineRule="exact"/>
      <w:ind w:firstLine="200" w:firstLineChars="200"/>
      <w:jc w:val="both"/>
    </w:pPr>
    <w:tblPr>
      <w:tblCellMar>
        <w:top w:w="0" w:type="dxa"/>
        <w:left w:w="108" w:type="dxa"/>
        <w:bottom w:w="0" w:type="dxa"/>
        <w:right w:w="108" w:type="dxa"/>
      </w:tblCellMar>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Horz">
      <w:tblPr/>
      <w:tcPr>
        <w:tcBorders>
          <w:top w:val="single" w:color="808080" w:sz="6" w:space="0"/>
          <w:left w:val="nil"/>
          <w:bottom w:val="single" w:color="FFFFFF" w:sz="6" w:space="0"/>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88">
    <w:name w:val="Table 3D effects 3"/>
    <w:basedOn w:val="70"/>
    <w:semiHidden/>
    <w:uiPriority w:val="0"/>
    <w:pPr>
      <w:widowControl w:val="0"/>
      <w:snapToGrid w:val="0"/>
      <w:spacing w:before="120" w:after="120" w:line="460" w:lineRule="exact"/>
      <w:ind w:firstLine="200" w:firstLineChars="200"/>
      <w:jc w:val="both"/>
    </w:pPr>
    <w:tblPr>
      <w:tblCellMar>
        <w:top w:w="0" w:type="dxa"/>
        <w:left w:w="108" w:type="dxa"/>
        <w:bottom w:w="0" w:type="dxa"/>
        <w:right w:w="108" w:type="dxa"/>
      </w:tblCellMar>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left w:val="nil"/>
          <w:bottom w:val="single" w:color="FFFFFF" w:sz="6" w:space="0"/>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89">
    <w:name w:val="Table List 1"/>
    <w:basedOn w:val="70"/>
    <w:semiHidden/>
    <w:qFormat/>
    <w:uiPriority w:val="0"/>
    <w:pPr>
      <w:widowControl w:val="0"/>
      <w:snapToGrid w:val="0"/>
      <w:spacing w:before="120" w:after="120" w:line="460" w:lineRule="exact"/>
      <w:ind w:firstLine="200" w:firstLineChars="200"/>
      <w:jc w:val="both"/>
    </w:pPr>
    <w:tblPr>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tblStylePr w:type="firstRow">
      <w:rPr>
        <w:b/>
        <w:bCs/>
        <w:i/>
        <w:iCs/>
        <w:color w:val="800000"/>
      </w:rPr>
      <w:tblPr/>
      <w:tcPr>
        <w:tcBorders>
          <w:top w:val="nil"/>
          <w:left w:val="nil"/>
          <w:bottom w:val="single" w:color="000000" w:sz="6" w:space="0"/>
          <w:right w:val="nil"/>
          <w:insideH w:val="nil"/>
          <w:insideV w:val="nil"/>
          <w:tl2br w:val="nil"/>
          <w:tr2bl w:val="nil"/>
        </w:tcBorders>
        <w:shd w:val="solid" w:color="C0C0C0" w:fill="FFFFFF"/>
      </w:tcPr>
    </w:tblStylePr>
    <w:tblStylePr w:type="lastRow">
      <w:tblPr/>
      <w:tcPr>
        <w:tcBorders>
          <w:top w:val="single" w:color="000000" w:sz="6" w:space="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90">
    <w:name w:val="Table List 2"/>
    <w:basedOn w:val="70"/>
    <w:semiHidden/>
    <w:uiPriority w:val="0"/>
    <w:pPr>
      <w:widowControl w:val="0"/>
      <w:snapToGrid w:val="0"/>
      <w:spacing w:before="120" w:after="120" w:line="460" w:lineRule="exact"/>
      <w:ind w:firstLine="200" w:firstLineChars="200"/>
      <w:jc w:val="both"/>
    </w:pPr>
    <w:tblPr>
      <w:tblBorders>
        <w:bottom w:val="single" w:color="808080" w:sz="12" w:space="0"/>
      </w:tblBorders>
      <w:tblCellMar>
        <w:top w:w="0" w:type="dxa"/>
        <w:left w:w="108" w:type="dxa"/>
        <w:bottom w:w="0" w:type="dxa"/>
        <w:right w:w="108" w:type="dxa"/>
      </w:tblCellMar>
    </w:tblPr>
    <w:tblStylePr w:type="firstRow">
      <w:rPr>
        <w:b/>
        <w:bCs/>
        <w:color w:val="FFFFFF"/>
      </w:rPr>
      <w:tblPr/>
      <w:tcPr>
        <w:tcBorders>
          <w:top w:val="nil"/>
          <w:left w:val="nil"/>
          <w:bottom w:val="single" w:color="000000" w:sz="6" w:space="0"/>
          <w:right w:val="nil"/>
          <w:insideH w:val="nil"/>
          <w:insideV w:val="nil"/>
          <w:tl2br w:val="nil"/>
          <w:tr2bl w:val="nil"/>
        </w:tcBorders>
        <w:shd w:val="pct75" w:color="008080" w:fill="008000"/>
      </w:tcPr>
    </w:tblStylePr>
    <w:tblStylePr w:type="lastRow">
      <w:tblPr/>
      <w:tcPr>
        <w:tcBorders>
          <w:top w:val="single" w:color="000000" w:sz="6" w:space="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91">
    <w:name w:val="Table List 3"/>
    <w:basedOn w:val="70"/>
    <w:semiHidden/>
    <w:uiPriority w:val="0"/>
    <w:pPr>
      <w:widowControl w:val="0"/>
      <w:snapToGrid w:val="0"/>
      <w:spacing w:before="120" w:after="120" w:line="460" w:lineRule="exact"/>
      <w:ind w:firstLine="200" w:firstLineChars="200"/>
      <w:jc w:val="both"/>
    </w:pPr>
    <w:tblPr>
      <w:tblBorders>
        <w:top w:val="single" w:color="000000" w:sz="12" w:space="0"/>
        <w:bottom w:val="single" w:color="000000" w:sz="12" w:space="0"/>
        <w:insideH w:val="single" w:color="000000" w:sz="6" w:space="0"/>
      </w:tblBorders>
      <w:tblCellMar>
        <w:top w:w="0" w:type="dxa"/>
        <w:left w:w="108" w:type="dxa"/>
        <w:bottom w:w="0" w:type="dxa"/>
        <w:right w:w="108" w:type="dxa"/>
      </w:tblCellMar>
    </w:tblPr>
    <w:tblStylePr w:type="firstRow">
      <w:rPr>
        <w:b/>
        <w:bCs/>
        <w:color w:val="000080"/>
      </w:rPr>
      <w:tblPr/>
      <w:tcPr>
        <w:tcBorders>
          <w:top w:val="nil"/>
          <w:left w:val="nil"/>
          <w:bottom w:val="single" w:color="000000" w:sz="12" w:space="0"/>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92">
    <w:name w:val="Table List 4"/>
    <w:basedOn w:val="70"/>
    <w:semiHidden/>
    <w:uiPriority w:val="0"/>
    <w:pPr>
      <w:widowControl w:val="0"/>
      <w:snapToGrid w:val="0"/>
      <w:spacing w:before="120" w:after="120" w:line="460" w:lineRule="exact"/>
      <w:ind w:firstLine="20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tblBorders>
      <w:tblCellMar>
        <w:top w:w="0" w:type="dxa"/>
        <w:left w:w="108" w:type="dxa"/>
        <w:bottom w:w="0" w:type="dxa"/>
        <w:right w:w="108" w:type="dxa"/>
      </w:tblCellMar>
    </w:tblPr>
    <w:tblStylePr w:type="firstRow">
      <w:rPr>
        <w:b/>
        <w:bCs/>
        <w:color w:val="FFFFFF"/>
      </w:rPr>
      <w:tblPr/>
      <w:tcPr>
        <w:tcBorders>
          <w:top w:val="nil"/>
          <w:left w:val="nil"/>
          <w:bottom w:val="single" w:color="000000" w:sz="12" w:space="0"/>
          <w:right w:val="nil"/>
          <w:insideH w:val="nil"/>
          <w:insideV w:val="nil"/>
          <w:tl2br w:val="nil"/>
          <w:tr2bl w:val="nil"/>
        </w:tcBorders>
        <w:shd w:val="solid" w:color="808080" w:fill="FFFFFF"/>
      </w:tcPr>
    </w:tblStylePr>
  </w:style>
  <w:style w:type="table" w:styleId="93">
    <w:name w:val="Table List 5"/>
    <w:basedOn w:val="70"/>
    <w:semiHidden/>
    <w:uiPriority w:val="0"/>
    <w:pPr>
      <w:widowControl w:val="0"/>
      <w:snapToGrid w:val="0"/>
      <w:spacing w:before="120" w:after="120" w:line="460" w:lineRule="exact"/>
      <w:ind w:firstLine="200" w:firstLineChars="200"/>
      <w:jc w:val="both"/>
    </w:pPr>
    <w:tblPr>
      <w:tblBorders>
        <w:top w:val="single" w:color="000000" w:sz="6" w:space="0"/>
        <w:left w:val="single" w:color="000000" w:sz="6" w:space="0"/>
        <w:bottom w:val="single" w:color="000000" w:sz="6" w:space="0"/>
        <w:right w:val="single" w:color="000000" w:sz="6" w:space="0"/>
        <w:insideH w:val="single" w:color="000000" w:sz="6" w:space="0"/>
      </w:tblBorders>
      <w:tblCellMar>
        <w:top w:w="0" w:type="dxa"/>
        <w:left w:w="108" w:type="dxa"/>
        <w:bottom w:w="0" w:type="dxa"/>
        <w:right w:w="108" w:type="dxa"/>
      </w:tblCellMar>
    </w:tblPr>
    <w:tblStylePr w:type="firstRow">
      <w:rPr>
        <w:b/>
        <w:bCs/>
      </w:rPr>
      <w:tblPr/>
      <w:tcPr>
        <w:tcBorders>
          <w:top w:val="nil"/>
          <w:left w:val="nil"/>
          <w:bottom w:val="single" w:color="000000" w:sz="12" w:space="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styleId="94">
    <w:name w:val="Table List 6"/>
    <w:basedOn w:val="70"/>
    <w:semiHidden/>
    <w:uiPriority w:val="0"/>
    <w:pPr>
      <w:widowControl w:val="0"/>
      <w:snapToGrid w:val="0"/>
      <w:spacing w:before="120" w:after="120" w:line="460" w:lineRule="exact"/>
      <w:ind w:firstLine="200" w:firstLineChars="200"/>
      <w:jc w:val="both"/>
    </w:pPr>
    <w:tblPr>
      <w:tblBorders>
        <w:top w:val="single" w:color="000000" w:sz="6" w:space="0"/>
        <w:left w:val="single" w:color="000000" w:sz="6" w:space="0"/>
        <w:bottom w:val="single" w:color="000000" w:sz="6" w:space="0"/>
        <w:right w:val="single" w:color="000000" w:sz="6" w:space="0"/>
      </w:tblBorders>
      <w:tblCellMar>
        <w:top w:w="0" w:type="dxa"/>
        <w:left w:w="108" w:type="dxa"/>
        <w:bottom w:w="0" w:type="dxa"/>
        <w:right w:w="108" w:type="dxa"/>
      </w:tblCellMar>
    </w:tblPr>
    <w:tcPr>
      <w:shd w:val="pct50" w:color="000000" w:fill="FFFFFF"/>
    </w:tcPr>
    <w:tblStylePr w:type="firstRow">
      <w:rPr>
        <w:b/>
        <w:bCs/>
      </w:rPr>
      <w:tblPr/>
      <w:tcPr>
        <w:tcBorders>
          <w:top w:val="nil"/>
          <w:left w:val="nil"/>
          <w:bottom w:val="single" w:color="000000" w:sz="12" w:space="0"/>
          <w:right w:val="nil"/>
          <w:insideH w:val="nil"/>
          <w:insideV w:val="nil"/>
          <w:tl2br w:val="nil"/>
          <w:tr2bl w:val="nil"/>
        </w:tcBorders>
      </w:tcPr>
    </w:tblStylePr>
    <w:tblStylePr w:type="firstCol">
      <w:rPr>
        <w:b/>
        <w:bCs/>
      </w:rPr>
      <w:tblPr/>
      <w:tcPr>
        <w:tcBorders>
          <w:top w:val="nil"/>
          <w:left w:val="nil"/>
          <w:bottom w:val="nil"/>
          <w:right w:val="single" w:color="000000" w:sz="12" w:space="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95">
    <w:name w:val="Table List 7"/>
    <w:basedOn w:val="70"/>
    <w:semiHidden/>
    <w:uiPriority w:val="0"/>
    <w:pPr>
      <w:widowControl w:val="0"/>
      <w:snapToGrid w:val="0"/>
      <w:spacing w:before="120" w:after="120" w:line="460" w:lineRule="exact"/>
      <w:ind w:firstLine="20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bl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blPr/>
      <w:tcPr>
        <w:tcBorders>
          <w:top w:val="single" w:color="008000" w:sz="12"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96">
    <w:name w:val="Table List 8"/>
    <w:basedOn w:val="70"/>
    <w:semiHidden/>
    <w:uiPriority w:val="0"/>
    <w:pPr>
      <w:widowControl w:val="0"/>
      <w:snapToGrid w:val="0"/>
      <w:spacing w:before="120" w:after="120" w:line="460" w:lineRule="exact"/>
      <w:ind w:firstLine="200" w:firstLineChars="200"/>
      <w:jc w:val="both"/>
    </w:pPr>
    <w:tblPr>
      <w:tblBorders>
        <w:top w:val="single" w:color="000000" w:sz="6" w:space="0"/>
        <w:left w:val="single" w:color="000000" w:sz="6" w:space="0"/>
        <w:bottom w:val="single" w:color="000000" w:sz="6" w:space="0"/>
        <w:right w:val="single" w:color="000000" w:sz="6" w:space="0"/>
        <w:insideV w:val="single" w:color="000000" w:sz="6" w:space="0"/>
      </w:tblBorders>
      <w:tblCellMar>
        <w:top w:w="0" w:type="dxa"/>
        <w:left w:w="108" w:type="dxa"/>
        <w:bottom w:w="0" w:type="dxa"/>
        <w:right w:w="108" w:type="dxa"/>
      </w:tblCellMar>
    </w:tblPr>
    <w:tblStylePr w:type="firstRow">
      <w:rPr>
        <w:b/>
        <w:bCs/>
        <w:i/>
        <w:iCs/>
      </w:rPr>
      <w:tblPr/>
      <w:tcPr>
        <w:tcBorders>
          <w:top w:val="nil"/>
          <w:left w:val="nil"/>
          <w:bottom w:val="single" w:color="000000" w:sz="6" w:space="0"/>
          <w:right w:val="nil"/>
          <w:insideH w:val="nil"/>
          <w:insideV w:val="nil"/>
          <w:tl2br w:val="nil"/>
          <w:tr2bl w:val="nil"/>
        </w:tcBorders>
        <w:shd w:val="solid" w:color="FFFF00" w:fill="FFFFFF"/>
      </w:tcPr>
    </w:tblStylePr>
    <w:tblStylePr w:type="lastRow">
      <w:rPr>
        <w:b/>
        <w:bCs/>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color="auto" w:sz="6" w:space="0"/>
          <w:tr2bl w:val="nil"/>
        </w:tcBorders>
      </w:tcPr>
    </w:tblStylePr>
  </w:style>
  <w:style w:type="table" w:styleId="97">
    <w:name w:val="Table Contemporary"/>
    <w:basedOn w:val="70"/>
    <w:semiHidden/>
    <w:uiPriority w:val="0"/>
    <w:pPr>
      <w:widowControl w:val="0"/>
      <w:snapToGrid w:val="0"/>
      <w:spacing w:before="120" w:after="120" w:line="460" w:lineRule="exact"/>
      <w:ind w:firstLine="20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98">
    <w:name w:val="Table Columns 1"/>
    <w:basedOn w:val="70"/>
    <w:semiHidden/>
    <w:uiPriority w:val="0"/>
    <w:pPr>
      <w:widowControl w:val="0"/>
      <w:snapToGrid w:val="0"/>
      <w:spacing w:before="120" w:after="120" w:line="460" w:lineRule="exact"/>
      <w:ind w:firstLine="200" w:firstLineChars="200"/>
      <w:jc w:val="both"/>
    </w:pPr>
    <w:rPr>
      <w:b/>
      <w:bCs/>
    </w:r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blStylePr w:type="firstRow">
      <w:rPr>
        <w:b w:val="0"/>
        <w:bCs w:val="0"/>
      </w:rPr>
      <w:tblPr/>
      <w:tcPr>
        <w:tcBorders>
          <w:top w:val="nil"/>
          <w:left w:val="nil"/>
          <w:bottom w:val="double" w:color="000000" w:sz="6" w:space="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99">
    <w:name w:val="Table Columns 2"/>
    <w:basedOn w:val="70"/>
    <w:semiHidden/>
    <w:uiPriority w:val="0"/>
    <w:pPr>
      <w:widowControl w:val="0"/>
      <w:snapToGrid w:val="0"/>
      <w:spacing w:before="120" w:after="120" w:line="460" w:lineRule="exact"/>
      <w:ind w:firstLine="200" w:firstLineChars="200"/>
      <w:jc w:val="both"/>
    </w:pPr>
    <w:rPr>
      <w:b/>
      <w:bCs/>
    </w:rPr>
    <w:tblPr>
      <w:tblCellMar>
        <w:top w:w="0" w:type="dxa"/>
        <w:left w:w="108" w:type="dxa"/>
        <w:bottom w:w="0" w:type="dxa"/>
        <w:right w:w="108" w:type="dxa"/>
      </w:tblCellMar>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0">
    <w:name w:val="Table Columns 3"/>
    <w:basedOn w:val="70"/>
    <w:semiHidden/>
    <w:uiPriority w:val="0"/>
    <w:pPr>
      <w:widowControl w:val="0"/>
      <w:snapToGrid w:val="0"/>
      <w:spacing w:before="120" w:after="120" w:line="460" w:lineRule="exact"/>
      <w:ind w:firstLine="200" w:firstLineChars="200"/>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color="00008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styleId="101">
    <w:name w:val="Table Columns 4"/>
    <w:basedOn w:val="70"/>
    <w:semiHidden/>
    <w:uiPriority w:val="0"/>
    <w:pPr>
      <w:widowControl w:val="0"/>
      <w:snapToGrid w:val="0"/>
      <w:spacing w:before="120" w:after="120" w:line="460" w:lineRule="exact"/>
      <w:ind w:firstLine="200" w:firstLineChars="200"/>
      <w:jc w:val="both"/>
    </w:pPr>
    <w:tblPr>
      <w:tblCellMar>
        <w:top w:w="0" w:type="dxa"/>
        <w:left w:w="108" w:type="dxa"/>
        <w:bottom w:w="0" w:type="dxa"/>
        <w:right w:w="108" w:type="dxa"/>
      </w:tblCellMar>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02">
    <w:name w:val="Table Columns 5"/>
    <w:basedOn w:val="70"/>
    <w:semiHidden/>
    <w:uiPriority w:val="0"/>
    <w:pPr>
      <w:widowControl w:val="0"/>
      <w:snapToGrid w:val="0"/>
      <w:spacing w:before="120" w:after="120" w:line="460" w:lineRule="exact"/>
      <w:ind w:firstLine="200" w:firstLineChars="200"/>
      <w:jc w:val="both"/>
    </w:pPr>
    <w:tblPr>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tblStylePr w:type="firstRow">
      <w:rPr>
        <w:b/>
        <w:bCs/>
        <w:i/>
        <w:iCs/>
      </w:rPr>
      <w:tblPr/>
      <w:tcPr>
        <w:tcBorders>
          <w:top w:val="nil"/>
          <w:left w:val="nil"/>
          <w:bottom w:val="single" w:color="808080" w:sz="6" w:space="0"/>
          <w:right w:val="nil"/>
          <w:insideH w:val="nil"/>
          <w:insideV w:val="nil"/>
          <w:tl2br w:val="nil"/>
          <w:tr2bl w:val="nil"/>
        </w:tcBorders>
      </w:tcPr>
    </w:tblStylePr>
    <w:tblStylePr w:type="lastRow">
      <w:rPr>
        <w:b/>
        <w:bCs/>
      </w:rPr>
      <w:tblPr/>
      <w:tcPr>
        <w:tcBorders>
          <w:top w:val="single" w:color="80808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03">
    <w:name w:val="Table Grid 1"/>
    <w:basedOn w:val="70"/>
    <w:semiHidden/>
    <w:uiPriority w:val="0"/>
    <w:pPr>
      <w:widowControl w:val="0"/>
      <w:snapToGrid w:val="0"/>
      <w:spacing w:before="120" w:after="120" w:line="460" w:lineRule="exact"/>
      <w:ind w:firstLine="20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04">
    <w:name w:val="Table Grid 2"/>
    <w:basedOn w:val="70"/>
    <w:semiHidden/>
    <w:uiPriority w:val="0"/>
    <w:pPr>
      <w:widowControl w:val="0"/>
      <w:snapToGrid w:val="0"/>
      <w:spacing w:before="120" w:after="120" w:line="460" w:lineRule="exact"/>
      <w:ind w:firstLine="200" w:firstLineChars="200"/>
      <w:jc w:val="both"/>
    </w:pPr>
    <w:tblPr>
      <w:tblBorders>
        <w:insideH w:val="single" w:color="000000" w:sz="6" w:space="0"/>
        <w:insideV w:val="single" w:color="000000" w:sz="6" w:space="0"/>
      </w:tblBorders>
      <w:tblCellMar>
        <w:top w:w="0" w:type="dxa"/>
        <w:left w:w="108" w:type="dxa"/>
        <w:bottom w:w="0" w:type="dxa"/>
        <w:right w:w="108" w:type="dxa"/>
      </w:tblCellMar>
    </w:tbl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105">
    <w:name w:val="Table Grid 3"/>
    <w:basedOn w:val="70"/>
    <w:semiHidden/>
    <w:uiPriority w:val="0"/>
    <w:pPr>
      <w:widowControl w:val="0"/>
      <w:snapToGrid w:val="0"/>
      <w:spacing w:before="120" w:after="120" w:line="460" w:lineRule="exact"/>
      <w:ind w:firstLine="200" w:firstLineChars="200"/>
      <w:jc w:val="both"/>
    </w:pPr>
    <w:tblPr>
      <w:tblBorders>
        <w:top w:val="single" w:color="000000" w:sz="6" w:space="0"/>
        <w:left w:val="single" w:color="000000" w:sz="12" w:space="0"/>
        <w:bottom w:val="single" w:color="000000" w:sz="6" w:space="0"/>
        <w:right w:val="single" w:color="000000" w:sz="12" w:space="0"/>
        <w:insideV w:val="single" w:color="000000" w:sz="6" w:space="0"/>
      </w:tblBorders>
      <w:tblCellMar>
        <w:top w:w="0" w:type="dxa"/>
        <w:left w:w="108" w:type="dxa"/>
        <w:bottom w:w="0" w:type="dxa"/>
        <w:right w:w="108" w:type="dxa"/>
      </w:tblCellMar>
    </w:tblPr>
    <w:tblStylePr w:type="firstRow">
      <w:tblPr/>
      <w:tcPr>
        <w:tcBorders>
          <w:top w:val="nil"/>
          <w:left w:val="nil"/>
          <w:bottom w:val="single" w:color="000000" w:sz="6" w:space="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06">
    <w:name w:val="Table Grid 4"/>
    <w:basedOn w:val="70"/>
    <w:semiHidden/>
    <w:uiPriority w:val="0"/>
    <w:pPr>
      <w:widowControl w:val="0"/>
      <w:snapToGrid w:val="0"/>
      <w:spacing w:before="120" w:after="120" w:line="460" w:lineRule="exact"/>
      <w:ind w:firstLine="200" w:firstLineChars="200"/>
      <w:jc w:val="both"/>
    </w:pPr>
    <w:tblPr>
      <w:tblBorders>
        <w:left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blStylePr w:type="firstRow">
      <w:rPr>
        <w:color w:val="auto"/>
      </w:rPr>
      <w:tblPr/>
      <w:tcPr>
        <w:tcBorders>
          <w:top w:val="nil"/>
          <w:left w:val="nil"/>
          <w:bottom w:val="single" w:color="000000" w:sz="6" w:space="0"/>
          <w:right w:val="nil"/>
          <w:insideH w:val="nil"/>
          <w:insideV w:val="nil"/>
          <w:tl2br w:val="nil"/>
          <w:tr2bl w:val="nil"/>
        </w:tcBorders>
        <w:shd w:val="pct30" w:color="FFFF00" w:fill="FFFFFF"/>
      </w:tcPr>
    </w:tblStylePr>
    <w:tblStylePr w:type="lastRow">
      <w:rPr>
        <w:b/>
        <w:bCs/>
        <w:color w:val="auto"/>
      </w:rPr>
      <w:tblPr/>
      <w:tcPr>
        <w:tcBorders>
          <w:top w:val="single" w:color="000000" w:sz="6" w:space="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07">
    <w:name w:val="Table Grid 5"/>
    <w:basedOn w:val="70"/>
    <w:semiHidden/>
    <w:uiPriority w:val="0"/>
    <w:pPr>
      <w:widowControl w:val="0"/>
      <w:snapToGrid w:val="0"/>
      <w:spacing w:before="120" w:after="120" w:line="460" w:lineRule="exact"/>
      <w:ind w:firstLine="20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08">
    <w:name w:val="Table Grid 6"/>
    <w:basedOn w:val="70"/>
    <w:semiHidden/>
    <w:uiPriority w:val="0"/>
    <w:pPr>
      <w:widowControl w:val="0"/>
      <w:snapToGrid w:val="0"/>
      <w:spacing w:before="120" w:after="120" w:line="460" w:lineRule="exact"/>
      <w:ind w:firstLine="200" w:firstLineChars="200"/>
      <w:jc w:val="both"/>
    </w:pPr>
    <w:tblPr>
      <w:tblBorders>
        <w:top w:val="single" w:color="000000" w:sz="12" w:space="0"/>
        <w:left w:val="single" w:color="000000" w:sz="12" w:space="0"/>
        <w:bottom w:val="single" w:color="000000" w:sz="12" w:space="0"/>
        <w:right w:val="single" w:color="000000" w:sz="12" w:space="0"/>
        <w:insideV w:val="single" w:color="000000" w:sz="6" w:space="0"/>
      </w:tblBorders>
      <w:tblCellMar>
        <w:top w:w="0" w:type="dxa"/>
        <w:left w:w="108" w:type="dxa"/>
        <w:bottom w:w="0" w:type="dxa"/>
        <w:right w:w="108" w:type="dxa"/>
      </w:tblCellMar>
    </w:tblPr>
    <w:tblStylePr w:type="firstRow">
      <w:rPr>
        <w:b/>
        <w:bCs/>
      </w:rPr>
      <w:tblPr/>
      <w:tcPr>
        <w:tcBorders>
          <w:top w:val="nil"/>
          <w:left w:val="nil"/>
          <w:bottom w:val="single" w:color="000000" w:sz="6" w:space="0"/>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09">
    <w:name w:val="Table Grid 7"/>
    <w:basedOn w:val="70"/>
    <w:semiHidden/>
    <w:uiPriority w:val="0"/>
    <w:pPr>
      <w:widowControl w:val="0"/>
      <w:snapToGrid w:val="0"/>
      <w:spacing w:before="120" w:after="120" w:line="460" w:lineRule="exact"/>
      <w:ind w:firstLine="200" w:firstLineChars="20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blStylePr w:type="firstRow">
      <w:rPr>
        <w:b w:val="0"/>
        <w:bCs w:val="0"/>
      </w:rPr>
      <w:tblPr/>
      <w:tcPr>
        <w:tcBorders>
          <w:top w:val="nil"/>
          <w:left w:val="nil"/>
          <w:bottom w:val="single" w:color="000000" w:sz="12" w:space="0"/>
          <w:right w:val="nil"/>
          <w:insideH w:val="nil"/>
          <w:insideV w:val="nil"/>
          <w:tl2br w:val="nil"/>
          <w:tr2bl w:val="nil"/>
        </w:tcBorders>
      </w:tcPr>
    </w:tblStylePr>
    <w:tblStylePr w:type="lastRow">
      <w:rPr>
        <w:b w:val="0"/>
        <w:bCs w:val="0"/>
      </w:rPr>
      <w:tblPr/>
      <w:tcPr>
        <w:tcBorders>
          <w:top w:val="single" w:color="00000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10">
    <w:name w:val="Table Grid 8"/>
    <w:basedOn w:val="70"/>
    <w:semiHidden/>
    <w:uiPriority w:val="0"/>
    <w:pPr>
      <w:widowControl w:val="0"/>
      <w:snapToGrid w:val="0"/>
      <w:spacing w:before="120" w:after="120" w:line="460" w:lineRule="exact"/>
      <w:ind w:firstLine="200" w:firstLineChars="20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11">
    <w:name w:val="Table Web 1"/>
    <w:basedOn w:val="70"/>
    <w:semiHidden/>
    <w:uiPriority w:val="0"/>
    <w:pPr>
      <w:widowControl w:val="0"/>
      <w:snapToGrid w:val="0"/>
      <w:spacing w:before="120" w:after="120" w:line="460" w:lineRule="exact"/>
      <w:ind w:firstLine="200" w:firstLineChars="20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tblStylePr w:type="firstRow">
      <w:rPr>
        <w:color w:val="auto"/>
      </w:rPr>
      <w:tblPr/>
      <w:tcPr>
        <w:tcBorders>
          <w:top w:val="nil"/>
          <w:left w:val="nil"/>
          <w:bottom w:val="nil"/>
          <w:right w:val="nil"/>
          <w:insideH w:val="nil"/>
          <w:insideV w:val="nil"/>
          <w:tl2br w:val="nil"/>
          <w:tr2bl w:val="nil"/>
        </w:tcBorders>
      </w:tcPr>
    </w:tblStylePr>
  </w:style>
  <w:style w:type="table" w:styleId="112">
    <w:name w:val="Table Web 2"/>
    <w:basedOn w:val="70"/>
    <w:semiHidden/>
    <w:uiPriority w:val="0"/>
    <w:pPr>
      <w:widowControl w:val="0"/>
      <w:snapToGrid w:val="0"/>
      <w:spacing w:before="120" w:after="120" w:line="460" w:lineRule="exact"/>
      <w:ind w:firstLine="200" w:firstLineChars="20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tblStylePr w:type="firstRow">
      <w:rPr>
        <w:color w:val="auto"/>
      </w:rPr>
      <w:tblPr/>
      <w:tcPr>
        <w:tcBorders>
          <w:top w:val="nil"/>
          <w:left w:val="nil"/>
          <w:bottom w:val="nil"/>
          <w:right w:val="nil"/>
          <w:insideH w:val="nil"/>
          <w:insideV w:val="nil"/>
          <w:tl2br w:val="nil"/>
          <w:tr2bl w:val="nil"/>
        </w:tcBorders>
      </w:tcPr>
    </w:tblStylePr>
  </w:style>
  <w:style w:type="table" w:styleId="113">
    <w:name w:val="Table Web 3"/>
    <w:basedOn w:val="70"/>
    <w:semiHidden/>
    <w:uiPriority w:val="0"/>
    <w:pPr>
      <w:widowControl w:val="0"/>
      <w:snapToGrid w:val="0"/>
      <w:spacing w:before="120" w:after="120" w:line="460" w:lineRule="exact"/>
      <w:ind w:firstLine="200" w:firstLineChars="20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tblStylePr w:type="firstRow">
      <w:rPr>
        <w:color w:val="auto"/>
      </w:rPr>
      <w:tblPr/>
      <w:tcPr>
        <w:tcBorders>
          <w:top w:val="nil"/>
          <w:left w:val="nil"/>
          <w:bottom w:val="nil"/>
          <w:right w:val="nil"/>
          <w:insideH w:val="nil"/>
          <w:insideV w:val="nil"/>
          <w:tl2br w:val="nil"/>
          <w:tr2bl w:val="nil"/>
        </w:tcBorders>
      </w:tcPr>
    </w:tblStylePr>
  </w:style>
  <w:style w:type="table" w:styleId="114">
    <w:name w:val="Table Professional"/>
    <w:basedOn w:val="70"/>
    <w:semiHidden/>
    <w:uiPriority w:val="0"/>
    <w:pPr>
      <w:widowControl w:val="0"/>
      <w:snapToGrid w:val="0"/>
      <w:spacing w:before="120" w:after="120" w:line="460" w:lineRule="exact"/>
      <w:ind w:firstLine="20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116">
    <w:name w:val="Strong"/>
    <w:qFormat/>
    <w:uiPriority w:val="0"/>
    <w:rPr>
      <w:b/>
      <w:bCs/>
      <w:szCs w:val="24"/>
    </w:rPr>
  </w:style>
  <w:style w:type="character" w:styleId="117">
    <w:name w:val="page number"/>
    <w:basedOn w:val="115"/>
    <w:uiPriority w:val="0"/>
  </w:style>
  <w:style w:type="character" w:styleId="118">
    <w:name w:val="FollowedHyperlink"/>
    <w:semiHidden/>
    <w:uiPriority w:val="0"/>
    <w:rPr>
      <w:color w:val="800080"/>
      <w:szCs w:val="24"/>
      <w:u w:val="single"/>
    </w:rPr>
  </w:style>
  <w:style w:type="character" w:styleId="119">
    <w:name w:val="Emphasis"/>
    <w:qFormat/>
    <w:uiPriority w:val="0"/>
    <w:rPr>
      <w:i/>
      <w:iCs/>
      <w:szCs w:val="24"/>
    </w:rPr>
  </w:style>
  <w:style w:type="character" w:styleId="120">
    <w:name w:val="line number"/>
    <w:basedOn w:val="115"/>
    <w:semiHidden/>
    <w:uiPriority w:val="0"/>
  </w:style>
  <w:style w:type="character" w:styleId="121">
    <w:name w:val="HTML Definition"/>
    <w:semiHidden/>
    <w:uiPriority w:val="0"/>
    <w:rPr>
      <w:i/>
      <w:iCs/>
      <w:szCs w:val="24"/>
    </w:rPr>
  </w:style>
  <w:style w:type="character" w:styleId="122">
    <w:name w:val="HTML Typewriter"/>
    <w:semiHidden/>
    <w:uiPriority w:val="0"/>
    <w:rPr>
      <w:rFonts w:ascii="Courier New" w:hAnsi="Courier New" w:cs="Courier New"/>
      <w:sz w:val="20"/>
      <w:szCs w:val="20"/>
    </w:rPr>
  </w:style>
  <w:style w:type="character" w:styleId="123">
    <w:name w:val="HTML Acronym"/>
    <w:basedOn w:val="115"/>
    <w:semiHidden/>
    <w:uiPriority w:val="0"/>
  </w:style>
  <w:style w:type="character" w:styleId="124">
    <w:name w:val="HTML Variable"/>
    <w:semiHidden/>
    <w:uiPriority w:val="0"/>
    <w:rPr>
      <w:i/>
      <w:iCs/>
      <w:szCs w:val="24"/>
    </w:rPr>
  </w:style>
  <w:style w:type="character" w:styleId="125">
    <w:name w:val="Hyperlink"/>
    <w:semiHidden/>
    <w:uiPriority w:val="0"/>
    <w:rPr>
      <w:color w:val="0000FF"/>
      <w:szCs w:val="24"/>
      <w:u w:val="single"/>
    </w:rPr>
  </w:style>
  <w:style w:type="character" w:styleId="126">
    <w:name w:val="HTML Code"/>
    <w:semiHidden/>
    <w:uiPriority w:val="0"/>
    <w:rPr>
      <w:rFonts w:ascii="Courier New" w:hAnsi="Courier New" w:cs="Courier New"/>
      <w:sz w:val="20"/>
      <w:szCs w:val="20"/>
    </w:rPr>
  </w:style>
  <w:style w:type="character" w:styleId="127">
    <w:name w:val="annotation reference"/>
    <w:semiHidden/>
    <w:uiPriority w:val="0"/>
    <w:rPr>
      <w:sz w:val="21"/>
      <w:szCs w:val="21"/>
    </w:rPr>
  </w:style>
  <w:style w:type="character" w:styleId="128">
    <w:name w:val="HTML Cite"/>
    <w:semiHidden/>
    <w:uiPriority w:val="0"/>
    <w:rPr>
      <w:i/>
      <w:iCs/>
      <w:szCs w:val="24"/>
    </w:rPr>
  </w:style>
  <w:style w:type="character" w:styleId="129">
    <w:name w:val="HTML Keyboard"/>
    <w:semiHidden/>
    <w:uiPriority w:val="0"/>
    <w:rPr>
      <w:rFonts w:ascii="Courier New" w:hAnsi="Courier New" w:cs="Courier New"/>
      <w:sz w:val="20"/>
      <w:szCs w:val="20"/>
    </w:rPr>
  </w:style>
  <w:style w:type="character" w:styleId="130">
    <w:name w:val="HTML Sample"/>
    <w:semiHidden/>
    <w:uiPriority w:val="0"/>
    <w:rPr>
      <w:rFonts w:ascii="Courier New" w:hAnsi="Courier New" w:cs="Courier New"/>
      <w:szCs w:val="24"/>
    </w:rPr>
  </w:style>
  <w:style w:type="character" w:customStyle="1" w:styleId="131">
    <w:name w:val="表格内容5号 Char Char"/>
    <w:uiPriority w:val="0"/>
    <w:rPr>
      <w:rFonts w:eastAsia="仿宋_GB2312"/>
      <w:kern w:val="2"/>
      <w:sz w:val="21"/>
      <w:szCs w:val="21"/>
      <w:lang w:val="en-US" w:eastAsia="zh-CN" w:bidi="ar-SA"/>
    </w:rPr>
  </w:style>
  <w:style w:type="character" w:customStyle="1" w:styleId="132">
    <w:name w:val="yxMark"/>
    <w:semiHidden/>
    <w:uiPriority w:val="0"/>
    <w:rPr>
      <w:rFonts w:ascii="Courier New" w:hAnsi="Courier New"/>
      <w:vanish/>
      <w:color w:val="800000"/>
      <w:szCs w:val="24"/>
      <w:vertAlign w:val="subscript"/>
    </w:rPr>
  </w:style>
  <w:style w:type="character" w:customStyle="1" w:styleId="133">
    <w:name w:val="图表标题 Char Char"/>
    <w:uiPriority w:val="0"/>
    <w:rPr>
      <w:rFonts w:eastAsia="宋体"/>
      <w:kern w:val="2"/>
      <w:sz w:val="24"/>
      <w:szCs w:val="24"/>
      <w:lang w:val="en-US" w:eastAsia="zh-CN" w:bidi="ar-SA"/>
    </w:rPr>
  </w:style>
  <w:style w:type="character" w:customStyle="1" w:styleId="134">
    <w:name w:val="内容 Char"/>
    <w:link w:val="135"/>
    <w:qFormat/>
    <w:uiPriority w:val="0"/>
    <w:rPr>
      <w:rFonts w:eastAsia="宋体" w:cs="宋体"/>
      <w:kern w:val="2"/>
      <w:sz w:val="24"/>
      <w:lang w:val="en-US" w:eastAsia="zh-CN" w:bidi="ar-SA"/>
    </w:rPr>
  </w:style>
  <w:style w:type="paragraph" w:customStyle="1" w:styleId="135">
    <w:name w:val="内容"/>
    <w:basedOn w:val="1"/>
    <w:link w:val="134"/>
    <w:qFormat/>
    <w:uiPriority w:val="0"/>
    <w:pPr>
      <w:spacing w:line="360" w:lineRule="auto"/>
      <w:ind w:firstLine="480"/>
    </w:pPr>
    <w:rPr>
      <w:rFonts w:cs="宋体"/>
    </w:rPr>
  </w:style>
  <w:style w:type="character" w:customStyle="1" w:styleId="136">
    <w:name w:val="kt表格 Char Char"/>
    <w:link w:val="137"/>
    <w:qFormat/>
    <w:uiPriority w:val="0"/>
    <w:rPr>
      <w:rFonts w:eastAsia="楷体_GB2312"/>
      <w:bCs/>
      <w:kern w:val="2"/>
      <w:sz w:val="24"/>
      <w:szCs w:val="24"/>
      <w:lang w:val="en-US" w:eastAsia="zh-CN" w:bidi="ar-SA"/>
    </w:rPr>
  </w:style>
  <w:style w:type="paragraph" w:customStyle="1" w:styleId="137">
    <w:name w:val="kt表格"/>
    <w:link w:val="136"/>
    <w:qFormat/>
    <w:uiPriority w:val="0"/>
    <w:pPr>
      <w:jc w:val="center"/>
    </w:pPr>
    <w:rPr>
      <w:rFonts w:ascii="Times New Roman" w:hAnsi="Times New Roman" w:eastAsia="楷体_GB2312" w:cs="Times New Roman"/>
      <w:bCs/>
      <w:kern w:val="2"/>
      <w:sz w:val="24"/>
      <w:szCs w:val="24"/>
      <w:lang w:val="en-US" w:eastAsia="zh-CN" w:bidi="ar-SA"/>
    </w:rPr>
  </w:style>
  <w:style w:type="character" w:customStyle="1" w:styleId="138">
    <w:name w:val="yxJump"/>
    <w:semiHidden/>
    <w:qFormat/>
    <w:uiPriority w:val="0"/>
    <w:rPr>
      <w:rFonts w:ascii="Courier New" w:hAnsi="Courier New"/>
      <w:color w:val="008080"/>
      <w:szCs w:val="24"/>
    </w:rPr>
  </w:style>
  <w:style w:type="character" w:customStyle="1" w:styleId="139">
    <w:name w:val="标题 2 Char"/>
    <w:link w:val="3"/>
    <w:qFormat/>
    <w:locked/>
    <w:uiPriority w:val="0"/>
    <w:rPr>
      <w:rFonts w:ascii="Arial" w:hAnsi="Arial" w:eastAsia="黑体" w:cs="Arial"/>
      <w:kern w:val="2"/>
      <w:sz w:val="28"/>
      <w:szCs w:val="28"/>
      <w:lang w:val="en-US" w:eastAsia="zh-CN" w:bidi="ar-SA"/>
    </w:rPr>
  </w:style>
  <w:style w:type="character" w:customStyle="1" w:styleId="140">
    <w:name w:val="5号表格 Char Char"/>
    <w:qFormat/>
    <w:uiPriority w:val="0"/>
    <w:rPr>
      <w:rFonts w:eastAsia="宋体"/>
      <w:bCs/>
      <w:kern w:val="2"/>
      <w:sz w:val="21"/>
      <w:szCs w:val="21"/>
      <w:lang w:val="en-US" w:eastAsia="zh-CN" w:bidi="ar-SA"/>
    </w:rPr>
  </w:style>
  <w:style w:type="character" w:customStyle="1" w:styleId="141">
    <w:name w:val="5号表格 Char"/>
    <w:link w:val="142"/>
    <w:qFormat/>
    <w:uiPriority w:val="0"/>
    <w:rPr>
      <w:bCs/>
      <w:kern w:val="2"/>
      <w:sz w:val="21"/>
      <w:szCs w:val="21"/>
      <w:lang w:val="en-US" w:eastAsia="zh-CN" w:bidi="ar-SA"/>
    </w:rPr>
  </w:style>
  <w:style w:type="paragraph" w:customStyle="1" w:styleId="142">
    <w:name w:val="5号表格"/>
    <w:link w:val="141"/>
    <w:qFormat/>
    <w:uiPriority w:val="0"/>
    <w:pPr>
      <w:snapToGrid w:val="0"/>
      <w:jc w:val="center"/>
    </w:pPr>
    <w:rPr>
      <w:rFonts w:ascii="Times New Roman" w:hAnsi="Times New Roman" w:eastAsia="宋体" w:cs="Times New Roman"/>
      <w:bCs/>
      <w:kern w:val="2"/>
      <w:sz w:val="21"/>
      <w:szCs w:val="21"/>
      <w:lang w:val="en-US" w:eastAsia="zh-CN" w:bidi="ar-SA"/>
    </w:rPr>
  </w:style>
  <w:style w:type="character" w:customStyle="1" w:styleId="143">
    <w:name w:val="正文内容 Char"/>
    <w:link w:val="144"/>
    <w:qFormat/>
    <w:uiPriority w:val="0"/>
    <w:rPr>
      <w:kern w:val="2"/>
      <w:sz w:val="24"/>
      <w:szCs w:val="24"/>
      <w:lang w:val="en-US" w:eastAsia="zh-CN" w:bidi="ar-SA"/>
    </w:rPr>
  </w:style>
  <w:style w:type="paragraph" w:customStyle="1" w:styleId="144">
    <w:name w:val="正文内容"/>
    <w:link w:val="143"/>
    <w:qFormat/>
    <w:uiPriority w:val="0"/>
    <w:pPr>
      <w:widowControl w:val="0"/>
      <w:snapToGrid w:val="0"/>
      <w:spacing w:before="60" w:after="60" w:line="480" w:lineRule="exact"/>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145">
    <w:name w:val="标题 1 Char"/>
    <w:link w:val="2"/>
    <w:qFormat/>
    <w:locked/>
    <w:uiPriority w:val="0"/>
    <w:rPr>
      <w:rFonts w:eastAsia="华文中宋"/>
      <w:kern w:val="44"/>
      <w:sz w:val="44"/>
      <w:szCs w:val="44"/>
      <w:lang w:val="en-US" w:eastAsia="zh-CN" w:bidi="ar-SA"/>
    </w:rPr>
  </w:style>
  <w:style w:type="character" w:customStyle="1" w:styleId="146">
    <w:name w:val="Char Char22"/>
    <w:basedOn w:val="115"/>
    <w:qFormat/>
    <w:uiPriority w:val="0"/>
    <w:rPr>
      <w:rFonts w:eastAsia="华文中宋"/>
      <w:bCs/>
      <w:kern w:val="44"/>
      <w:sz w:val="44"/>
      <w:szCs w:val="44"/>
      <w:lang w:val="en-US" w:eastAsia="zh-CN" w:bidi="ar-SA"/>
    </w:rPr>
  </w:style>
  <w:style w:type="character" w:customStyle="1" w:styleId="147">
    <w:name w:val="2级标题 Char"/>
    <w:link w:val="148"/>
    <w:qFormat/>
    <w:locked/>
    <w:uiPriority w:val="0"/>
    <w:rPr>
      <w:rFonts w:ascii="Arial" w:hAnsi="Arial" w:eastAsia="黑体" w:cs="Arial"/>
      <w:kern w:val="2"/>
      <w:sz w:val="28"/>
      <w:szCs w:val="28"/>
      <w:lang w:val="en-US" w:eastAsia="zh-CN" w:bidi="ar-SA"/>
    </w:rPr>
  </w:style>
  <w:style w:type="paragraph" w:customStyle="1" w:styleId="148">
    <w:name w:val="2级标题"/>
    <w:basedOn w:val="1"/>
    <w:next w:val="1"/>
    <w:link w:val="147"/>
    <w:semiHidden/>
    <w:qFormat/>
    <w:uiPriority w:val="0"/>
    <w:pPr>
      <w:spacing w:before="240" w:after="120"/>
      <w:jc w:val="left"/>
      <w:outlineLvl w:val="1"/>
    </w:pPr>
    <w:rPr>
      <w:rFonts w:ascii="Arial" w:hAnsi="Arial" w:eastAsia="黑体" w:cs="Arial"/>
      <w:sz w:val="28"/>
      <w:szCs w:val="28"/>
    </w:rPr>
  </w:style>
  <w:style w:type="character" w:customStyle="1" w:styleId="149">
    <w:name w:val="表格内容5号 Char"/>
    <w:link w:val="150"/>
    <w:qFormat/>
    <w:locked/>
    <w:uiPriority w:val="0"/>
    <w:rPr>
      <w:rFonts w:eastAsia="仿宋_GB2312"/>
      <w:kern w:val="2"/>
      <w:sz w:val="21"/>
      <w:szCs w:val="21"/>
      <w:lang w:val="en-US" w:eastAsia="zh-CN" w:bidi="ar-SA"/>
    </w:rPr>
  </w:style>
  <w:style w:type="paragraph" w:customStyle="1" w:styleId="150">
    <w:name w:val="表格内容5号"/>
    <w:basedOn w:val="151"/>
    <w:link w:val="149"/>
    <w:semiHidden/>
    <w:qFormat/>
    <w:uiPriority w:val="0"/>
    <w:pPr>
      <w:spacing w:line="240" w:lineRule="auto"/>
    </w:pPr>
    <w:rPr>
      <w:sz w:val="21"/>
      <w:szCs w:val="21"/>
    </w:rPr>
  </w:style>
  <w:style w:type="paragraph" w:customStyle="1" w:styleId="151">
    <w:name w:val="表格内容"/>
    <w:link w:val="177"/>
    <w:semiHidden/>
    <w:qFormat/>
    <w:uiPriority w:val="0"/>
    <w:pPr>
      <w:widowControl w:val="0"/>
      <w:snapToGrid w:val="0"/>
      <w:spacing w:line="240" w:lineRule="atLeast"/>
      <w:jc w:val="center"/>
    </w:pPr>
    <w:rPr>
      <w:rFonts w:ascii="Times New Roman" w:hAnsi="Times New Roman" w:eastAsia="仿宋_GB2312" w:cs="Times New Roman"/>
      <w:kern w:val="2"/>
      <w:sz w:val="24"/>
      <w:szCs w:val="24"/>
      <w:lang w:val="en-US" w:eastAsia="zh-CN" w:bidi="ar-SA"/>
    </w:rPr>
  </w:style>
  <w:style w:type="character" w:customStyle="1" w:styleId="152">
    <w:name w:val="标题HT Char"/>
    <w:qFormat/>
    <w:uiPriority w:val="0"/>
    <w:rPr>
      <w:rFonts w:ascii="Arial" w:hAnsi="Arial" w:eastAsia="黑体"/>
      <w:kern w:val="2"/>
      <w:sz w:val="24"/>
      <w:szCs w:val="24"/>
      <w:lang w:val="en-US" w:eastAsia="zh-CN" w:bidi="ar-SA"/>
    </w:rPr>
  </w:style>
  <w:style w:type="character" w:customStyle="1" w:styleId="153">
    <w:name w:val="4级标题 Char"/>
    <w:link w:val="154"/>
    <w:qFormat/>
    <w:locked/>
    <w:uiPriority w:val="0"/>
    <w:rPr>
      <w:rFonts w:ascii="Arial" w:hAnsi="Arial" w:eastAsia="黑体" w:cs="Arial"/>
      <w:kern w:val="2"/>
      <w:sz w:val="28"/>
      <w:szCs w:val="28"/>
      <w:lang w:val="en-US" w:eastAsia="zh-CN" w:bidi="ar-SA"/>
    </w:rPr>
  </w:style>
  <w:style w:type="paragraph" w:customStyle="1" w:styleId="154">
    <w:name w:val="4级标题"/>
    <w:basedOn w:val="1"/>
    <w:next w:val="1"/>
    <w:link w:val="153"/>
    <w:semiHidden/>
    <w:qFormat/>
    <w:uiPriority w:val="0"/>
    <w:pPr>
      <w:spacing w:before="120" w:after="120"/>
      <w:jc w:val="left"/>
      <w:outlineLvl w:val="3"/>
    </w:pPr>
    <w:rPr>
      <w:rFonts w:ascii="Arial" w:hAnsi="Arial" w:eastAsia="黑体" w:cs="Arial"/>
      <w:sz w:val="28"/>
      <w:szCs w:val="28"/>
    </w:rPr>
  </w:style>
  <w:style w:type="character" w:customStyle="1" w:styleId="155">
    <w:name w:val="默认段落字体1"/>
    <w:semiHidden/>
    <w:qFormat/>
    <w:uiPriority w:val="0"/>
  </w:style>
  <w:style w:type="character" w:customStyle="1" w:styleId="156">
    <w:name w:val="页眉 Char"/>
    <w:link w:val="47"/>
    <w:qFormat/>
    <w:uiPriority w:val="0"/>
    <w:rPr>
      <w:rFonts w:eastAsia="宋体"/>
      <w:kern w:val="2"/>
      <w:sz w:val="18"/>
      <w:szCs w:val="18"/>
      <w:lang w:val="en-US" w:eastAsia="zh-CN" w:bidi="ar-SA"/>
    </w:rPr>
  </w:style>
  <w:style w:type="character" w:customStyle="1" w:styleId="157">
    <w:name w:val="yxNone"/>
    <w:basedOn w:val="115"/>
    <w:semiHidden/>
    <w:qFormat/>
    <w:uiPriority w:val="0"/>
  </w:style>
  <w:style w:type="character" w:customStyle="1" w:styleId="158">
    <w:name w:val="正文01 Char Char"/>
    <w:link w:val="159"/>
    <w:qFormat/>
    <w:uiPriority w:val="0"/>
    <w:rPr>
      <w:rFonts w:eastAsia="宋体"/>
      <w:kern w:val="2"/>
      <w:sz w:val="24"/>
      <w:szCs w:val="24"/>
      <w:lang w:val="en-US" w:eastAsia="zh-CN" w:bidi="ar-SA"/>
    </w:rPr>
  </w:style>
  <w:style w:type="paragraph" w:customStyle="1" w:styleId="159">
    <w:name w:val="正文01"/>
    <w:basedOn w:val="1"/>
    <w:link w:val="158"/>
    <w:qFormat/>
    <w:uiPriority w:val="0"/>
    <w:pPr>
      <w:spacing w:before="60" w:line="460" w:lineRule="exact"/>
    </w:pPr>
    <w:rPr>
      <w:szCs w:val="24"/>
    </w:rPr>
  </w:style>
  <w:style w:type="character" w:customStyle="1" w:styleId="160">
    <w:name w:val="纯文本 Char"/>
    <w:link w:val="37"/>
    <w:qFormat/>
    <w:uiPriority w:val="0"/>
    <w:rPr>
      <w:rFonts w:ascii="宋体" w:hAnsi="Courier New" w:eastAsia="宋体"/>
      <w:kern w:val="2"/>
      <w:sz w:val="21"/>
      <w:szCs w:val="24"/>
      <w:lang w:val="en-US" w:eastAsia="zh-CN" w:bidi="ar-SA"/>
    </w:rPr>
  </w:style>
  <w:style w:type="character" w:customStyle="1" w:styleId="161">
    <w:name w:val="3级标题 Char"/>
    <w:basedOn w:val="147"/>
    <w:link w:val="162"/>
    <w:qFormat/>
    <w:locked/>
    <w:uiPriority w:val="0"/>
    <w:rPr>
      <w:rFonts w:ascii="Arial" w:hAnsi="Arial" w:eastAsia="黑体" w:cs="Arial"/>
      <w:kern w:val="2"/>
      <w:sz w:val="28"/>
      <w:szCs w:val="28"/>
      <w:lang w:val="en-US" w:eastAsia="zh-CN" w:bidi="ar-SA"/>
    </w:rPr>
  </w:style>
  <w:style w:type="paragraph" w:customStyle="1" w:styleId="162">
    <w:name w:val="3级标题"/>
    <w:basedOn w:val="148"/>
    <w:next w:val="1"/>
    <w:link w:val="161"/>
    <w:semiHidden/>
    <w:uiPriority w:val="0"/>
    <w:pPr>
      <w:spacing w:before="120"/>
      <w:outlineLvl w:val="2"/>
    </w:pPr>
  </w:style>
  <w:style w:type="character" w:customStyle="1" w:styleId="163">
    <w:name w:val="正文缩进 Char"/>
    <w:link w:val="18"/>
    <w:qFormat/>
    <w:uiPriority w:val="0"/>
    <w:rPr>
      <w:rFonts w:eastAsia="宋体"/>
      <w:kern w:val="2"/>
      <w:sz w:val="21"/>
      <w:szCs w:val="24"/>
      <w:lang w:val="en-US" w:eastAsia="zh-CN" w:bidi="ar-SA"/>
    </w:rPr>
  </w:style>
  <w:style w:type="character" w:customStyle="1" w:styleId="164">
    <w:name w:val="正文内容 Char Char"/>
    <w:qFormat/>
    <w:uiPriority w:val="0"/>
    <w:rPr>
      <w:rFonts w:eastAsia="宋体"/>
      <w:kern w:val="2"/>
      <w:sz w:val="24"/>
      <w:szCs w:val="24"/>
      <w:lang w:val="en-US" w:eastAsia="zh-CN" w:bidi="ar-SA"/>
    </w:rPr>
  </w:style>
  <w:style w:type="character" w:customStyle="1" w:styleId="165">
    <w:name w:val="表格文字 Char"/>
    <w:qFormat/>
    <w:uiPriority w:val="0"/>
    <w:rPr>
      <w:rFonts w:eastAsia="宋体"/>
      <w:b/>
      <w:kern w:val="2"/>
      <w:sz w:val="21"/>
      <w:szCs w:val="24"/>
      <w:lang w:val="en-US" w:eastAsia="zh-CN" w:bidi="ar-SA"/>
    </w:rPr>
  </w:style>
  <w:style w:type="character" w:customStyle="1" w:styleId="166">
    <w:name w:val="正文内容 Char Char Char Char"/>
    <w:uiPriority w:val="0"/>
    <w:rPr>
      <w:rFonts w:eastAsia="宋体"/>
      <w:kern w:val="2"/>
      <w:sz w:val="24"/>
      <w:szCs w:val="24"/>
      <w:lang w:val="en-US" w:eastAsia="zh-CN" w:bidi="ar-SA"/>
    </w:rPr>
  </w:style>
  <w:style w:type="character" w:customStyle="1" w:styleId="167">
    <w:name w:val="样式 小四"/>
    <w:uiPriority w:val="0"/>
    <w:rPr>
      <w:rFonts w:ascii="Verdana" w:hAnsi="Verdana"/>
      <w:spacing w:val="4"/>
      <w:kern w:val="0"/>
      <w:sz w:val="24"/>
      <w:szCs w:val="24"/>
      <w:lang w:eastAsia="en-US"/>
    </w:rPr>
  </w:style>
  <w:style w:type="character" w:customStyle="1" w:styleId="168">
    <w:name w:val="图表标题 Char"/>
    <w:link w:val="169"/>
    <w:uiPriority w:val="0"/>
    <w:rPr>
      <w:kern w:val="2"/>
      <w:sz w:val="24"/>
      <w:szCs w:val="24"/>
      <w:lang w:val="en-US" w:eastAsia="zh-CN" w:bidi="ar-SA"/>
    </w:rPr>
  </w:style>
  <w:style w:type="paragraph" w:customStyle="1" w:styleId="169">
    <w:name w:val="图表标题"/>
    <w:link w:val="168"/>
    <w:uiPriority w:val="0"/>
    <w:pPr>
      <w:snapToGrid w:val="0"/>
      <w:spacing w:line="360" w:lineRule="exact"/>
      <w:jc w:val="center"/>
    </w:pPr>
    <w:rPr>
      <w:rFonts w:ascii="Times New Roman" w:hAnsi="Times New Roman" w:eastAsia="宋体" w:cs="Times New Roman"/>
      <w:kern w:val="2"/>
      <w:sz w:val="24"/>
      <w:szCs w:val="24"/>
      <w:lang w:val="en-US" w:eastAsia="zh-CN" w:bidi="ar-SA"/>
    </w:rPr>
  </w:style>
  <w:style w:type="character" w:customStyle="1" w:styleId="170">
    <w:name w:val="yxExternal"/>
    <w:semiHidden/>
    <w:uiPriority w:val="0"/>
    <w:rPr>
      <w:rFonts w:ascii="Courier New" w:hAnsi="Courier New"/>
      <w:color w:val="808080"/>
      <w:szCs w:val="24"/>
    </w:rPr>
  </w:style>
  <w:style w:type="character" w:customStyle="1" w:styleId="171">
    <w:name w:val="标题HT Char Char"/>
    <w:link w:val="172"/>
    <w:uiPriority w:val="0"/>
    <w:rPr>
      <w:rFonts w:ascii="Arial" w:hAnsi="Arial" w:eastAsia="黑体"/>
      <w:kern w:val="2"/>
      <w:sz w:val="24"/>
      <w:szCs w:val="24"/>
      <w:lang w:val="en-US" w:eastAsia="zh-CN" w:bidi="ar-SA"/>
    </w:rPr>
  </w:style>
  <w:style w:type="paragraph" w:customStyle="1" w:styleId="172">
    <w:name w:val="标题HT"/>
    <w:link w:val="171"/>
    <w:qFormat/>
    <w:uiPriority w:val="0"/>
    <w:pPr>
      <w:snapToGrid w:val="0"/>
      <w:spacing w:line="480" w:lineRule="exact"/>
      <w:ind w:firstLine="482"/>
    </w:pPr>
    <w:rPr>
      <w:rFonts w:ascii="Arial" w:hAnsi="Arial" w:eastAsia="黑体" w:cs="Times New Roman"/>
      <w:kern w:val="2"/>
      <w:sz w:val="24"/>
      <w:szCs w:val="24"/>
      <w:lang w:val="en-US" w:eastAsia="zh-CN" w:bidi="ar-SA"/>
    </w:rPr>
  </w:style>
  <w:style w:type="character" w:customStyle="1" w:styleId="173">
    <w:name w:val="表格文字 Char Char"/>
    <w:link w:val="174"/>
    <w:qFormat/>
    <w:uiPriority w:val="0"/>
    <w:rPr>
      <w:rFonts w:eastAsia="宋体"/>
      <w:b/>
      <w:color w:val="0000FF"/>
      <w:kern w:val="2"/>
      <w:sz w:val="21"/>
      <w:szCs w:val="24"/>
      <w:lang w:val="en-US" w:eastAsia="zh-CN" w:bidi="ar-SA"/>
    </w:rPr>
  </w:style>
  <w:style w:type="paragraph" w:customStyle="1" w:styleId="174">
    <w:name w:val="表格文字"/>
    <w:basedOn w:val="1"/>
    <w:next w:val="1"/>
    <w:link w:val="173"/>
    <w:qFormat/>
    <w:uiPriority w:val="0"/>
    <w:pPr>
      <w:framePr w:hSpace="180" w:wrap="around" w:vAnchor="page" w:hAnchor="margin" w:y="1532"/>
      <w:spacing w:line="340" w:lineRule="exact"/>
      <w:jc w:val="center"/>
    </w:pPr>
    <w:rPr>
      <w:b/>
      <w:color w:val="0000FF"/>
      <w:sz w:val="21"/>
      <w:szCs w:val="24"/>
    </w:rPr>
  </w:style>
  <w:style w:type="character" w:customStyle="1" w:styleId="175">
    <w:name w:val="yxPopup"/>
    <w:semiHidden/>
    <w:uiPriority w:val="0"/>
    <w:rPr>
      <w:rFonts w:ascii="Courier New" w:hAnsi="Courier New"/>
      <w:color w:val="008000"/>
      <w:szCs w:val="24"/>
    </w:rPr>
  </w:style>
  <w:style w:type="character" w:customStyle="1" w:styleId="176">
    <w:name w:val="yxInternal"/>
    <w:semiHidden/>
    <w:uiPriority w:val="0"/>
    <w:rPr>
      <w:rFonts w:ascii="Courier New" w:hAnsi="Courier New"/>
      <w:color w:val="FF0000"/>
      <w:szCs w:val="24"/>
    </w:rPr>
  </w:style>
  <w:style w:type="character" w:customStyle="1" w:styleId="177">
    <w:name w:val="表格内容 Char"/>
    <w:link w:val="151"/>
    <w:qFormat/>
    <w:locked/>
    <w:uiPriority w:val="0"/>
    <w:rPr>
      <w:rFonts w:eastAsia="仿宋_GB2312"/>
      <w:kern w:val="2"/>
      <w:sz w:val="24"/>
      <w:szCs w:val="24"/>
      <w:lang w:val="en-US" w:eastAsia="zh-CN" w:bidi="ar-SA"/>
    </w:rPr>
  </w:style>
  <w:style w:type="character" w:customStyle="1" w:styleId="178">
    <w:name w:val="apple-converted-space"/>
    <w:basedOn w:val="115"/>
    <w:uiPriority w:val="0"/>
  </w:style>
  <w:style w:type="character" w:customStyle="1" w:styleId="179">
    <w:name w:val="Char Char17"/>
    <w:basedOn w:val="115"/>
    <w:semiHidden/>
    <w:uiPriority w:val="0"/>
    <w:rPr>
      <w:rFonts w:eastAsia="宋体"/>
      <w:b/>
      <w:snapToGrid w:val="0"/>
      <w:sz w:val="28"/>
      <w:szCs w:val="28"/>
      <w:lang w:val="en-US" w:eastAsia="zh-CN" w:bidi="ar-SA"/>
    </w:rPr>
  </w:style>
  <w:style w:type="paragraph" w:customStyle="1" w:styleId="180">
    <w:name w:val="xl38"/>
    <w:basedOn w:val="1"/>
    <w:semiHidden/>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cs="Arial Unicode MS"/>
      <w:kern w:val="0"/>
      <w:szCs w:val="21"/>
    </w:rPr>
  </w:style>
  <w:style w:type="paragraph" w:customStyle="1" w:styleId="181">
    <w:name w:val="WPS Plain"/>
    <w:semiHidden/>
    <w:uiPriority w:val="0"/>
    <w:rPr>
      <w:rFonts w:ascii="Times New Roman" w:hAnsi="Times New Roman" w:eastAsia="宋体" w:cs="Times New Roman"/>
      <w:lang w:val="en-US" w:eastAsia="zh-CN" w:bidi="ar-SA"/>
    </w:rPr>
  </w:style>
  <w:style w:type="paragraph" w:customStyle="1" w:styleId="182">
    <w:name w:val="xl40"/>
    <w:basedOn w:val="1"/>
    <w:semiHidden/>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cs="Arial Unicode MS"/>
      <w:b/>
      <w:bCs/>
      <w:kern w:val="0"/>
      <w:szCs w:val="21"/>
    </w:rPr>
  </w:style>
  <w:style w:type="paragraph" w:customStyle="1" w:styleId="183">
    <w:name w:val="正文 + 首行缩进:  1.02 厘米"/>
    <w:basedOn w:val="1"/>
    <w:uiPriority w:val="0"/>
    <w:pPr>
      <w:autoSpaceDE w:val="0"/>
      <w:autoSpaceDN w:val="0"/>
      <w:adjustRightInd w:val="0"/>
      <w:spacing w:before="60" w:line="520" w:lineRule="exact"/>
      <w:ind w:firstLine="576"/>
    </w:pPr>
    <w:rPr>
      <w:rFonts w:eastAsia="仿宋_GB2312"/>
      <w:sz w:val="30"/>
      <w:szCs w:val="30"/>
    </w:rPr>
  </w:style>
  <w:style w:type="paragraph" w:customStyle="1" w:styleId="184">
    <w:name w:val="Char"/>
    <w:basedOn w:val="1"/>
    <w:semiHidden/>
    <w:uiPriority w:val="0"/>
    <w:pPr>
      <w:spacing w:line="560" w:lineRule="exact"/>
    </w:pPr>
    <w:rPr>
      <w:rFonts w:ascii="宋体" w:hAnsi="宋体" w:cs="宋体"/>
      <w:sz w:val="28"/>
      <w:szCs w:val="28"/>
    </w:rPr>
  </w:style>
  <w:style w:type="paragraph" w:customStyle="1" w:styleId="185">
    <w:name w:val="xl37"/>
    <w:basedOn w:val="1"/>
    <w:semiHidden/>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cs="Arial Unicode MS"/>
      <w:b/>
      <w:bCs/>
      <w:kern w:val="0"/>
      <w:szCs w:val="21"/>
    </w:rPr>
  </w:style>
  <w:style w:type="paragraph" w:customStyle="1" w:styleId="186">
    <w:name w:val="小节"/>
    <w:uiPriority w:val="0"/>
    <w:pPr>
      <w:outlineLvl w:val="0"/>
    </w:pPr>
    <w:rPr>
      <w:rFonts w:ascii="Times New Roman" w:hAnsi="Times New Roman" w:eastAsia="黑体" w:cs="Times New Roman"/>
      <w:bCs/>
      <w:kern w:val="2"/>
      <w:sz w:val="24"/>
      <w:lang w:val="en-US" w:eastAsia="zh-CN" w:bidi="ar-SA"/>
    </w:rPr>
  </w:style>
  <w:style w:type="paragraph" w:customStyle="1" w:styleId="187">
    <w:name w:val="表格ST"/>
    <w:uiPriority w:val="0"/>
    <w:pPr>
      <w:spacing w:line="300" w:lineRule="exact"/>
      <w:jc w:val="center"/>
    </w:pPr>
    <w:rPr>
      <w:rFonts w:ascii="Times New Roman" w:hAnsi="Times New Roman" w:eastAsia="宋体" w:cs="Times New Roman"/>
      <w:bCs/>
      <w:kern w:val="2"/>
      <w:sz w:val="24"/>
      <w:szCs w:val="24"/>
      <w:lang w:val="en-US" w:eastAsia="zh-CN" w:bidi="ar-SA"/>
    </w:rPr>
  </w:style>
  <w:style w:type="paragraph" w:customStyle="1" w:styleId="188">
    <w:name w:val="a正文"/>
    <w:basedOn w:val="1"/>
    <w:uiPriority w:val="0"/>
    <w:pPr>
      <w:snapToGrid w:val="0"/>
    </w:pPr>
    <w:rPr>
      <w:b/>
      <w:szCs w:val="24"/>
    </w:rPr>
  </w:style>
  <w:style w:type="paragraph" w:customStyle="1" w:styleId="189">
    <w:name w:val="font7"/>
    <w:basedOn w:val="1"/>
    <w:semiHidden/>
    <w:uiPriority w:val="0"/>
    <w:pPr>
      <w:widowControl/>
      <w:spacing w:before="100" w:beforeAutospacing="1" w:after="100" w:afterAutospacing="1"/>
      <w:jc w:val="left"/>
    </w:pPr>
    <w:rPr>
      <w:rFonts w:ascii="宋体" w:hAnsi="宋体" w:cs="宋体"/>
      <w:b/>
      <w:bCs/>
      <w:kern w:val="0"/>
      <w:szCs w:val="21"/>
    </w:rPr>
  </w:style>
  <w:style w:type="paragraph" w:customStyle="1" w:styleId="190">
    <w:name w:val="xl42"/>
    <w:basedOn w:val="1"/>
    <w:semiHidden/>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Arial Unicode MS" w:hAnsi="Arial Unicode MS" w:cs="Arial Unicode MS"/>
      <w:b/>
      <w:bCs/>
      <w:kern w:val="0"/>
      <w:szCs w:val="21"/>
    </w:rPr>
  </w:style>
  <w:style w:type="paragraph" w:customStyle="1" w:styleId="191">
    <w:name w:val="表格标题"/>
    <w:basedOn w:val="151"/>
    <w:semiHidden/>
    <w:uiPriority w:val="0"/>
    <w:pPr>
      <w:autoSpaceDE w:val="0"/>
      <w:autoSpaceDN w:val="0"/>
      <w:adjustRightInd w:val="0"/>
      <w:spacing w:line="240" w:lineRule="auto"/>
    </w:pPr>
    <w:rPr>
      <w:rFonts w:ascii="楷体_GB2312" w:eastAsia="楷体_GB2312" w:cs="楷体_GB2312"/>
      <w:b/>
      <w:bCs/>
      <w:color w:val="000000"/>
      <w:sz w:val="28"/>
      <w:szCs w:val="28"/>
    </w:rPr>
  </w:style>
  <w:style w:type="paragraph" w:customStyle="1" w:styleId="192">
    <w:name w:val="xl26"/>
    <w:basedOn w:val="1"/>
    <w:semiHidden/>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cs="宋体"/>
      <w:kern w:val="0"/>
      <w:szCs w:val="24"/>
    </w:rPr>
  </w:style>
  <w:style w:type="paragraph" w:customStyle="1" w:styleId="193">
    <w:name w:val="xl24"/>
    <w:basedOn w:val="1"/>
    <w:semiHidden/>
    <w:uiPriority w:val="0"/>
    <w:pPr>
      <w:widowControl/>
      <w:pBdr>
        <w:bottom w:val="single" w:color="auto" w:sz="4" w:space="0"/>
        <w:right w:val="single" w:color="auto" w:sz="4" w:space="0"/>
      </w:pBdr>
      <w:spacing w:before="100" w:beforeAutospacing="1" w:after="100" w:afterAutospacing="1"/>
      <w:jc w:val="center"/>
    </w:pPr>
    <w:rPr>
      <w:rFonts w:ascii="Arial Unicode MS" w:hAnsi="Arial Unicode MS" w:cs="Arial Unicode MS"/>
      <w:b/>
      <w:bCs/>
      <w:kern w:val="0"/>
      <w:szCs w:val="21"/>
    </w:rPr>
  </w:style>
  <w:style w:type="paragraph" w:customStyle="1" w:styleId="194">
    <w:name w:val="标题 41"/>
    <w:basedOn w:val="1"/>
    <w:semiHidden/>
    <w:uiPriority w:val="0"/>
    <w:pPr>
      <w:keepNext/>
      <w:spacing w:line="400" w:lineRule="exact"/>
      <w:jc w:val="center"/>
    </w:pPr>
    <w:rPr>
      <w:rFonts w:ascii="宋体" w:hAnsi="宋体" w:cs="宋体"/>
      <w:b/>
      <w:bCs/>
      <w:szCs w:val="21"/>
    </w:rPr>
  </w:style>
  <w:style w:type="paragraph" w:customStyle="1" w:styleId="195">
    <w:name w:val="表格"/>
    <w:next w:val="1"/>
    <w:qFormat/>
    <w:uiPriority w:val="0"/>
    <w:pPr>
      <w:snapToGrid w:val="0"/>
      <w:spacing w:line="240" w:lineRule="atLeast"/>
      <w:jc w:val="center"/>
    </w:pPr>
    <w:rPr>
      <w:rFonts w:ascii="Times New Roman" w:hAnsi="Times New Roman" w:eastAsia="仿宋_GB2312" w:cs="宋体"/>
      <w:kern w:val="2"/>
      <w:sz w:val="24"/>
      <w:lang w:val="en-US" w:eastAsia="zh-CN" w:bidi="ar-SA"/>
    </w:rPr>
  </w:style>
  <w:style w:type="paragraph" w:customStyle="1" w:styleId="196">
    <w:name w:val="xl45"/>
    <w:basedOn w:val="1"/>
    <w:semiHidden/>
    <w:uiPriority w:val="0"/>
    <w:pPr>
      <w:widowControl/>
      <w:pBdr>
        <w:left w:val="single" w:color="auto" w:sz="4" w:space="0"/>
        <w:bottom w:val="single" w:color="auto" w:sz="4" w:space="0"/>
      </w:pBdr>
      <w:spacing w:before="100" w:beforeAutospacing="1" w:after="100" w:afterAutospacing="1"/>
      <w:jc w:val="center"/>
    </w:pPr>
    <w:rPr>
      <w:rFonts w:ascii="Arial Unicode MS" w:hAnsi="Arial Unicode MS" w:cs="Arial Unicode MS"/>
      <w:b/>
      <w:bCs/>
      <w:kern w:val="0"/>
      <w:szCs w:val="21"/>
    </w:rPr>
  </w:style>
  <w:style w:type="paragraph" w:customStyle="1" w:styleId="197">
    <w:name w:val="表头文字"/>
    <w:basedOn w:val="37"/>
    <w:uiPriority w:val="0"/>
    <w:pPr>
      <w:jc w:val="center"/>
    </w:pPr>
    <w:rPr>
      <w:spacing w:val="2"/>
      <w:sz w:val="24"/>
      <w:szCs w:val="20"/>
    </w:rPr>
  </w:style>
  <w:style w:type="paragraph" w:customStyle="1" w:styleId="198">
    <w:name w:val="标题 3 + Arial 小四 非加粗 段前: 0 磅 段后: 6 磅 行距: 固定值 22 磅"/>
    <w:basedOn w:val="4"/>
    <w:next w:val="1"/>
    <w:semiHidden/>
    <w:uiPriority w:val="0"/>
    <w:pPr>
      <w:spacing w:before="0" w:line="440" w:lineRule="exact"/>
      <w:ind w:firstLine="0" w:firstLineChars="0"/>
    </w:pPr>
    <w:rPr>
      <w:rFonts w:eastAsia="宋体"/>
      <w:bCs w:val="0"/>
      <w:sz w:val="24"/>
      <w:szCs w:val="24"/>
    </w:rPr>
  </w:style>
  <w:style w:type="paragraph" w:customStyle="1" w:styleId="199">
    <w:name w:val="xl43"/>
    <w:basedOn w:val="1"/>
    <w:semiHidden/>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cs="Arial Unicode MS"/>
      <w:kern w:val="0"/>
      <w:szCs w:val="21"/>
    </w:rPr>
  </w:style>
  <w:style w:type="paragraph" w:customStyle="1" w:styleId="200">
    <w:name w:val="font5"/>
    <w:basedOn w:val="1"/>
    <w:semiHidden/>
    <w:uiPriority w:val="0"/>
    <w:pPr>
      <w:widowControl/>
      <w:spacing w:before="100" w:beforeAutospacing="1" w:after="100" w:afterAutospacing="1"/>
      <w:jc w:val="left"/>
    </w:pPr>
    <w:rPr>
      <w:rFonts w:ascii="宋体" w:hAnsi="宋体" w:cs="宋体"/>
      <w:kern w:val="0"/>
      <w:sz w:val="18"/>
      <w:szCs w:val="18"/>
    </w:rPr>
  </w:style>
  <w:style w:type="paragraph" w:customStyle="1" w:styleId="201">
    <w:name w:val="奇数页脚"/>
    <w:basedOn w:val="1"/>
    <w:semiHidden/>
    <w:uiPriority w:val="0"/>
    <w:pPr>
      <w:snapToGrid w:val="0"/>
      <w:spacing w:before="120" w:after="120" w:line="460" w:lineRule="exact"/>
      <w:ind w:right="360" w:firstLine="525" w:firstLineChars="250"/>
    </w:pPr>
    <w:rPr>
      <w:rFonts w:eastAsia="楷体_GB2312"/>
      <w:i/>
      <w:iCs/>
      <w:szCs w:val="21"/>
    </w:rPr>
  </w:style>
  <w:style w:type="paragraph" w:customStyle="1" w:styleId="202">
    <w:name w:val="Char Char Char Char Char Char Char Char Char"/>
    <w:basedOn w:val="1"/>
    <w:uiPriority w:val="0"/>
    <w:pPr>
      <w:widowControl/>
      <w:spacing w:after="160" w:line="240" w:lineRule="exact"/>
      <w:jc w:val="left"/>
    </w:pPr>
    <w:rPr>
      <w:szCs w:val="24"/>
    </w:rPr>
  </w:style>
  <w:style w:type="paragraph" w:customStyle="1" w:styleId="203">
    <w:name w:val="xl30"/>
    <w:basedOn w:val="1"/>
    <w:semiHidden/>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cs="Arial Unicode MS"/>
      <w:kern w:val="0"/>
      <w:szCs w:val="24"/>
    </w:rPr>
  </w:style>
  <w:style w:type="paragraph" w:customStyle="1" w:styleId="204">
    <w:name w:val="初设正文"/>
    <w:basedOn w:val="205"/>
    <w:semiHidden/>
    <w:uiPriority w:val="0"/>
    <w:pPr>
      <w:ind w:left="425" w:firstLine="425" w:firstLineChars="0"/>
    </w:pPr>
  </w:style>
  <w:style w:type="paragraph" w:customStyle="1" w:styleId="205">
    <w:name w:val="样式 样式 左侧:  1.5 厘米 首行缩进:  0 厘米 + 左侧:  0 厘米"/>
    <w:basedOn w:val="206"/>
    <w:semiHidden/>
    <w:uiPriority w:val="0"/>
    <w:pPr>
      <w:ind w:left="0"/>
    </w:pPr>
  </w:style>
  <w:style w:type="paragraph" w:customStyle="1" w:styleId="206">
    <w:name w:val="样式 左侧:  1.5 厘米 首行缩进:  0 厘米"/>
    <w:basedOn w:val="1"/>
    <w:semiHidden/>
    <w:qFormat/>
    <w:uiPriority w:val="0"/>
    <w:pPr>
      <w:spacing w:after="120" w:line="440" w:lineRule="exact"/>
      <w:ind w:left="851"/>
    </w:pPr>
    <w:rPr>
      <w:rFonts w:ascii="Arial" w:hAnsi="Arial" w:cs="Arial"/>
      <w:kern w:val="0"/>
      <w:szCs w:val="24"/>
    </w:rPr>
  </w:style>
  <w:style w:type="paragraph" w:customStyle="1" w:styleId="207">
    <w:name w:val="表格文字L16"/>
    <w:basedOn w:val="1"/>
    <w:uiPriority w:val="0"/>
    <w:pPr>
      <w:adjustRightInd w:val="0"/>
      <w:snapToGrid w:val="0"/>
      <w:spacing w:line="320" w:lineRule="exact"/>
      <w:jc w:val="center"/>
    </w:pPr>
    <w:rPr>
      <w:color w:val="000000"/>
      <w:kern w:val="32"/>
    </w:rPr>
  </w:style>
  <w:style w:type="paragraph" w:customStyle="1" w:styleId="208">
    <w:name w:val="偶数页眉"/>
    <w:basedOn w:val="1"/>
    <w:semiHidden/>
    <w:uiPriority w:val="0"/>
    <w:pPr>
      <w:snapToGrid w:val="0"/>
      <w:spacing w:before="120" w:after="120" w:line="460" w:lineRule="exact"/>
      <w:ind w:firstLine="300" w:firstLineChars="300"/>
    </w:pPr>
    <w:rPr>
      <w:rFonts w:eastAsia="楷体_GB2312"/>
      <w:i/>
      <w:iCs/>
      <w:szCs w:val="21"/>
    </w:rPr>
  </w:style>
  <w:style w:type="paragraph" w:customStyle="1" w:styleId="209">
    <w:name w:val="标题 21"/>
    <w:basedOn w:val="1"/>
    <w:semiHidden/>
    <w:uiPriority w:val="0"/>
    <w:pPr>
      <w:keepNext/>
      <w:keepLines/>
      <w:spacing w:before="240" w:after="240"/>
      <w:ind w:firstLine="567"/>
    </w:pPr>
    <w:rPr>
      <w:rFonts w:ascii="黑体" w:hAnsi="Arial" w:eastAsia="黑体" w:cs="黑体"/>
      <w:b/>
      <w:bCs/>
      <w:sz w:val="32"/>
      <w:szCs w:val="32"/>
    </w:rPr>
  </w:style>
  <w:style w:type="paragraph" w:customStyle="1" w:styleId="210">
    <w:name w:val="xl46"/>
    <w:basedOn w:val="1"/>
    <w:semiHidden/>
    <w:uiPriority w:val="0"/>
    <w:pPr>
      <w:widowControl/>
      <w:pBdr>
        <w:top w:val="single" w:color="auto" w:sz="4" w:space="0"/>
        <w:bottom w:val="single" w:color="auto" w:sz="4" w:space="0"/>
        <w:right w:val="single" w:color="auto" w:sz="4" w:space="0"/>
      </w:pBdr>
      <w:spacing w:before="100" w:beforeAutospacing="1" w:after="100" w:afterAutospacing="1"/>
      <w:jc w:val="center"/>
    </w:pPr>
    <w:rPr>
      <w:kern w:val="0"/>
      <w:szCs w:val="21"/>
    </w:rPr>
  </w:style>
  <w:style w:type="paragraph" w:customStyle="1" w:styleId="211">
    <w:name w:val="xl32"/>
    <w:basedOn w:val="1"/>
    <w:semiHidden/>
    <w:uiPriority w:val="0"/>
    <w:pPr>
      <w:widowControl/>
      <w:pBdr>
        <w:bottom w:val="single" w:color="auto" w:sz="4" w:space="0"/>
        <w:right w:val="single" w:color="auto" w:sz="4" w:space="0"/>
      </w:pBdr>
      <w:spacing w:before="100" w:beforeAutospacing="1" w:after="100" w:afterAutospacing="1"/>
      <w:jc w:val="right"/>
    </w:pPr>
    <w:rPr>
      <w:rFonts w:ascii="Arial Unicode MS" w:hAnsi="Arial Unicode MS" w:cs="Arial Unicode MS"/>
      <w:kern w:val="0"/>
      <w:szCs w:val="21"/>
    </w:rPr>
  </w:style>
  <w:style w:type="paragraph" w:customStyle="1" w:styleId="212">
    <w:name w:val="Achievement"/>
    <w:basedOn w:val="1"/>
    <w:semiHidden/>
    <w:uiPriority w:val="0"/>
    <w:pPr>
      <w:tabs>
        <w:tab w:val="left" w:pos="420"/>
        <w:tab w:val="left" w:pos="1620"/>
      </w:tabs>
      <w:spacing w:line="440" w:lineRule="exact"/>
      <w:ind w:left="420" w:hanging="420"/>
    </w:pPr>
    <w:rPr>
      <w:szCs w:val="21"/>
    </w:rPr>
  </w:style>
  <w:style w:type="paragraph" w:customStyle="1" w:styleId="213">
    <w:name w:val="xl29"/>
    <w:basedOn w:val="1"/>
    <w:semiHidden/>
    <w:uiPriority w:val="0"/>
    <w:pPr>
      <w:widowControl/>
      <w:pBdr>
        <w:left w:val="single" w:color="auto" w:sz="4" w:space="0"/>
        <w:right w:val="single" w:color="auto" w:sz="4" w:space="0"/>
      </w:pBdr>
      <w:spacing w:before="100" w:beforeAutospacing="1" w:after="100" w:afterAutospacing="1"/>
      <w:jc w:val="left"/>
    </w:pPr>
    <w:rPr>
      <w:rFonts w:ascii="Arial Unicode MS" w:hAnsi="Arial Unicode MS" w:cs="Arial Unicode MS"/>
      <w:kern w:val="0"/>
      <w:szCs w:val="24"/>
    </w:rPr>
  </w:style>
  <w:style w:type="paragraph" w:customStyle="1" w:styleId="214">
    <w:name w:val="xl36"/>
    <w:basedOn w:val="1"/>
    <w:semiHidden/>
    <w:uiPriority w:val="0"/>
    <w:pPr>
      <w:widowControl/>
      <w:pBdr>
        <w:left w:val="single" w:color="auto" w:sz="4" w:space="0"/>
        <w:bottom w:val="single" w:color="auto" w:sz="4" w:space="0"/>
        <w:right w:val="single" w:color="auto" w:sz="4" w:space="0"/>
      </w:pBdr>
      <w:spacing w:before="100" w:beforeAutospacing="1" w:after="100" w:afterAutospacing="1"/>
      <w:jc w:val="center"/>
    </w:pPr>
    <w:rPr>
      <w:b/>
      <w:bCs/>
      <w:kern w:val="0"/>
      <w:szCs w:val="21"/>
    </w:rPr>
  </w:style>
  <w:style w:type="paragraph" w:customStyle="1" w:styleId="215">
    <w:name w:val="font6"/>
    <w:basedOn w:val="1"/>
    <w:semiHidden/>
    <w:uiPriority w:val="0"/>
    <w:pPr>
      <w:widowControl/>
      <w:spacing w:before="100" w:beforeAutospacing="1" w:after="100" w:afterAutospacing="1"/>
      <w:jc w:val="left"/>
    </w:pPr>
    <w:rPr>
      <w:rFonts w:ascii="宋体" w:hAnsi="宋体" w:cs="宋体"/>
      <w:b/>
      <w:bCs/>
      <w:kern w:val="0"/>
      <w:szCs w:val="21"/>
    </w:rPr>
  </w:style>
  <w:style w:type="paragraph" w:customStyle="1" w:styleId="216">
    <w:name w:val="Char1"/>
    <w:basedOn w:val="1"/>
    <w:semiHidden/>
    <w:uiPriority w:val="0"/>
    <w:pPr>
      <w:spacing w:line="560" w:lineRule="exact"/>
    </w:pPr>
    <w:rPr>
      <w:rFonts w:ascii="宋体" w:hAnsi="宋体" w:cs="宋体"/>
      <w:sz w:val="28"/>
      <w:szCs w:val="28"/>
    </w:rPr>
  </w:style>
  <w:style w:type="paragraph" w:customStyle="1" w:styleId="217">
    <w:name w:val="偶数页脚"/>
    <w:basedOn w:val="1"/>
    <w:semiHidden/>
    <w:uiPriority w:val="0"/>
    <w:pPr>
      <w:wordWrap w:val="0"/>
      <w:snapToGrid w:val="0"/>
      <w:spacing w:before="120" w:after="120" w:line="460" w:lineRule="exact"/>
      <w:ind w:right="360" w:firstLine="420"/>
      <w:jc w:val="right"/>
    </w:pPr>
    <w:rPr>
      <w:rFonts w:eastAsia="楷体_GB2312"/>
      <w:i/>
      <w:iCs/>
      <w:szCs w:val="21"/>
    </w:rPr>
  </w:style>
  <w:style w:type="paragraph" w:customStyle="1" w:styleId="218">
    <w:name w:val="xl39"/>
    <w:basedOn w:val="1"/>
    <w:semiHidden/>
    <w:uiPriority w:val="0"/>
    <w:pPr>
      <w:widowControl/>
      <w:pBdr>
        <w:left w:val="single" w:color="auto" w:sz="4" w:space="0"/>
        <w:bottom w:val="single" w:color="auto" w:sz="8" w:space="0"/>
        <w:right w:val="single" w:color="auto" w:sz="8" w:space="0"/>
      </w:pBdr>
      <w:spacing w:before="100" w:beforeAutospacing="1" w:after="100" w:afterAutospacing="1"/>
      <w:jc w:val="center"/>
      <w:textAlignment w:val="center"/>
    </w:pPr>
    <w:rPr>
      <w:rFonts w:ascii="宋体" w:hAnsi="宋体" w:cs="宋体"/>
      <w:kern w:val="0"/>
      <w:szCs w:val="24"/>
    </w:rPr>
  </w:style>
  <w:style w:type="paragraph" w:customStyle="1" w:styleId="219">
    <w:name w:val="xl47"/>
    <w:basedOn w:val="1"/>
    <w:semiHidden/>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Cs w:val="21"/>
    </w:rPr>
  </w:style>
  <w:style w:type="paragraph" w:customStyle="1" w:styleId="220">
    <w:name w:val="xl35"/>
    <w:basedOn w:val="1"/>
    <w:semiHidden/>
    <w:uiPriority w:val="0"/>
    <w:pPr>
      <w:widowControl/>
      <w:pBdr>
        <w:right w:val="single" w:color="auto" w:sz="4" w:space="0"/>
      </w:pBdr>
      <w:spacing w:before="100" w:beforeAutospacing="1" w:after="100" w:afterAutospacing="1"/>
      <w:jc w:val="center"/>
    </w:pPr>
    <w:rPr>
      <w:kern w:val="0"/>
      <w:szCs w:val="21"/>
    </w:rPr>
  </w:style>
  <w:style w:type="paragraph" w:customStyle="1" w:styleId="221">
    <w:name w:val="正文缩进 New New New"/>
    <w:basedOn w:val="1"/>
    <w:uiPriority w:val="0"/>
    <w:pPr>
      <w:ind w:firstLine="420"/>
    </w:pPr>
  </w:style>
  <w:style w:type="paragraph" w:customStyle="1" w:styleId="222">
    <w:name w:val="标题 31"/>
    <w:basedOn w:val="1"/>
    <w:semiHidden/>
    <w:uiPriority w:val="0"/>
    <w:pPr>
      <w:keepNext/>
      <w:keepLines/>
      <w:tabs>
        <w:tab w:val="left" w:pos="5565"/>
      </w:tabs>
      <w:spacing w:before="120" w:after="120"/>
      <w:ind w:firstLine="567"/>
    </w:pPr>
    <w:rPr>
      <w:rFonts w:ascii="黑体" w:hAnsi="宋体" w:eastAsia="黑体" w:cs="黑体"/>
      <w:b/>
      <w:bCs/>
      <w:sz w:val="28"/>
      <w:szCs w:val="28"/>
    </w:rPr>
  </w:style>
  <w:style w:type="paragraph" w:customStyle="1" w:styleId="223">
    <w:name w:val="正"/>
    <w:basedOn w:val="1"/>
    <w:semiHidden/>
    <w:uiPriority w:val="0"/>
    <w:pPr>
      <w:spacing w:after="60" w:line="500" w:lineRule="exact"/>
      <w:ind w:firstLine="525"/>
    </w:pPr>
    <w:rPr>
      <w:spacing w:val="20"/>
      <w:sz w:val="28"/>
    </w:rPr>
  </w:style>
  <w:style w:type="paragraph" w:customStyle="1" w:styleId="224">
    <w:name w:val="标题 11"/>
    <w:basedOn w:val="1"/>
    <w:semiHidden/>
    <w:uiPriority w:val="0"/>
    <w:pPr>
      <w:keepNext/>
      <w:keepLines/>
      <w:spacing w:before="240" w:after="240"/>
      <w:jc w:val="center"/>
    </w:pPr>
    <w:rPr>
      <w:rFonts w:ascii="隶书" w:eastAsia="隶书" w:cs="隶书"/>
      <w:b/>
      <w:bCs/>
      <w:kern w:val="44"/>
      <w:sz w:val="44"/>
      <w:szCs w:val="44"/>
    </w:rPr>
  </w:style>
  <w:style w:type="paragraph" w:customStyle="1" w:styleId="225">
    <w:name w:val="proposal"/>
    <w:basedOn w:val="1"/>
    <w:semiHidden/>
    <w:uiPriority w:val="0"/>
    <w:pPr>
      <w:widowControl/>
      <w:spacing w:line="300" w:lineRule="auto"/>
      <w:ind w:left="1440" w:hanging="1440"/>
    </w:pPr>
    <w:rPr>
      <w:kern w:val="0"/>
      <w:szCs w:val="24"/>
      <w:lang w:val="en-GB"/>
    </w:rPr>
  </w:style>
  <w:style w:type="paragraph" w:customStyle="1" w:styleId="226">
    <w:name w:val="xl41"/>
    <w:basedOn w:val="1"/>
    <w:semiHidden/>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cs="Arial Unicode MS"/>
      <w:b/>
      <w:bCs/>
      <w:kern w:val="0"/>
      <w:szCs w:val="21"/>
    </w:rPr>
  </w:style>
  <w:style w:type="paragraph" w:customStyle="1" w:styleId="227">
    <w:name w:val="1级标题"/>
    <w:next w:val="1"/>
    <w:semiHidden/>
    <w:uiPriority w:val="0"/>
    <w:pPr>
      <w:spacing w:before="360" w:after="320"/>
      <w:jc w:val="center"/>
      <w:outlineLvl w:val="0"/>
    </w:pPr>
    <w:rPr>
      <w:rFonts w:ascii="华文中宋" w:hAnsi="华文中宋" w:eastAsia="华文中宋" w:cs="华文中宋"/>
      <w:kern w:val="2"/>
      <w:sz w:val="44"/>
      <w:szCs w:val="44"/>
      <w:lang w:val="en-US" w:eastAsia="zh-CN" w:bidi="ar-SA"/>
    </w:rPr>
  </w:style>
  <w:style w:type="paragraph" w:customStyle="1" w:styleId="228">
    <w:name w:val="xl55"/>
    <w:basedOn w:val="1"/>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b/>
      <w:bCs/>
      <w:kern w:val="0"/>
      <w:szCs w:val="24"/>
    </w:rPr>
  </w:style>
  <w:style w:type="paragraph" w:customStyle="1" w:styleId="229">
    <w:name w:val="表格注"/>
    <w:basedOn w:val="150"/>
    <w:semiHidden/>
    <w:uiPriority w:val="0"/>
    <w:pPr>
      <w:ind w:firstLine="315" w:firstLineChars="150"/>
      <w:jc w:val="left"/>
    </w:pPr>
  </w:style>
  <w:style w:type="paragraph" w:customStyle="1" w:styleId="230">
    <w:name w:val="font8"/>
    <w:basedOn w:val="1"/>
    <w:semiHidden/>
    <w:uiPriority w:val="0"/>
    <w:pPr>
      <w:widowControl/>
      <w:spacing w:before="100" w:beforeAutospacing="1" w:after="100" w:afterAutospacing="1"/>
      <w:jc w:val="left"/>
    </w:pPr>
    <w:rPr>
      <w:rFonts w:ascii="宋体" w:hAnsi="宋体" w:cs="宋体"/>
      <w:b/>
      <w:bCs/>
      <w:kern w:val="0"/>
      <w:szCs w:val="21"/>
    </w:rPr>
  </w:style>
  <w:style w:type="paragraph" w:customStyle="1" w:styleId="231">
    <w:name w:val="正文 1"/>
    <w:basedOn w:val="1"/>
    <w:semiHidden/>
    <w:uiPriority w:val="0"/>
    <w:pPr>
      <w:spacing w:line="440" w:lineRule="exact"/>
      <w:ind w:firstLine="510"/>
    </w:pPr>
    <w:rPr>
      <w:szCs w:val="24"/>
    </w:rPr>
  </w:style>
  <w:style w:type="paragraph" w:customStyle="1" w:styleId="232">
    <w:name w:val="xl44"/>
    <w:basedOn w:val="1"/>
    <w:semiHidden/>
    <w:uiPriority w:val="0"/>
    <w:pPr>
      <w:widowControl/>
      <w:pBdr>
        <w:top w:val="single" w:color="auto" w:sz="4" w:space="0"/>
        <w:left w:val="single" w:color="auto" w:sz="4" w:space="0"/>
      </w:pBdr>
      <w:spacing w:before="100" w:beforeAutospacing="1" w:after="100" w:afterAutospacing="1"/>
      <w:jc w:val="center"/>
    </w:pPr>
    <w:rPr>
      <w:rFonts w:ascii="Arial Unicode MS" w:hAnsi="Arial Unicode MS" w:cs="Arial Unicode MS"/>
      <w:b/>
      <w:bCs/>
      <w:kern w:val="0"/>
      <w:szCs w:val="21"/>
    </w:rPr>
  </w:style>
  <w:style w:type="paragraph" w:customStyle="1" w:styleId="233">
    <w:name w:val="样式1"/>
    <w:basedOn w:val="1"/>
    <w:semiHidden/>
    <w:uiPriority w:val="0"/>
    <w:pPr>
      <w:ind w:firstLine="560"/>
    </w:pPr>
    <w:rPr>
      <w:sz w:val="28"/>
      <w:szCs w:val="28"/>
    </w:rPr>
  </w:style>
  <w:style w:type="paragraph" w:customStyle="1" w:styleId="234">
    <w:name w:val="xl28"/>
    <w:basedOn w:val="1"/>
    <w:semiHidden/>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cs="Arial Unicode MS"/>
      <w:b/>
      <w:bCs/>
      <w:kern w:val="0"/>
      <w:szCs w:val="21"/>
    </w:rPr>
  </w:style>
  <w:style w:type="paragraph" w:customStyle="1" w:styleId="235">
    <w:name w:val="2"/>
    <w:basedOn w:val="1"/>
    <w:semiHidden/>
    <w:uiPriority w:val="0"/>
    <w:rPr>
      <w:szCs w:val="21"/>
    </w:rPr>
  </w:style>
  <w:style w:type="paragraph" w:customStyle="1" w:styleId="236">
    <w:name w:val="表格正文"/>
    <w:semiHidden/>
    <w:uiPriority w:val="0"/>
    <w:pPr>
      <w:widowControl w:val="0"/>
      <w:spacing w:line="440" w:lineRule="exact"/>
      <w:jc w:val="center"/>
    </w:pPr>
    <w:rPr>
      <w:rFonts w:ascii="宋体" w:hAnsi="宋体" w:eastAsia="宋体" w:cs="宋体"/>
      <w:kern w:val="2"/>
      <w:sz w:val="21"/>
      <w:szCs w:val="21"/>
      <w:lang w:val="en-US" w:eastAsia="zh-CN" w:bidi="ar-SA"/>
    </w:rPr>
  </w:style>
  <w:style w:type="paragraph" w:customStyle="1" w:styleId="237">
    <w:name w:val="新利正文"/>
    <w:basedOn w:val="1"/>
    <w:semiHidden/>
    <w:uiPriority w:val="0"/>
    <w:pPr>
      <w:adjustRightInd w:val="0"/>
      <w:snapToGrid w:val="0"/>
      <w:spacing w:beforeLines="25" w:line="440" w:lineRule="exact"/>
    </w:pPr>
    <w:rPr>
      <w:color w:val="000000"/>
      <w:szCs w:val="24"/>
    </w:rPr>
  </w:style>
  <w:style w:type="paragraph" w:customStyle="1" w:styleId="238">
    <w:name w:val="xl33"/>
    <w:basedOn w:val="1"/>
    <w:uiPriority w:val="0"/>
    <w:pPr>
      <w:widowControl/>
      <w:pBdr>
        <w:bottom w:val="single" w:color="auto" w:sz="4" w:space="0"/>
        <w:right w:val="single" w:color="auto" w:sz="4" w:space="0"/>
      </w:pBdr>
      <w:spacing w:before="100" w:beforeAutospacing="1" w:after="100" w:afterAutospacing="1"/>
      <w:jc w:val="left"/>
    </w:pPr>
    <w:rPr>
      <w:kern w:val="0"/>
      <w:szCs w:val="21"/>
    </w:rPr>
  </w:style>
  <w:style w:type="paragraph" w:customStyle="1" w:styleId="239">
    <w:name w:val="xl27"/>
    <w:basedOn w:val="1"/>
    <w:semiHidden/>
    <w:uiPriority w:val="0"/>
    <w:pPr>
      <w:widowControl/>
      <w:pBdr>
        <w:bottom w:val="single" w:color="auto" w:sz="4" w:space="0"/>
        <w:right w:val="single" w:color="auto" w:sz="4" w:space="0"/>
      </w:pBdr>
      <w:spacing w:before="100" w:beforeAutospacing="1" w:after="100" w:afterAutospacing="1"/>
      <w:jc w:val="center"/>
    </w:pPr>
    <w:rPr>
      <w:rFonts w:ascii="Arial Unicode MS" w:hAnsi="Arial Unicode MS" w:cs="Arial Unicode MS"/>
      <w:kern w:val="0"/>
      <w:szCs w:val="21"/>
    </w:rPr>
  </w:style>
  <w:style w:type="paragraph" w:customStyle="1" w:styleId="240">
    <w:name w:val="Char Char Char Char Char Char Char"/>
    <w:basedOn w:val="1"/>
    <w:uiPriority w:val="0"/>
    <w:pPr>
      <w:widowControl/>
      <w:spacing w:after="160" w:line="240" w:lineRule="exact"/>
      <w:jc w:val="left"/>
    </w:pPr>
    <w:rPr>
      <w:rFonts w:ascii="Verdana" w:hAnsi="Verdana"/>
      <w:kern w:val="0"/>
      <w:sz w:val="20"/>
      <w:lang w:eastAsia="en-US"/>
    </w:rPr>
  </w:style>
  <w:style w:type="paragraph" w:customStyle="1" w:styleId="241">
    <w:name w:val="xl25"/>
    <w:basedOn w:val="1"/>
    <w:semiHidden/>
    <w:uiPriority w:val="0"/>
    <w:pPr>
      <w:widowControl/>
      <w:pBdr>
        <w:top w:val="single" w:color="auto" w:sz="4" w:space="0"/>
        <w:right w:val="single" w:color="auto" w:sz="4" w:space="0"/>
      </w:pBdr>
      <w:spacing w:before="100" w:beforeAutospacing="1" w:after="100" w:afterAutospacing="1"/>
      <w:jc w:val="center"/>
    </w:pPr>
    <w:rPr>
      <w:rFonts w:ascii="Arial Unicode MS" w:hAnsi="Arial Unicode MS" w:cs="Arial Unicode MS"/>
      <w:b/>
      <w:bCs/>
      <w:kern w:val="0"/>
      <w:szCs w:val="21"/>
    </w:rPr>
  </w:style>
  <w:style w:type="paragraph" w:customStyle="1" w:styleId="242">
    <w:name w:val="xl34"/>
    <w:basedOn w:val="1"/>
    <w:semiHidden/>
    <w:uiPriority w:val="0"/>
    <w:pPr>
      <w:widowControl/>
      <w:pBdr>
        <w:bottom w:val="single" w:color="auto" w:sz="4" w:space="0"/>
        <w:right w:val="single" w:color="auto" w:sz="4" w:space="0"/>
      </w:pBdr>
      <w:spacing w:before="100" w:beforeAutospacing="1" w:after="100" w:afterAutospacing="1"/>
      <w:jc w:val="center"/>
    </w:pPr>
    <w:rPr>
      <w:b/>
      <w:bCs/>
      <w:kern w:val="0"/>
      <w:szCs w:val="21"/>
    </w:rPr>
  </w:style>
  <w:style w:type="paragraph" w:customStyle="1" w:styleId="243">
    <w:name w:val="奇数页眉"/>
    <w:basedOn w:val="1"/>
    <w:semiHidden/>
    <w:uiPriority w:val="0"/>
    <w:pPr>
      <w:wordWrap w:val="0"/>
      <w:snapToGrid w:val="0"/>
      <w:spacing w:before="120" w:after="120" w:line="460" w:lineRule="exact"/>
      <w:ind w:firstLine="945" w:firstLineChars="450"/>
      <w:jc w:val="right"/>
    </w:pPr>
    <w:rPr>
      <w:rFonts w:eastAsia="楷体_GB2312"/>
      <w:i/>
      <w:iCs/>
      <w:szCs w:val="21"/>
    </w:rPr>
  </w:style>
  <w:style w:type="paragraph" w:customStyle="1" w:styleId="244">
    <w:name w:val="Char Char Char Char Char Char Char Char Char Char"/>
    <w:basedOn w:val="1"/>
    <w:uiPriority w:val="0"/>
    <w:pPr>
      <w:tabs>
        <w:tab w:val="left" w:pos="1080"/>
      </w:tabs>
      <w:spacing w:line="360" w:lineRule="auto"/>
    </w:pPr>
    <w:rPr>
      <w:szCs w:val="24"/>
    </w:rPr>
  </w:style>
  <w:style w:type="paragraph" w:customStyle="1" w:styleId="245">
    <w:name w:val="xl31"/>
    <w:basedOn w:val="1"/>
    <w:semiHidden/>
    <w:uiPriority w:val="0"/>
    <w:pPr>
      <w:widowControl/>
      <w:pBdr>
        <w:bottom w:val="single" w:color="auto" w:sz="4" w:space="0"/>
        <w:right w:val="single" w:color="auto" w:sz="4" w:space="0"/>
      </w:pBdr>
      <w:spacing w:before="100" w:beforeAutospacing="1" w:after="100" w:afterAutospacing="1"/>
      <w:jc w:val="center"/>
    </w:pPr>
    <w:rPr>
      <w:rFonts w:ascii="Arial Unicode MS" w:hAnsi="Arial Unicode MS" w:cs="Arial Unicode MS"/>
      <w:b/>
      <w:bCs/>
      <w:color w:val="000000"/>
      <w:kern w:val="0"/>
      <w:szCs w:val="21"/>
    </w:rPr>
  </w:style>
  <w:style w:type="paragraph" w:customStyle="1" w:styleId="246">
    <w:name w:val="表头"/>
    <w:basedOn w:val="237"/>
    <w:semiHidden/>
    <w:uiPriority w:val="0"/>
    <w:pPr>
      <w:keepNext/>
      <w:spacing w:before="60" w:afterLines="20"/>
      <w:ind w:firstLine="0" w:firstLineChars="0"/>
      <w:jc w:val="center"/>
    </w:pPr>
    <w:rPr>
      <w:b/>
      <w:bCs/>
    </w:rPr>
  </w:style>
  <w:style w:type="paragraph" w:customStyle="1" w:styleId="247">
    <w:name w:val="表图标题"/>
    <w:basedOn w:val="1"/>
    <w:uiPriority w:val="0"/>
    <w:pPr>
      <w:widowControl/>
      <w:autoSpaceDE w:val="0"/>
      <w:autoSpaceDN w:val="0"/>
      <w:adjustRightInd w:val="0"/>
      <w:snapToGrid w:val="0"/>
      <w:spacing w:before="120" w:line="300" w:lineRule="auto"/>
      <w:ind w:firstLine="482"/>
      <w:jc w:val="center"/>
      <w:textAlignment w:val="bottom"/>
    </w:pPr>
    <w:rPr>
      <w:rFonts w:ascii="宋体"/>
      <w:kern w:val="0"/>
    </w:rPr>
  </w:style>
  <w:style w:type="table" w:customStyle="1" w:styleId="248">
    <w:name w:val="表格标准5号"/>
    <w:basedOn w:val="71"/>
    <w:uiPriority w:val="0"/>
    <w:pPr>
      <w:jc w:val="center"/>
    </w:pPr>
    <w:rPr>
      <w:sz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jc w:val="center"/>
    </w:trPr>
    <w:tcPr>
      <w:vAlign w:val="center"/>
    </w:tcPr>
  </w:style>
  <w:style w:type="paragraph" w:customStyle="1" w:styleId="249">
    <w:name w:val="表文"/>
    <w:basedOn w:val="1"/>
    <w:qFormat/>
    <w:uiPriority w:val="0"/>
    <w:pPr>
      <w:adjustRightInd w:val="0"/>
      <w:snapToGrid w:val="0"/>
      <w:spacing w:line="300" w:lineRule="exact"/>
      <w:ind w:firstLine="0" w:firstLineChars="0"/>
    </w:pPr>
    <w:rPr>
      <w:sz w:val="21"/>
    </w:rPr>
  </w:style>
  <w:style w:type="paragraph" w:customStyle="1" w:styleId="250">
    <w:name w:val="表内正文"/>
    <w:basedOn w:val="1"/>
    <w:uiPriority w:val="0"/>
    <w:pPr>
      <w:spacing w:line="240" w:lineRule="auto"/>
      <w:ind w:firstLine="0" w:firstLineChars="0"/>
    </w:pPr>
    <w:rPr>
      <w:rFonts w:ascii="仿宋_GB2312" w:hAnsi="宋体" w:eastAsia="仿宋_GB2312"/>
      <w:sz w:val="21"/>
      <w:szCs w:val="24"/>
    </w:rPr>
  </w:style>
  <w:style w:type="paragraph" w:styleId="251">
    <w:name w:val="List Paragraph"/>
    <w:basedOn w:val="1"/>
    <w:qFormat/>
    <w:uiPriority w:val="34"/>
    <w:pPr>
      <w:ind w:firstLine="420"/>
    </w:pPr>
  </w:style>
  <w:style w:type="paragraph" w:customStyle="1" w:styleId="252">
    <w:name w:val="标准正文"/>
    <w:basedOn w:val="1"/>
    <w:link w:val="253"/>
    <w:qFormat/>
    <w:uiPriority w:val="0"/>
    <w:pPr>
      <w:spacing w:line="360" w:lineRule="auto"/>
      <w:ind w:firstLine="480"/>
      <w:jc w:val="left"/>
    </w:pPr>
    <w:rPr>
      <w:szCs w:val="22"/>
    </w:rPr>
  </w:style>
  <w:style w:type="character" w:customStyle="1" w:styleId="253">
    <w:name w:val="标准正文 Char Char"/>
    <w:link w:val="252"/>
    <w:uiPriority w:val="0"/>
    <w:rPr>
      <w:kern w:val="2"/>
      <w:sz w:val="24"/>
      <w:szCs w:val="22"/>
    </w:rPr>
  </w:style>
  <w:style w:type="character" w:customStyle="1" w:styleId="254">
    <w:name w:val="页脚 Char"/>
    <w:basedOn w:val="115"/>
    <w:link w:val="45"/>
    <w:uiPriority w:val="99"/>
    <w:rPr>
      <w:kern w:val="2"/>
      <w:sz w:val="18"/>
      <w:szCs w:val="18"/>
    </w:rPr>
  </w:style>
  <w:style w:type="character" w:customStyle="1" w:styleId="255">
    <w:name w:val="表头 Char Char Char Char"/>
    <w:link w:val="256"/>
    <w:uiPriority w:val="0"/>
    <w:rPr>
      <w:b/>
      <w:kern w:val="24"/>
      <w:sz w:val="24"/>
    </w:rPr>
  </w:style>
  <w:style w:type="paragraph" w:customStyle="1" w:styleId="256">
    <w:name w:val="表头 Char Char Char"/>
    <w:basedOn w:val="1"/>
    <w:next w:val="1"/>
    <w:link w:val="255"/>
    <w:uiPriority w:val="0"/>
    <w:pPr>
      <w:snapToGrid w:val="0"/>
      <w:spacing w:before="120" w:after="120" w:line="240" w:lineRule="auto"/>
      <w:ind w:firstLine="0" w:firstLineChars="0"/>
      <w:jc w:val="center"/>
    </w:pPr>
    <w:rPr>
      <w:b/>
      <w:kern w:val="24"/>
    </w:rPr>
  </w:style>
  <w:style w:type="character" w:customStyle="1" w:styleId="257">
    <w:name w:val="无间隔 字符"/>
    <w:link w:val="258"/>
    <w:qFormat/>
    <w:uiPriority w:val="0"/>
    <w:rPr>
      <w:kern w:val="2"/>
      <w:sz w:val="24"/>
      <w:szCs w:val="22"/>
    </w:rPr>
  </w:style>
  <w:style w:type="paragraph" w:customStyle="1" w:styleId="258">
    <w:name w:val="无间隔1"/>
    <w:link w:val="257"/>
    <w:qFormat/>
    <w:uiPriority w:val="0"/>
    <w:pPr>
      <w:widowControl w:val="0"/>
      <w:jc w:val="both"/>
    </w:pPr>
    <w:rPr>
      <w:rFonts w:ascii="Times New Roman" w:hAnsi="Times New Roman" w:eastAsia="宋体" w:cs="Times New Roman"/>
      <w:kern w:val="2"/>
      <w:sz w:val="24"/>
      <w:szCs w:val="22"/>
      <w:lang w:val="en-US" w:eastAsia="zh-CN" w:bidi="ar-SA"/>
    </w:rPr>
  </w:style>
  <w:style w:type="paragraph" w:customStyle="1" w:styleId="259">
    <w:name w:val="Table Paragraph"/>
    <w:basedOn w:val="1"/>
    <w:unhideWhenUsed/>
    <w:qFormat/>
    <w:uiPriority w:val="1"/>
    <w:pPr>
      <w:spacing w:line="240" w:lineRule="auto"/>
      <w:ind w:firstLine="0" w:firstLineChars="0"/>
    </w:pPr>
    <w:rPr>
      <w:szCs w:val="24"/>
    </w:rPr>
  </w:style>
  <w:style w:type="paragraph" w:customStyle="1" w:styleId="260">
    <w:name w:val="W三级"/>
    <w:basedOn w:val="1"/>
    <w:uiPriority w:val="0"/>
    <w:pPr>
      <w:autoSpaceDE w:val="0"/>
      <w:autoSpaceDN w:val="0"/>
      <w:adjustRightInd w:val="0"/>
      <w:spacing w:beforeLines="50"/>
      <w:ind w:firstLine="0" w:firstLineChars="0"/>
      <w:outlineLvl w:val="2"/>
    </w:pPr>
    <w:rPr>
      <w:rFonts w:hAnsi="Calibri" w:eastAsia="黑体" w:cs="宋体"/>
      <w:bCs/>
      <w:color w:val="000000"/>
      <w:kern w:val="0"/>
      <w:sz w:val="28"/>
      <w:szCs w:val="28"/>
    </w:rPr>
  </w:style>
  <w:style w:type="character" w:customStyle="1" w:styleId="261">
    <w:name w:val="我的正文 Char Char"/>
    <w:link w:val="262"/>
    <w:locked/>
    <w:uiPriority w:val="0"/>
    <w:rPr>
      <w:kern w:val="2"/>
      <w:sz w:val="24"/>
      <w:szCs w:val="24"/>
    </w:rPr>
  </w:style>
  <w:style w:type="paragraph" w:customStyle="1" w:styleId="262">
    <w:name w:val="我的正文"/>
    <w:basedOn w:val="1"/>
    <w:link w:val="261"/>
    <w:qFormat/>
    <w:uiPriority w:val="0"/>
    <w:pPr>
      <w:spacing w:line="460" w:lineRule="exact"/>
      <w:ind w:firstLine="482" w:firstLineChars="0"/>
    </w:pPr>
    <w:rPr>
      <w:szCs w:val="24"/>
    </w:rPr>
  </w:style>
  <w:style w:type="paragraph" w:customStyle="1" w:styleId="263">
    <w:name w:val="正文1"/>
    <w:basedOn w:val="1"/>
    <w:link w:val="265"/>
    <w:qFormat/>
    <w:uiPriority w:val="0"/>
    <w:pPr>
      <w:spacing w:line="500" w:lineRule="exact"/>
      <w:ind w:firstLine="560" w:firstLineChars="0"/>
    </w:pPr>
    <w:rPr>
      <w:sz w:val="28"/>
      <w:szCs w:val="24"/>
    </w:rPr>
  </w:style>
  <w:style w:type="paragraph" w:customStyle="1" w:styleId="264">
    <w:name w:val="样式 小四 行距: 1.5 倍行距1"/>
    <w:basedOn w:val="1"/>
    <w:qFormat/>
    <w:uiPriority w:val="0"/>
    <w:pPr>
      <w:spacing w:line="360" w:lineRule="auto"/>
    </w:pPr>
  </w:style>
  <w:style w:type="character" w:customStyle="1" w:styleId="265">
    <w:name w:val="正文1 Char Char"/>
    <w:basedOn w:val="115"/>
    <w:link w:val="263"/>
    <w:uiPriority w:val="0"/>
    <w:rPr>
      <w:kern w:val="2"/>
      <w:sz w:val="28"/>
      <w:szCs w:val="24"/>
    </w:rPr>
  </w:style>
  <w:style w:type="paragraph" w:customStyle="1" w:styleId="266">
    <w:name w:val="样式3"/>
    <w:basedOn w:val="60"/>
    <w:link w:val="267"/>
    <w:qFormat/>
    <w:uiPriority w:val="0"/>
    <w:pPr>
      <w:adjustRightInd w:val="0"/>
      <w:snapToGrid/>
      <w:spacing w:before="0" w:after="0" w:line="240" w:lineRule="atLeast"/>
      <w:ind w:firstLine="0" w:firstLineChars="0"/>
    </w:pPr>
    <w:rPr>
      <w:rFonts w:eastAsia="宋体"/>
      <w:snapToGrid w:val="0"/>
      <w:kern w:val="0"/>
      <w:sz w:val="24"/>
      <w:szCs w:val="24"/>
    </w:rPr>
  </w:style>
  <w:style w:type="character" w:customStyle="1" w:styleId="267">
    <w:name w:val="样式3 Char"/>
    <w:basedOn w:val="115"/>
    <w:link w:val="266"/>
    <w:uiPriority w:val="0"/>
    <w:rPr>
      <w:snapToGrid w:val="0"/>
      <w:sz w:val="24"/>
      <w:szCs w:val="24"/>
    </w:rPr>
  </w:style>
  <w:style w:type="paragraph" w:customStyle="1" w:styleId="268">
    <w:name w:val="默认段落字体 Para Char Char Char Char"/>
    <w:basedOn w:val="1"/>
    <w:semiHidden/>
    <w:uiPriority w:val="0"/>
    <w:pPr>
      <w:spacing w:line="240" w:lineRule="auto"/>
      <w:ind w:firstLine="0" w:firstLineChars="0"/>
    </w:pPr>
    <w:rPr>
      <w:szCs w:val="24"/>
    </w:rPr>
  </w:style>
  <w:style w:type="character" w:customStyle="1" w:styleId="269">
    <w:name w:val="5-正文 Char"/>
    <w:link w:val="270"/>
    <w:locked/>
    <w:uiPriority w:val="0"/>
    <w:rPr>
      <w:sz w:val="24"/>
    </w:rPr>
  </w:style>
  <w:style w:type="paragraph" w:customStyle="1" w:styleId="270">
    <w:name w:val="5-正文"/>
    <w:basedOn w:val="1"/>
    <w:link w:val="269"/>
    <w:qFormat/>
    <w:uiPriority w:val="0"/>
    <w:pPr>
      <w:snapToGrid w:val="0"/>
    </w:pPr>
    <w:rPr>
      <w:kern w:val="0"/>
    </w:rPr>
  </w:style>
  <w:style w:type="paragraph" w:customStyle="1" w:styleId="271">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character" w:customStyle="1" w:styleId="272">
    <w:name w:val="未处理的提及1"/>
    <w:basedOn w:val="115"/>
    <w:semiHidden/>
    <w:unhideWhenUsed/>
    <w:uiPriority w:val="99"/>
    <w:rPr>
      <w:color w:val="605E5C"/>
      <w:shd w:val="clear" w:color="auto" w:fill="E1DFDD"/>
    </w:rPr>
  </w:style>
  <w:style w:type="paragraph" w:customStyle="1" w:styleId="273">
    <w:name w:val="样式 正文文字-1 + 首行缩进:  2.1 字符1"/>
    <w:basedOn w:val="1"/>
    <w:qFormat/>
    <w:uiPriority w:val="0"/>
    <w:pPr>
      <w:spacing w:before="120" w:after="120" w:line="440" w:lineRule="exact"/>
      <w:ind w:firstLine="210" w:firstLineChars="210"/>
    </w:pPr>
    <w:rPr>
      <w:rFonts w:ascii="Calibri" w:hAnsi="Calibri" w:cs="宋体"/>
    </w:rPr>
  </w:style>
  <w:style w:type="paragraph" w:customStyle="1" w:styleId="274">
    <w:name w:val="【正文】"/>
    <w:basedOn w:val="1"/>
    <w:link w:val="275"/>
    <w:qFormat/>
    <w:uiPriority w:val="0"/>
    <w:pPr>
      <w:spacing w:line="440" w:lineRule="exact"/>
      <w:ind w:firstLine="544"/>
    </w:pPr>
    <w:rPr>
      <w:sz w:val="21"/>
    </w:rPr>
  </w:style>
  <w:style w:type="character" w:customStyle="1" w:styleId="275">
    <w:name w:val="【正文】 Char"/>
    <w:link w:val="274"/>
    <w:qFormat/>
    <w:locked/>
    <w:uiPriority w:val="0"/>
    <w:rPr>
      <w:kern w:val="2"/>
      <w:sz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64.jpeg"/><Relationship Id="rId98" Type="http://schemas.openxmlformats.org/officeDocument/2006/relationships/image" Target="media/image63.jpeg"/><Relationship Id="rId97" Type="http://schemas.openxmlformats.org/officeDocument/2006/relationships/image" Target="media/image62.jpeg"/><Relationship Id="rId96" Type="http://schemas.openxmlformats.org/officeDocument/2006/relationships/image" Target="media/image61.jpeg"/><Relationship Id="rId95" Type="http://schemas.openxmlformats.org/officeDocument/2006/relationships/image" Target="media/image60.jpeg"/><Relationship Id="rId94" Type="http://schemas.openxmlformats.org/officeDocument/2006/relationships/image" Target="media/image59.jpeg"/><Relationship Id="rId93" Type="http://schemas.openxmlformats.org/officeDocument/2006/relationships/image" Target="media/image58.jpeg"/><Relationship Id="rId92" Type="http://schemas.openxmlformats.org/officeDocument/2006/relationships/image" Target="media/image57.jpeg"/><Relationship Id="rId91" Type="http://schemas.openxmlformats.org/officeDocument/2006/relationships/image" Target="media/image56.jpeg"/><Relationship Id="rId90" Type="http://schemas.openxmlformats.org/officeDocument/2006/relationships/image" Target="media/image55.jpeg"/><Relationship Id="rId9" Type="http://schemas.openxmlformats.org/officeDocument/2006/relationships/footer" Target="footer2.xml"/><Relationship Id="rId89" Type="http://schemas.openxmlformats.org/officeDocument/2006/relationships/image" Target="media/image54.jpeg"/><Relationship Id="rId88" Type="http://schemas.openxmlformats.org/officeDocument/2006/relationships/image" Target="media/image53.jpeg"/><Relationship Id="rId87" Type="http://schemas.openxmlformats.org/officeDocument/2006/relationships/image" Target="media/image52.jpeg"/><Relationship Id="rId86" Type="http://schemas.openxmlformats.org/officeDocument/2006/relationships/image" Target="media/image51.jpeg"/><Relationship Id="rId85" Type="http://schemas.openxmlformats.org/officeDocument/2006/relationships/image" Target="media/image50.jpeg"/><Relationship Id="rId84" Type="http://schemas.openxmlformats.org/officeDocument/2006/relationships/image" Target="media/image49.jpeg"/><Relationship Id="rId83" Type="http://schemas.openxmlformats.org/officeDocument/2006/relationships/image" Target="media/image48.jpeg"/><Relationship Id="rId82" Type="http://schemas.openxmlformats.org/officeDocument/2006/relationships/image" Target="media/image47.jpeg"/><Relationship Id="rId81" Type="http://schemas.openxmlformats.org/officeDocument/2006/relationships/image" Target="media/image46.jpeg"/><Relationship Id="rId80" Type="http://schemas.openxmlformats.org/officeDocument/2006/relationships/image" Target="media/image45.jpeg"/><Relationship Id="rId8" Type="http://schemas.openxmlformats.org/officeDocument/2006/relationships/footer" Target="footer1.xml"/><Relationship Id="rId79" Type="http://schemas.openxmlformats.org/officeDocument/2006/relationships/image" Target="media/image44.jpeg"/><Relationship Id="rId78" Type="http://schemas.openxmlformats.org/officeDocument/2006/relationships/image" Target="media/image43.jpeg"/><Relationship Id="rId77" Type="http://schemas.openxmlformats.org/officeDocument/2006/relationships/image" Target="media/image42.jpeg"/><Relationship Id="rId76" Type="http://schemas.openxmlformats.org/officeDocument/2006/relationships/image" Target="media/image41.jpeg"/><Relationship Id="rId75" Type="http://schemas.openxmlformats.org/officeDocument/2006/relationships/image" Target="media/image40.jpeg"/><Relationship Id="rId74" Type="http://schemas.openxmlformats.org/officeDocument/2006/relationships/image" Target="media/image39.jpeg"/><Relationship Id="rId73" Type="http://schemas.openxmlformats.org/officeDocument/2006/relationships/image" Target="media/image38.jpeg"/><Relationship Id="rId72" Type="http://schemas.openxmlformats.org/officeDocument/2006/relationships/image" Target="media/image37.png"/><Relationship Id="rId71" Type="http://schemas.openxmlformats.org/officeDocument/2006/relationships/image" Target="media/image36.png"/><Relationship Id="rId70" Type="http://schemas.openxmlformats.org/officeDocument/2006/relationships/image" Target="media/image35.png"/><Relationship Id="rId7" Type="http://schemas.openxmlformats.org/officeDocument/2006/relationships/header" Target="header3.xml"/><Relationship Id="rId69" Type="http://schemas.openxmlformats.org/officeDocument/2006/relationships/image" Target="media/image34.png"/><Relationship Id="rId68" Type="http://schemas.openxmlformats.org/officeDocument/2006/relationships/image" Target="media/image33.png"/><Relationship Id="rId67" Type="http://schemas.openxmlformats.org/officeDocument/2006/relationships/image" Target="media/image32.png"/><Relationship Id="rId66" Type="http://schemas.openxmlformats.org/officeDocument/2006/relationships/image" Target="media/image31.png"/><Relationship Id="rId65" Type="http://schemas.openxmlformats.org/officeDocument/2006/relationships/image" Target="media/image30.png"/><Relationship Id="rId64" Type="http://schemas.openxmlformats.org/officeDocument/2006/relationships/image" Target="media/image29.png"/><Relationship Id="rId63" Type="http://schemas.openxmlformats.org/officeDocument/2006/relationships/image" Target="media/image28.jpeg"/><Relationship Id="rId62" Type="http://schemas.openxmlformats.org/officeDocument/2006/relationships/image" Target="media/image27.wmf"/><Relationship Id="rId61" Type="http://schemas.openxmlformats.org/officeDocument/2006/relationships/oleObject" Target="embeddings/oleObject23.bin"/><Relationship Id="rId60" Type="http://schemas.openxmlformats.org/officeDocument/2006/relationships/image" Target="media/image26.png"/><Relationship Id="rId6" Type="http://schemas.openxmlformats.org/officeDocument/2006/relationships/header" Target="header2.xml"/><Relationship Id="rId59" Type="http://schemas.openxmlformats.org/officeDocument/2006/relationships/image" Target="media/image25.wmf"/><Relationship Id="rId58" Type="http://schemas.openxmlformats.org/officeDocument/2006/relationships/oleObject" Target="embeddings/oleObject22.bin"/><Relationship Id="rId57" Type="http://schemas.openxmlformats.org/officeDocument/2006/relationships/image" Target="media/image24.wmf"/><Relationship Id="rId56" Type="http://schemas.openxmlformats.org/officeDocument/2006/relationships/oleObject" Target="embeddings/oleObject21.bin"/><Relationship Id="rId55" Type="http://schemas.openxmlformats.org/officeDocument/2006/relationships/image" Target="media/image23.wmf"/><Relationship Id="rId54" Type="http://schemas.openxmlformats.org/officeDocument/2006/relationships/oleObject" Target="embeddings/oleObject20.bin"/><Relationship Id="rId53" Type="http://schemas.openxmlformats.org/officeDocument/2006/relationships/image" Target="media/image22.wmf"/><Relationship Id="rId52" Type="http://schemas.openxmlformats.org/officeDocument/2006/relationships/oleObject" Target="embeddings/oleObject19.bin"/><Relationship Id="rId51" Type="http://schemas.openxmlformats.org/officeDocument/2006/relationships/image" Target="media/image21.wmf"/><Relationship Id="rId50" Type="http://schemas.openxmlformats.org/officeDocument/2006/relationships/oleObject" Target="embeddings/oleObject18.bin"/><Relationship Id="rId5" Type="http://schemas.openxmlformats.org/officeDocument/2006/relationships/header" Target="header1.xml"/><Relationship Id="rId49" Type="http://schemas.openxmlformats.org/officeDocument/2006/relationships/image" Target="media/image20.wmf"/><Relationship Id="rId48" Type="http://schemas.openxmlformats.org/officeDocument/2006/relationships/oleObject" Target="embeddings/oleObject17.bin"/><Relationship Id="rId47" Type="http://schemas.openxmlformats.org/officeDocument/2006/relationships/image" Target="media/image19.wmf"/><Relationship Id="rId46" Type="http://schemas.openxmlformats.org/officeDocument/2006/relationships/oleObject" Target="embeddings/oleObject16.bin"/><Relationship Id="rId45" Type="http://schemas.openxmlformats.org/officeDocument/2006/relationships/image" Target="media/image18.wmf"/><Relationship Id="rId44" Type="http://schemas.openxmlformats.org/officeDocument/2006/relationships/oleObject" Target="embeddings/oleObject15.bin"/><Relationship Id="rId43" Type="http://schemas.openxmlformats.org/officeDocument/2006/relationships/image" Target="media/image17.wmf"/><Relationship Id="rId42" Type="http://schemas.openxmlformats.org/officeDocument/2006/relationships/oleObject" Target="embeddings/oleObject14.bin"/><Relationship Id="rId41" Type="http://schemas.openxmlformats.org/officeDocument/2006/relationships/image" Target="media/image16.wmf"/><Relationship Id="rId40" Type="http://schemas.openxmlformats.org/officeDocument/2006/relationships/oleObject" Target="embeddings/oleObject13.bin"/><Relationship Id="rId4" Type="http://schemas.openxmlformats.org/officeDocument/2006/relationships/endnotes" Target="endnotes.xml"/><Relationship Id="rId39" Type="http://schemas.openxmlformats.org/officeDocument/2006/relationships/image" Target="media/image15.wmf"/><Relationship Id="rId38" Type="http://schemas.openxmlformats.org/officeDocument/2006/relationships/oleObject" Target="embeddings/oleObject12.bin"/><Relationship Id="rId37" Type="http://schemas.openxmlformats.org/officeDocument/2006/relationships/image" Target="media/image14.wmf"/><Relationship Id="rId36" Type="http://schemas.openxmlformats.org/officeDocument/2006/relationships/oleObject" Target="embeddings/oleObject11.bin"/><Relationship Id="rId35" Type="http://schemas.openxmlformats.org/officeDocument/2006/relationships/image" Target="media/image13.wmf"/><Relationship Id="rId34" Type="http://schemas.openxmlformats.org/officeDocument/2006/relationships/oleObject" Target="embeddings/oleObject10.bin"/><Relationship Id="rId33" Type="http://schemas.openxmlformats.org/officeDocument/2006/relationships/image" Target="media/image12.wmf"/><Relationship Id="rId32" Type="http://schemas.openxmlformats.org/officeDocument/2006/relationships/oleObject" Target="embeddings/oleObject9.bin"/><Relationship Id="rId31" Type="http://schemas.openxmlformats.org/officeDocument/2006/relationships/image" Target="media/image11.wmf"/><Relationship Id="rId30" Type="http://schemas.openxmlformats.org/officeDocument/2006/relationships/oleObject" Target="embeddings/oleObject8.bin"/><Relationship Id="rId3" Type="http://schemas.openxmlformats.org/officeDocument/2006/relationships/footnotes" Target="footnotes.xml"/><Relationship Id="rId29" Type="http://schemas.openxmlformats.org/officeDocument/2006/relationships/image" Target="media/image10.wmf"/><Relationship Id="rId28" Type="http://schemas.openxmlformats.org/officeDocument/2006/relationships/oleObject" Target="embeddings/oleObject7.bin"/><Relationship Id="rId27" Type="http://schemas.openxmlformats.org/officeDocument/2006/relationships/image" Target="media/image9.wmf"/><Relationship Id="rId26" Type="http://schemas.openxmlformats.org/officeDocument/2006/relationships/oleObject" Target="embeddings/oleObject6.bin"/><Relationship Id="rId25" Type="http://schemas.openxmlformats.org/officeDocument/2006/relationships/image" Target="media/image8.emf"/><Relationship Id="rId24" Type="http://schemas.openxmlformats.org/officeDocument/2006/relationships/oleObject" Target="embeddings/oleObject5.bin"/><Relationship Id="rId23" Type="http://schemas.openxmlformats.org/officeDocument/2006/relationships/image" Target="media/image7.emf"/><Relationship Id="rId22" Type="http://schemas.openxmlformats.org/officeDocument/2006/relationships/oleObject" Target="embeddings/oleObject4.bin"/><Relationship Id="rId21" Type="http://schemas.openxmlformats.org/officeDocument/2006/relationships/image" Target="media/image6.emf"/><Relationship Id="rId20" Type="http://schemas.openxmlformats.org/officeDocument/2006/relationships/image" Target="media/image5.emf"/><Relationship Id="rId2" Type="http://schemas.openxmlformats.org/officeDocument/2006/relationships/settings" Target="settings.xml"/><Relationship Id="rId19" Type="http://schemas.openxmlformats.org/officeDocument/2006/relationships/oleObject" Target="embeddings/oleObject3.bin"/><Relationship Id="rId18" Type="http://schemas.openxmlformats.org/officeDocument/2006/relationships/image" Target="media/image4.emf"/><Relationship Id="rId17" Type="http://schemas.openxmlformats.org/officeDocument/2006/relationships/oleObject" Target="embeddings/oleObject2.bin"/><Relationship Id="rId16" Type="http://schemas.openxmlformats.org/officeDocument/2006/relationships/image" Target="media/image3.emf"/><Relationship Id="rId15" Type="http://schemas.openxmlformats.org/officeDocument/2006/relationships/oleObject" Target="embeddings/oleObject1.bin"/><Relationship Id="rId14" Type="http://schemas.openxmlformats.org/officeDocument/2006/relationships/image" Target="media/image2.png"/><Relationship Id="rId13" Type="http://schemas.openxmlformats.org/officeDocument/2006/relationships/image" Target="media/image1.jpeg"/><Relationship Id="rId121" Type="http://schemas.openxmlformats.org/officeDocument/2006/relationships/fontTable" Target="fontTable.xml"/><Relationship Id="rId120" Type="http://schemas.openxmlformats.org/officeDocument/2006/relationships/customXml" Target="../customXml/item2.xml"/><Relationship Id="rId12" Type="http://schemas.openxmlformats.org/officeDocument/2006/relationships/theme" Target="theme/theme1.xml"/><Relationship Id="rId119" Type="http://schemas.openxmlformats.org/officeDocument/2006/relationships/customXml" Target="../customXml/item1.xml"/><Relationship Id="rId118" Type="http://schemas.openxmlformats.org/officeDocument/2006/relationships/image" Target="media/image83.jpeg"/><Relationship Id="rId117" Type="http://schemas.openxmlformats.org/officeDocument/2006/relationships/image" Target="media/image82.jpeg"/><Relationship Id="rId116" Type="http://schemas.openxmlformats.org/officeDocument/2006/relationships/image" Target="media/image81.jpeg"/><Relationship Id="rId115" Type="http://schemas.openxmlformats.org/officeDocument/2006/relationships/image" Target="media/image80.jpeg"/><Relationship Id="rId114" Type="http://schemas.openxmlformats.org/officeDocument/2006/relationships/image" Target="media/image79.jpeg"/><Relationship Id="rId113" Type="http://schemas.openxmlformats.org/officeDocument/2006/relationships/image" Target="media/image78.jpeg"/><Relationship Id="rId112" Type="http://schemas.openxmlformats.org/officeDocument/2006/relationships/image" Target="media/image77.jpeg"/><Relationship Id="rId111" Type="http://schemas.openxmlformats.org/officeDocument/2006/relationships/image" Target="media/image76.jpeg"/><Relationship Id="rId110" Type="http://schemas.openxmlformats.org/officeDocument/2006/relationships/image" Target="media/image75.jpeg"/><Relationship Id="rId11" Type="http://schemas.openxmlformats.org/officeDocument/2006/relationships/footer" Target="footer4.xml"/><Relationship Id="rId109" Type="http://schemas.openxmlformats.org/officeDocument/2006/relationships/image" Target="media/image74.jpeg"/><Relationship Id="rId108" Type="http://schemas.openxmlformats.org/officeDocument/2006/relationships/image" Target="media/image73.jpeg"/><Relationship Id="rId107" Type="http://schemas.openxmlformats.org/officeDocument/2006/relationships/image" Target="media/image72.jpeg"/><Relationship Id="rId106" Type="http://schemas.openxmlformats.org/officeDocument/2006/relationships/image" Target="media/image71.jpeg"/><Relationship Id="rId105" Type="http://schemas.openxmlformats.org/officeDocument/2006/relationships/image" Target="media/image70.jpeg"/><Relationship Id="rId104" Type="http://schemas.openxmlformats.org/officeDocument/2006/relationships/image" Target="media/image69.jpeg"/><Relationship Id="rId103" Type="http://schemas.openxmlformats.org/officeDocument/2006/relationships/image" Target="media/image68.jpeg"/><Relationship Id="rId102" Type="http://schemas.openxmlformats.org/officeDocument/2006/relationships/image" Target="media/image67.jpeg"/><Relationship Id="rId101" Type="http://schemas.openxmlformats.org/officeDocument/2006/relationships/image" Target="media/image66.jpeg"/><Relationship Id="rId100" Type="http://schemas.openxmlformats.org/officeDocument/2006/relationships/image" Target="media/image65.jpe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3D31615-09B9-48F3-A267-6CC0F224BD7A}">
  <ds:schemaRefs/>
</ds:datastoreItem>
</file>

<file path=docProps/app.xml><?xml version="1.0" encoding="utf-8"?>
<Properties xmlns="http://schemas.openxmlformats.org/officeDocument/2006/extended-properties" xmlns:vt="http://schemas.openxmlformats.org/officeDocument/2006/docPropsVTypes">
  <Template>Normal</Template>
  <Company>SXU</Company>
  <Pages>142</Pages>
  <Words>49353</Words>
  <Characters>56350</Characters>
  <Lines>446</Lines>
  <Paragraphs>125</Paragraphs>
  <TotalTime>1721</TotalTime>
  <ScaleCrop>false</ScaleCrop>
  <LinksUpToDate>false</LinksUpToDate>
  <CharactersWithSpaces>57397</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2018-11-01T02:10:00Z</dcterms:created>
  <dc:creator>Tiger</dc:creator>
  <cp:lastModifiedBy>Nietzsche jünger</cp:lastModifiedBy>
  <cp:lastPrinted>2020-06-20T00:50:00Z</cp:lastPrinted>
  <dcterms:modified xsi:type="dcterms:W3CDTF">2022-04-21T02:21:58Z</dcterms:modified>
  <dc:title>建设项目环境影响报告表</dc:title>
  <cp:revision>138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36984D7CB1EC4691BB5E34F1602EB830</vt:lpwstr>
  </property>
</Properties>
</file>