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权责清单梳理调整填报表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单位名称: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粮食和物资服务中心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5月14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827"/>
        <w:gridCol w:w="5"/>
        <w:gridCol w:w="862"/>
        <w:gridCol w:w="1432"/>
        <w:gridCol w:w="1650"/>
        <w:gridCol w:w="2124"/>
        <w:gridCol w:w="2444"/>
        <w:gridCol w:w="1865"/>
        <w:gridCol w:w="177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序号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事项类别</w:t>
            </w:r>
          </w:p>
        </w:tc>
        <w:tc>
          <w:tcPr>
            <w:tcW w:w="8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事项编码</w:t>
            </w: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权力清单</w:t>
            </w:r>
          </w:p>
        </w:tc>
        <w:tc>
          <w:tcPr>
            <w:tcW w:w="82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责任清单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8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事项名称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事项依据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责任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事项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责任事项依据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追责情形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追责形式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1" w:hRule="atLeast"/>
        </w:trPr>
        <w:tc>
          <w:tcPr>
            <w:tcW w:w="479" w:type="dxa"/>
            <w:noWrap w:val="0"/>
            <w:vAlign w:val="center"/>
          </w:tcPr>
          <w:p>
            <w:pPr>
              <w:ind w:firstLine="387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  <w:p>
            <w:pPr>
              <w:bidi w:val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行政处罚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770127622-CF-0007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对粮油仓储单位擅自使用“国家储备粮”或“中央储备粮”名称的处罚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[部门规章]《粮油仓储管理办法》（2010年国家发展和改革委员会第5号令）第三十条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立案：受理有关单位移送或下级单位提交的案件，经初步审查，决定是否立案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调查：撤案、移送或者是按一般或简易程序对案件进行处理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审查：复核且审批，作出行政处罚决定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告知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决定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6、送达：行政处罚决定书7日内送达7、执行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法律】《行政处罚发》第五十五条、第六十一条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没有法定的行政处罚依据的；擅自改变行政处罚种类、幅度的；违反法定的行政处罚程序的；</w:t>
            </w:r>
          </w:p>
          <w:p>
            <w:pPr>
              <w:pStyle w:val="2"/>
              <w:numPr>
                <w:ilvl w:val="1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2、行政机关为牟取本单位私利，对应当依法移交司法机关追究刑事责任的不移交，以行政处罚代替刑罚。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1、由上级行政机关或者有关部门责令改正，可以对直接负责的主管人员或其他直接责任人员依法给予行政出分；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2、由上级行政机关或有关部门责令纠正；拒不纠正的，对直接负责的主管人员给予行政处分；徇私舞弊、包庇纵容违法行为的，依照刑法有关规定追究刑事责任。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</w:trPr>
        <w:tc>
          <w:tcPr>
            <w:tcW w:w="479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numPr>
                <w:ilvl w:val="1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1"/>
                <w:numId w:val="0"/>
              </w:numPr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1"/>
                <w:numId w:val="0"/>
              </w:numPr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1"/>
                <w:numId w:val="0"/>
              </w:numPr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1"/>
                <w:numId w:val="0"/>
              </w:numPr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1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行政处罚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770127622-CF-0008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对粮油仓储单位违反粮油出入库仓储管理规定的罚处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[部门规章]《粮油仓储管理办法》（2010年国家发展和改革委员会第5号令）第三十一条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1、立案：受理有关单位移送或下级单位提交的案件，经初步审查，决定是否立案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2、调查：撤案、移送或者是按一般或简易程序对案件进行处理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3、审查：复核且审批，作出行政处罚决定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4、告知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5、决定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6、送达：行政处罚决定书7日内送达7、执行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法律】《行政处罚发》第五十五条、第六十一条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1、没有法定的行政处罚依据的；擅自改变行政处罚种类、幅度的；违反法定的行政处罚程序的；</w:t>
            </w:r>
          </w:p>
          <w:p>
            <w:pPr>
              <w:pStyle w:val="2"/>
              <w:numPr>
                <w:ilvl w:val="1"/>
                <w:numId w:val="0"/>
              </w:numPr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2、行政机关为牟取本单位私利，对应当依法移交司法机关追究刑事责任的不移交，以行政处罚代替刑罚。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1、由上级行政机关或者有关部门责令改正，可以对直接负责的主管人员或其他直接责任人员依法给予行政出分；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2、由上级行政机关或有关部门责令纠正；拒不纠正的，对直接负责的主管人员给予行政处分；徇私舞弊、包庇纵容违法行为的，依照刑法有关规定追究刑事责任。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47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其他权力</w:t>
            </w: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770127622-QT-0001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粮油仓储单位从业备案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[部门规章]《粮油仓储管理办法》（2010年国家发展和改革委员会第5号令）第六条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受理：根据申报单位提交的备案材料确定是否受理。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审查：在10个工作日内对备案材料进行审查和现场核查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决定：作出决定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送达：颁发《山西省粮油仓储业备案证》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事后监管</w:t>
            </w:r>
          </w:p>
        </w:tc>
        <w:tc>
          <w:tcPr>
            <w:tcW w:w="244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部门规章】《事业单位工作人员处分暂行规定》（人社部、监察部18号令）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对符合法定条件的申报人不予备案的；</w:t>
            </w:r>
          </w:p>
          <w:p>
            <w:pPr>
              <w:pStyle w:val="2"/>
              <w:numPr>
                <w:ilvl w:val="1"/>
                <w:numId w:val="0"/>
              </w:numPr>
              <w:ind w:leftChars="0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2、对不符合法定条件的申报人予以备案的。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1、警告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2、记过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3、降低岗位等级或者撤职</w:t>
            </w:r>
          </w:p>
          <w:p>
            <w:pPr>
              <w:jc w:val="left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4、开除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 xml:space="preserve">联系人: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胡福平                   </w:t>
      </w:r>
      <w:r>
        <w:rPr>
          <w:rFonts w:hint="eastAsia" w:ascii="仿宋" w:hAnsi="仿宋" w:eastAsia="仿宋" w:cs="仿宋"/>
          <w:sz w:val="28"/>
          <w:szCs w:val="28"/>
        </w:rPr>
        <w:t>办公电话: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3555668          </w:t>
      </w:r>
      <w:bookmarkStart w:id="0" w:name="_GoBack"/>
      <w:bookmarkEnd w:id="0"/>
    </w:p>
    <w:sectPr>
      <w:pgSz w:w="16838" w:h="11906" w:orient="landscape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2E39F3"/>
    <w:multiLevelType w:val="singleLevel"/>
    <w:tmpl w:val="932E39F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B5723B9"/>
    <w:multiLevelType w:val="singleLevel"/>
    <w:tmpl w:val="CB5723B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2D15A3C"/>
    <w:multiLevelType w:val="singleLevel"/>
    <w:tmpl w:val="F2D15A3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D"/>
    <w:multiLevelType w:val="multilevel"/>
    <w:tmpl w:val="0000000D"/>
    <w:lvl w:ilvl="0" w:tentative="0">
      <w:start w:val="1"/>
      <w:numFmt w:val="chineseCountingThousand"/>
      <w:isLgl/>
      <w:lvlText w:val="%1"/>
      <w:lvlJc w:val="left"/>
      <w:pPr>
        <w:tabs>
          <w:tab w:val="left" w:pos="425"/>
        </w:tabs>
        <w:ind w:left="425" w:hanging="425"/>
      </w:pPr>
      <w:rPr>
        <w:rFonts w:hint="default" w:ascii="Times New Roman" w:hAnsi="Times New Roman" w:eastAsia="宋体"/>
        <w:b/>
        <w:i w:val="0"/>
        <w:sz w:val="32"/>
        <w:szCs w:val="32"/>
      </w:rPr>
    </w:lvl>
    <w:lvl w:ilvl="1" w:tentative="0">
      <w:start w:val="1"/>
      <w:numFmt w:val="decimal"/>
      <w:pStyle w:val="2"/>
      <w:isLgl/>
      <w:lvlText w:val="%1.%2"/>
      <w:lvlJc w:val="left"/>
      <w:pPr>
        <w:tabs>
          <w:tab w:val="left" w:pos="567"/>
        </w:tabs>
        <w:ind w:left="397" w:hanging="397"/>
      </w:pPr>
      <w:rPr>
        <w:rFonts w:hint="eastAsia"/>
        <w:b/>
        <w:i w:val="0"/>
        <w:sz w:val="30"/>
        <w:szCs w:val="30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425"/>
        </w:tabs>
        <w:ind w:left="425" w:hanging="425"/>
      </w:pPr>
      <w:rPr>
        <w:rFonts w:hint="eastAsia"/>
        <w:b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922"/>
        </w:tabs>
        <w:ind w:left="5102" w:hanging="1700"/>
      </w:pPr>
      <w:rPr>
        <w:rFonts w:hint="eastAsia"/>
      </w:rPr>
    </w:lvl>
  </w:abstractNum>
  <w:abstractNum w:abstractNumId="4">
    <w:nsid w:val="4DB8C740"/>
    <w:multiLevelType w:val="singleLevel"/>
    <w:tmpl w:val="4DB8C7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3770"/>
    <w:rsid w:val="0DD56C52"/>
    <w:rsid w:val="0DD70C6B"/>
    <w:rsid w:val="2F881C4D"/>
    <w:rsid w:val="3CA9629C"/>
    <w:rsid w:val="4FD00BDA"/>
    <w:rsid w:val="50AC72B4"/>
    <w:rsid w:val="53894286"/>
    <w:rsid w:val="5C1B20F5"/>
    <w:rsid w:val="5F6A1B3E"/>
    <w:rsid w:val="6795605A"/>
    <w:rsid w:val="743D0815"/>
    <w:rsid w:val="7F3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56" w:beforeLines="50" w:after="156" w:afterLines="50"/>
      <w:outlineLvl w:val="1"/>
    </w:pPr>
    <w:rPr>
      <w:rFonts w:ascii="Arial" w:hAnsi="Arial"/>
      <w:b/>
      <w:bCs/>
      <w:kern w:val="2"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1148</Words>
  <Characters>1227</Characters>
  <Lines>0</Lines>
  <Paragraphs>0</Paragraphs>
  <TotalTime>21</TotalTime>
  <ScaleCrop>false</ScaleCrop>
  <LinksUpToDate>false</LinksUpToDate>
  <CharactersWithSpaces>1304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审批局2</dc:creator>
  <cp:lastModifiedBy>Nietzsche jünger</cp:lastModifiedBy>
  <cp:lastPrinted>2021-05-14T02:26:00Z</cp:lastPrinted>
  <dcterms:modified xsi:type="dcterms:W3CDTF">2022-04-20T00:32:03Z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DD9087AD4AF445F6A73A53A08625DCBD</vt:lpwstr>
  </property>
</Properties>
</file>