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180B4">
      <w:pPr>
        <w:spacing w:line="640" w:lineRule="exact"/>
        <w:rPr>
          <w:rFonts w:ascii="宋体" w:hAnsi="宋体"/>
          <w:sz w:val="28"/>
          <w:szCs w:val="28"/>
        </w:rPr>
      </w:pPr>
    </w:p>
    <w:p w14:paraId="40ACDDC8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22E0B92D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00B0571F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56DE2C1B">
      <w:pPr>
        <w:spacing w:line="640" w:lineRule="exact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 xml:space="preserve">        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2016年部门决算</w:t>
      </w:r>
    </w:p>
    <w:p w14:paraId="111BA7DD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32111CBF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697B338B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7E72CBFD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3B087315">
      <w:pPr>
        <w:spacing w:line="640" w:lineRule="exact"/>
        <w:rPr>
          <w:rFonts w:ascii="黑体" w:hAnsi="黑体" w:eastAsia="黑体" w:cs="黑体"/>
          <w:b/>
          <w:bCs/>
          <w:sz w:val="44"/>
          <w:szCs w:val="44"/>
        </w:rPr>
      </w:pPr>
    </w:p>
    <w:p w14:paraId="144314C9">
      <w:pPr>
        <w:spacing w:line="640" w:lineRule="exact"/>
        <w:rPr>
          <w:rFonts w:ascii="黑体" w:hAnsi="黑体" w:eastAsia="黑体" w:cs="黑体"/>
          <w:b/>
          <w:bCs/>
          <w:sz w:val="44"/>
          <w:szCs w:val="44"/>
        </w:rPr>
      </w:pPr>
    </w:p>
    <w:p w14:paraId="2298B44F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33017B61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393CD099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0ECC62C7">
      <w:pPr>
        <w:spacing w:line="64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548DB282">
      <w:pPr>
        <w:spacing w:line="64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</w:rPr>
        <w:t>交城县粮食管理中心（单位公章）</w:t>
      </w:r>
    </w:p>
    <w:p w14:paraId="6BF194BE">
      <w:pPr>
        <w:spacing w:line="64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13DA3FDF">
      <w:pPr>
        <w:spacing w:line="64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二〇一七年九月五日</w:t>
      </w:r>
    </w:p>
    <w:p w14:paraId="17F2E679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14:paraId="6EF4B667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14:paraId="182A0ABC">
      <w:pPr>
        <w:spacing w:line="640" w:lineRule="exact"/>
        <w:rPr>
          <w:rFonts w:ascii="宋体" w:hAnsi="宋体" w:cs="宋体"/>
          <w:b/>
          <w:bCs/>
          <w:sz w:val="44"/>
          <w:szCs w:val="44"/>
        </w:rPr>
      </w:pPr>
    </w:p>
    <w:p w14:paraId="2D481416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14:paraId="5A6879F1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2016年部门决算说明</w:t>
      </w:r>
    </w:p>
    <w:p w14:paraId="09080EB7">
      <w:pPr>
        <w:spacing w:line="640" w:lineRule="exact"/>
        <w:ind w:firstLine="627" w:firstLineChars="196"/>
        <w:rPr>
          <w:rFonts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一、部门基本情况</w:t>
      </w:r>
    </w:p>
    <w:p w14:paraId="798B1DEE">
      <w:pPr>
        <w:spacing w:line="640" w:lineRule="exact"/>
        <w:ind w:firstLine="643" w:firstLineChars="200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（一）部门机构设置、职能</w:t>
      </w:r>
    </w:p>
    <w:p w14:paraId="4F5CE42A">
      <w:pPr>
        <w:spacing w:line="640" w:lineRule="exact"/>
        <w:ind w:firstLine="620" w:firstLineChars="200"/>
        <w:rPr>
          <w:rFonts w:ascii="仿宋_GB2312" w:hAnsi="仿宋_GB2312" w:eastAsia="仿宋_GB2312" w:cs="仿宋_GB2312"/>
          <w:bCs/>
          <w:sz w:val="31"/>
          <w:szCs w:val="31"/>
        </w:rPr>
      </w:pPr>
      <w:r>
        <w:rPr>
          <w:rFonts w:hint="eastAsia" w:ascii="仿宋_GB2312" w:hAnsi="仿宋_GB2312" w:eastAsia="仿宋_GB2312" w:cs="仿宋_GB2312"/>
          <w:bCs/>
          <w:sz w:val="31"/>
          <w:szCs w:val="31"/>
        </w:rPr>
        <w:t>本单位内设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5 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>个科室。主要工作职责是：保证粮食市场安全，维护粮食市场稳定</w:t>
      </w:r>
    </w:p>
    <w:p w14:paraId="0A08BC2A">
      <w:pPr>
        <w:spacing w:line="640" w:lineRule="exact"/>
        <w:ind w:firstLine="643" w:firstLineChars="200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（二）人员构成情况</w:t>
      </w:r>
    </w:p>
    <w:p w14:paraId="7308E36A">
      <w:pPr>
        <w:spacing w:line="640" w:lineRule="exact"/>
        <w:ind w:firstLine="775" w:firstLineChars="250"/>
        <w:rPr>
          <w:rFonts w:ascii="仿宋_GB2312" w:hAnsi="仿宋_GB2312" w:eastAsia="仿宋_GB2312" w:cs="仿宋_GB2312"/>
          <w:bCs/>
          <w:sz w:val="31"/>
          <w:szCs w:val="31"/>
        </w:rPr>
      </w:pPr>
      <w:r>
        <w:rPr>
          <w:rFonts w:hint="eastAsia" w:ascii="仿宋_GB2312" w:hAnsi="仿宋_GB2312" w:eastAsia="仿宋_GB2312" w:cs="仿宋_GB2312"/>
          <w:bCs/>
          <w:sz w:val="31"/>
          <w:szCs w:val="31"/>
        </w:rPr>
        <w:t>本单位编制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25 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>人，其中行政编制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 xml:space="preserve">人，事业编制 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25 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>人；实际单位在职人员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15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>人，离退休人员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>人。计划内临时工</w:t>
      </w:r>
      <w:r>
        <w:rPr>
          <w:rFonts w:hint="eastAsia" w:ascii="仿宋_GB2312" w:hAnsi="仿宋_GB2312" w:eastAsia="仿宋_GB2312" w:cs="仿宋_GB2312"/>
          <w:bCs/>
          <w:sz w:val="31"/>
          <w:szCs w:val="3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1"/>
          <w:szCs w:val="31"/>
        </w:rPr>
        <w:t>人（按2016年12月工资表人数统计）。</w:t>
      </w:r>
    </w:p>
    <w:p w14:paraId="79BE4811">
      <w:pPr>
        <w:spacing w:line="640" w:lineRule="exact"/>
        <w:ind w:firstLine="643" w:firstLineChars="200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（三）决算年度的完成的主要工作任务</w:t>
      </w:r>
    </w:p>
    <w:p w14:paraId="77B376C1">
      <w:pPr>
        <w:pStyle w:val="4"/>
        <w:spacing w:before="0" w:beforeAutospacing="0" w:after="0" w:afterAutospacing="0" w:line="180" w:lineRule="atLeast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按规定权限审批、核准或上报审批、核准项目等；稽查、督导粮食市场平衡稳定；保障粮食储备安全、合格。</w:t>
      </w:r>
    </w:p>
    <w:p w14:paraId="19BDE378">
      <w:pPr>
        <w:spacing w:line="640" w:lineRule="exact"/>
        <w:ind w:firstLine="640"/>
        <w:jc w:val="left"/>
        <w:rPr>
          <w:rFonts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二、2016年部门决算情况</w:t>
      </w:r>
    </w:p>
    <w:p w14:paraId="0EB6A15C">
      <w:pPr>
        <w:spacing w:line="640" w:lineRule="exact"/>
        <w:jc w:val="left"/>
        <w:rPr>
          <w:rFonts w:ascii="楷体_GB2312" w:hAnsi="仿宋_GB2312" w:eastAsia="楷体_GB2312" w:cs="仿宋_GB2312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 xml:space="preserve">   （一）、本年收入1108678.96元。</w:t>
      </w:r>
      <w:r>
        <w:rPr>
          <w:rFonts w:hint="eastAsia" w:ascii="楷体_GB2312" w:hAnsi="仿宋_GB2312" w:eastAsia="楷体_GB2312" w:cs="仿宋_GB2312"/>
          <w:sz w:val="32"/>
          <w:szCs w:val="32"/>
        </w:rPr>
        <w:t>其中：一般公共预算财政拨款1108678.96元。</w:t>
      </w:r>
      <w:r>
        <w:rPr>
          <w:rFonts w:hint="eastAsia" w:ascii="楷体_GB2312" w:hAnsi="仿宋_GB2312" w:eastAsia="楷体_GB2312" w:cs="仿宋_GB2312"/>
          <w:sz w:val="32"/>
          <w:szCs w:val="32"/>
          <w:lang w:eastAsia="zh-CN"/>
        </w:rPr>
        <w:t>上年收入</w:t>
      </w: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1795272元，本年比</w:t>
      </w:r>
      <w:r>
        <w:rPr>
          <w:rFonts w:hint="eastAsia" w:ascii="楷体_GB2312" w:hAnsi="仿宋_GB2312" w:eastAsia="楷体_GB2312" w:cs="仿宋_GB2312"/>
          <w:sz w:val="32"/>
          <w:szCs w:val="32"/>
          <w:lang w:eastAsia="zh-CN"/>
        </w:rPr>
        <w:t>上年收入减少</w:t>
      </w: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686593.04元。因为上年有拨入的解除合同关系款的745000元，粮库建设款200000元。</w:t>
      </w:r>
      <w:r>
        <w:rPr>
          <w:rFonts w:hint="eastAsia" w:ascii="楷体_GB2312" w:hAnsi="仿宋_GB2312" w:eastAsia="楷体_GB2312" w:cs="仿宋_GB2312"/>
          <w:sz w:val="32"/>
          <w:szCs w:val="32"/>
        </w:rPr>
        <w:t xml:space="preserve"> </w:t>
      </w:r>
    </w:p>
    <w:p w14:paraId="7AB19F56">
      <w:p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 xml:space="preserve">   （二）、本年支出1698001.41元。</w:t>
      </w:r>
      <w:r>
        <w:rPr>
          <w:rFonts w:hint="eastAsia" w:ascii="楷体_GB2312" w:hAnsi="仿宋_GB2312" w:eastAsia="楷体_GB2312" w:cs="仿宋_GB2312"/>
          <w:sz w:val="32"/>
          <w:szCs w:val="32"/>
        </w:rPr>
        <w:t>其中：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 xml:space="preserve"> 1、基本支出1079595.36元。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其中人员经费976448.16元，日常公用经费103147.2元。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 xml:space="preserve"> 2、项目支出618406.05元。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其中一般公共预算财政拨款618406.05元。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上年支出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1252722.73元，本年比上年支出增加445278.68元。由于本年</w:t>
      </w: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增人、调资导致工资福利支出增加。</w:t>
      </w:r>
    </w:p>
    <w:p w14:paraId="7B64D3B8">
      <w:p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（三）、年末财政拨款结转和结余306768.46元。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其中基本支出结转29149.51元，项目支出结转和结余277618.95元。</w:t>
      </w:r>
    </w:p>
    <w:p w14:paraId="1C1B2991">
      <w:pPr>
        <w:spacing w:line="640" w:lineRule="exact"/>
        <w:ind w:firstLine="640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三、</w:t>
      </w:r>
      <w:r>
        <w:rPr>
          <w:rFonts w:hint="eastAsia" w:ascii="宋体" w:hAnsi="宋体" w:cs="宋体"/>
          <w:b/>
          <w:bCs/>
          <w:sz w:val="32"/>
          <w:szCs w:val="32"/>
        </w:rPr>
        <w:t>“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三公”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</w:rPr>
        <w:t>经费增减变化原因情况的说明</w:t>
      </w:r>
    </w:p>
    <w:p w14:paraId="3AC032B4">
      <w:pPr>
        <w:spacing w:line="6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2016年我局“三公”经费公共预算财政拨款决算支出  25800元，具体支出情况如下：</w:t>
      </w:r>
    </w:p>
    <w:p w14:paraId="17308094">
      <w:p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（一）公务用车购置及运行维护费支出 25800元。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其中，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公务用车运行维护费支出25800元。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上年支出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23610.62元，本年比上年支出多2189.38元，本年比上年汽油费支出略多，扶贫下乡增加。</w:t>
      </w:r>
    </w:p>
    <w:p w14:paraId="71BB7F1A">
      <w:pPr>
        <w:spacing w:line="6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（二）公务接待费支出0元，同比下降或增长0%。</w:t>
      </w:r>
    </w:p>
    <w:p w14:paraId="1D5CB88F">
      <w:pPr>
        <w:spacing w:line="6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（三）因公出国（境）费支出0元，同比下降或增长0%。</w:t>
      </w:r>
    </w:p>
    <w:p w14:paraId="48545E26">
      <w:pPr>
        <w:spacing w:line="6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公务车辆购置及保有情况:本年购置公务用车 0 辆，年末公务用车保有量1辆。</w:t>
      </w:r>
    </w:p>
    <w:p w14:paraId="681F8431">
      <w:pPr>
        <w:spacing w:line="6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</w:t>
      </w:r>
    </w:p>
    <w:p w14:paraId="3F664993"/>
    <w:p w14:paraId="043F9A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4056"/>
    <w:rsid w:val="00164056"/>
    <w:rsid w:val="00346A97"/>
    <w:rsid w:val="004F0C77"/>
    <w:rsid w:val="00AF6207"/>
    <w:rsid w:val="00DA3C1A"/>
    <w:rsid w:val="00F45C59"/>
    <w:rsid w:val="2772457C"/>
    <w:rsid w:val="3CB24A24"/>
    <w:rsid w:val="4081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unhideWhenUsed/>
    <w:uiPriority w:val="99"/>
    <w:pPr>
      <w:spacing w:before="100" w:beforeAutospacing="1" w:after="100" w:afterAutospacing="1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OFFICE</Company>
  <Pages>3</Pages>
  <Words>673</Words>
  <Characters>850</Characters>
  <Lines>5</Lines>
  <Paragraphs>1</Paragraphs>
  <TotalTime>0</TotalTime>
  <ScaleCrop>false</ScaleCrop>
  <LinksUpToDate>false</LinksUpToDate>
  <CharactersWithSpaces>925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2017-09-05T08:29:00Z</dcterms:created>
  <dc:creator>微软</dc:creator>
  <cp:lastModifiedBy>成</cp:lastModifiedBy>
  <dcterms:modified xsi:type="dcterms:W3CDTF">2025-10-09T01:36:14Z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eyJoZGlkIjoiYzhiZDY4YjQ3MTExMWUwZTQzNDEyNzQxZDIxMzNjZTQiLCJ1c2VySWQiOiIxMTQ5OTg3NTc2In0=</vt:lpwstr>
  </property>
  <property fmtid="{D5CDD505-2E9C-101B-9397-08002B2CF9AE}" pid="4" name="ICV">
    <vt:lpwstr>77EAE02D533D4E3E8F3EEEB21C82DF83_12</vt:lpwstr>
  </property>
</Properties>
</file>