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both"/>
        <w:textAlignment w:val="baseline"/>
        <w:rPr>
          <w:rStyle w:val="7"/>
          <w:rFonts w:ascii="宋体" w:hAnsi="宋体"/>
          <w:kern w:val="2"/>
          <w:sz w:val="28"/>
          <w:szCs w:val="28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both"/>
        <w:textAlignment w:val="baseline"/>
        <w:rPr>
          <w:rStyle w:val="7"/>
          <w:rFonts w:ascii="黑体" w:hAnsi="黑体" w:eastAsia="黑体" w:cs="黑体"/>
          <w:b/>
          <w:bCs/>
          <w:kern w:val="2"/>
          <w:sz w:val="52"/>
          <w:szCs w:val="52"/>
          <w:lang w:val="en-US" w:eastAsia="zh-CN" w:bidi="ar-SA"/>
        </w:rPr>
      </w:pPr>
      <w:r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  <w:t xml:space="preserve">        </w:t>
      </w:r>
      <w:r>
        <w:rPr>
          <w:rStyle w:val="7"/>
          <w:rFonts w:ascii="黑体" w:hAnsi="黑体" w:eastAsia="黑体" w:cs="黑体"/>
          <w:b/>
          <w:bCs/>
          <w:kern w:val="2"/>
          <w:sz w:val="52"/>
          <w:szCs w:val="52"/>
          <w:lang w:val="en-US" w:eastAsia="zh-CN" w:bidi="ar-SA"/>
        </w:rPr>
        <w:t xml:space="preserve"> 2018年部门决算</w:t>
      </w: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both"/>
        <w:textAlignment w:val="baseline"/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both"/>
        <w:textAlignment w:val="baseline"/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36"/>
          <w:szCs w:val="36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36"/>
          <w:szCs w:val="36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36"/>
          <w:szCs w:val="36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36"/>
          <w:szCs w:val="36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/>
          <w:kern w:val="2"/>
          <w:sz w:val="36"/>
          <w:szCs w:val="36"/>
          <w:lang w:val="en-US" w:eastAsia="zh-CN" w:bidi="ar-SA"/>
        </w:rPr>
      </w:pPr>
      <w:r>
        <w:rPr>
          <w:rStyle w:val="7"/>
          <w:rFonts w:ascii="黑体" w:hAnsi="黑体" w:eastAsia="黑体" w:cs="黑体"/>
          <w:b/>
          <w:bCs/>
          <w:kern w:val="2"/>
          <w:sz w:val="36"/>
          <w:szCs w:val="36"/>
          <w:lang w:val="en-US" w:eastAsia="zh-CN" w:bidi="ar-SA"/>
        </w:rPr>
        <w:t>单位名称：</w:t>
      </w:r>
      <w:r>
        <w:rPr>
          <w:rStyle w:val="7"/>
          <w:rFonts w:ascii="黑体" w:hAnsi="黑体" w:eastAsia="黑体"/>
          <w:kern w:val="2"/>
          <w:sz w:val="36"/>
          <w:szCs w:val="36"/>
          <w:lang w:val="en-US" w:eastAsia="zh-CN" w:bidi="ar-SA"/>
        </w:rPr>
        <w:t>交城县环境监测站</w:t>
      </w: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/>
          <w:kern w:val="2"/>
          <w:sz w:val="36"/>
          <w:szCs w:val="36"/>
          <w:lang w:val="en-US" w:eastAsia="zh-CN" w:bidi="ar-SA"/>
        </w:rPr>
      </w:pPr>
      <w:r>
        <w:rPr>
          <w:rStyle w:val="7"/>
          <w:rFonts w:ascii="黑体" w:hAnsi="黑体" w:eastAsia="黑体"/>
          <w:kern w:val="2"/>
          <w:sz w:val="36"/>
          <w:szCs w:val="36"/>
          <w:lang w:val="en-US" w:eastAsia="zh-CN" w:bidi="ar-SA"/>
        </w:rPr>
        <w:t>（单位公章）</w:t>
      </w:r>
    </w:p>
    <w:p>
      <w:pPr>
        <w:spacing w:line="640" w:lineRule="exact"/>
        <w:jc w:val="center"/>
        <w:textAlignment w:val="baseline"/>
        <w:rPr>
          <w:rStyle w:val="7"/>
          <w:rFonts w:ascii="黑体" w:hAnsi="黑体" w:eastAsia="黑体" w:cs="黑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宋体" w:hAnsi="宋体" w:cs="宋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宋体" w:hAnsi="宋体" w:cs="宋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both"/>
        <w:textAlignment w:val="baseline"/>
        <w:rPr>
          <w:rStyle w:val="7"/>
          <w:rFonts w:ascii="宋体" w:hAnsi="宋体" w:cs="宋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center"/>
        <w:textAlignment w:val="baseline"/>
        <w:rPr>
          <w:rStyle w:val="7"/>
          <w:rFonts w:ascii="宋体" w:hAnsi="宋体" w:cs="宋体"/>
          <w:b/>
          <w:bCs/>
          <w:kern w:val="2"/>
          <w:sz w:val="44"/>
          <w:szCs w:val="44"/>
          <w:lang w:val="en-US" w:eastAsia="zh-CN" w:bidi="ar-SA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201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8</w:t>
      </w:r>
      <w:r>
        <w:rPr>
          <w:rFonts w:hint="eastAsia" w:ascii="宋体" w:hAnsi="宋体" w:cs="宋体"/>
          <w:b/>
          <w:bCs/>
          <w:sz w:val="36"/>
          <w:szCs w:val="36"/>
        </w:rPr>
        <w:t>年山西省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吕梁市交城县（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环境监测站）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决</w:t>
      </w:r>
      <w:r>
        <w:rPr>
          <w:rFonts w:hint="eastAsia" w:ascii="宋体" w:hAnsi="宋体" w:cs="宋体"/>
          <w:b/>
          <w:bCs/>
          <w:sz w:val="36"/>
          <w:szCs w:val="36"/>
        </w:rPr>
        <w:t>算</w:t>
      </w: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说明</w:t>
      </w:r>
    </w:p>
    <w:p>
      <w:pPr>
        <w:spacing w:line="640" w:lineRule="exact"/>
        <w:ind w:firstLine="627" w:firstLineChars="196"/>
        <w:jc w:val="both"/>
        <w:textAlignment w:val="baseline"/>
        <w:rPr>
          <w:rStyle w:val="7"/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一、部门基本情况</w:t>
      </w:r>
    </w:p>
    <w:p>
      <w:pPr>
        <w:spacing w:line="640" w:lineRule="exact"/>
        <w:ind w:firstLine="643" w:firstLineChars="200"/>
        <w:jc w:val="both"/>
        <w:textAlignment w:val="baseline"/>
        <w:rPr>
          <w:rStyle w:val="7"/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（一）部门主要职责及机构设置</w:t>
      </w:r>
    </w:p>
    <w:p>
      <w:pPr>
        <w:spacing w:line="640" w:lineRule="exact"/>
        <w:ind w:firstLine="640"/>
        <w:jc w:val="left"/>
        <w:textAlignment w:val="baseline"/>
        <w:rPr>
          <w:rStyle w:val="7"/>
          <w:rFonts w:ascii="仿宋" w:hAnsi="仿宋" w:eastAsia="仿宋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kern w:val="2"/>
          <w:sz w:val="32"/>
          <w:szCs w:val="32"/>
          <w:lang w:val="en-US" w:eastAsia="zh-CN" w:bidi="ar-SA"/>
        </w:rPr>
        <w:t>交城县环境监测站主要职能是完成政府指令性监测、监督性监测、现状监测。本站设日报站、质控室、化验室、采样室、办公室、财务室、仪器室。</w:t>
      </w:r>
    </w:p>
    <w:p>
      <w:pPr>
        <w:numPr>
          <w:ilvl w:val="0"/>
          <w:numId w:val="1"/>
        </w:numPr>
        <w:spacing w:line="640" w:lineRule="exact"/>
        <w:ind w:firstLine="643" w:firstLineChars="200"/>
        <w:jc w:val="both"/>
        <w:textAlignment w:val="baseline"/>
        <w:rPr>
          <w:rStyle w:val="7"/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人员构成情况</w:t>
      </w:r>
    </w:p>
    <w:p>
      <w:pPr>
        <w:spacing w:line="640" w:lineRule="exact"/>
        <w:ind w:firstLine="640"/>
        <w:jc w:val="left"/>
        <w:textAlignment w:val="baseline"/>
        <w:rPr>
          <w:rStyle w:val="7"/>
          <w:rFonts w:ascii="仿宋" w:hAnsi="仿宋" w:eastAsia="仿宋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kern w:val="2"/>
          <w:sz w:val="32"/>
          <w:szCs w:val="32"/>
          <w:lang w:val="en-US" w:eastAsia="zh-CN" w:bidi="ar-SA"/>
        </w:rPr>
        <w:t>交城县环境监测站为自收自支事业单位。编制29人，其中自收自支为21人。</w:t>
      </w:r>
    </w:p>
    <w:p>
      <w:pPr>
        <w:spacing w:line="640" w:lineRule="exact"/>
        <w:ind w:firstLine="640"/>
        <w:jc w:val="left"/>
        <w:textAlignment w:val="baseline"/>
        <w:rPr>
          <w:rStyle w:val="7"/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二、2018年部门决算情况</w:t>
      </w:r>
    </w:p>
    <w:p>
      <w:pPr>
        <w:numPr>
          <w:ilvl w:val="0"/>
          <w:numId w:val="2"/>
        </w:numPr>
        <w:spacing w:line="640" w:lineRule="exact"/>
        <w:ind w:firstLine="640"/>
        <w:jc w:val="left"/>
        <w:textAlignment w:val="baseline"/>
        <w:rPr>
          <w:rStyle w:val="7"/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本年收入：</w:t>
      </w:r>
    </w:p>
    <w:p>
      <w:pPr>
        <w:spacing w:line="640" w:lineRule="exact"/>
        <w:ind w:firstLine="640" w:firstLineChars="200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本年收入共计1720000元，上年结转1292331.78元。上年收入1040000元，上下年比较增加680000元，增长比例60.5%，减少原因:补交2018年之前欠的人员集体部分的职业年金和养老金。</w:t>
      </w:r>
    </w:p>
    <w:p>
      <w:pPr>
        <w:numPr>
          <w:ilvl w:val="0"/>
          <w:numId w:val="2"/>
        </w:numPr>
        <w:spacing w:line="640" w:lineRule="exact"/>
        <w:ind w:firstLine="640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本年支出</w:t>
      </w:r>
      <w:r>
        <w:rPr>
          <w:rStyle w:val="7"/>
          <w:rFonts w:ascii="仿宋" w:hAnsi="仿宋" w:eastAsia="仿宋" w:cs="仿宋_GB2312"/>
          <w:b/>
          <w:bCs/>
          <w:kern w:val="0"/>
          <w:sz w:val="32"/>
          <w:szCs w:val="32"/>
          <w:lang w:val="en-US" w:eastAsia="zh-CN" w:bidi="ar-SA"/>
        </w:rPr>
        <w:t>：</w:t>
      </w:r>
    </w:p>
    <w:p>
      <w:pPr>
        <w:spacing w:line="640" w:lineRule="exact"/>
        <w:ind w:firstLine="640" w:firstLineChars="200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本年支出共计2974477.27元，上年支出1289511.54元，上下年比较增加1684965.73元，增长比例130.2%，增加原因:补交2018年之前欠的人员集体部分的职业年金和养老金。</w:t>
      </w:r>
    </w:p>
    <w:p>
      <w:pPr>
        <w:spacing w:line="640" w:lineRule="exact"/>
        <w:ind w:firstLine="643" w:firstLineChars="200"/>
        <w:jc w:val="left"/>
        <w:textAlignment w:val="baseline"/>
        <w:rPr>
          <w:rStyle w:val="7"/>
          <w:rFonts w:ascii="仿宋" w:hAnsi="仿宋" w:eastAsia="仿宋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1、基本支出：</w:t>
      </w:r>
      <w:r>
        <w:rPr>
          <w:rStyle w:val="7"/>
          <w:rFonts w:ascii="仿宋" w:hAnsi="仿宋" w:eastAsia="仿宋" w:cs="仿宋_GB2312"/>
          <w:b/>
          <w:bCs/>
          <w:kern w:val="0"/>
          <w:sz w:val="32"/>
          <w:szCs w:val="32"/>
          <w:lang w:val="en-US" w:eastAsia="zh-CN" w:bidi="ar-SA"/>
        </w:rPr>
        <w:t>2974477.27元。</w:t>
      </w:r>
    </w:p>
    <w:p>
      <w:pPr>
        <w:spacing w:line="640" w:lineRule="exact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 w:cs="仿宋_GB2312"/>
          <w:b/>
          <w:bCs/>
          <w:kern w:val="2"/>
          <w:sz w:val="32"/>
          <w:szCs w:val="32"/>
          <w:lang w:val="en-US" w:eastAsia="zh-CN" w:bidi="ar-SA"/>
        </w:rPr>
        <w:t xml:space="preserve">    （1）、人员经费支出：2754274.54元。</w:t>
      </w: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主要是在职人员的基本工、岗位津贴、生活补贴、奖励工资、取暖补贴等。住房公积金、福利费、遗属补助等。</w:t>
      </w:r>
    </w:p>
    <w:p>
      <w:pPr>
        <w:spacing w:line="640" w:lineRule="exact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 w:cs="仿宋_GB2312"/>
          <w:b/>
          <w:bCs/>
          <w:kern w:val="2"/>
          <w:sz w:val="32"/>
          <w:szCs w:val="32"/>
          <w:lang w:val="en-US" w:eastAsia="zh-CN" w:bidi="ar-SA"/>
        </w:rPr>
        <w:t xml:space="preserve">    （2）、公用经费支出：220202.7元。</w:t>
      </w: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主要是办公费、印刷费、差旅费等。</w:t>
      </w:r>
    </w:p>
    <w:p>
      <w:pPr>
        <w:spacing w:line="640" w:lineRule="exact"/>
        <w:ind w:firstLine="643" w:firstLineChars="200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2、项目支出</w:t>
      </w:r>
      <w:r>
        <w:rPr>
          <w:rStyle w:val="7"/>
          <w:rFonts w:ascii="仿宋" w:hAnsi="仿宋" w:eastAsia="仿宋" w:cs="仿宋_GB2312"/>
          <w:b/>
          <w:bCs/>
          <w:kern w:val="0"/>
          <w:sz w:val="32"/>
          <w:szCs w:val="32"/>
          <w:lang w:val="en-US" w:eastAsia="zh-CN" w:bidi="ar-SA"/>
        </w:rPr>
        <w:t>：0元。</w:t>
      </w: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主要是（根据本单位实际情况填写）</w:t>
      </w:r>
    </w:p>
    <w:p>
      <w:pPr>
        <w:spacing w:line="640" w:lineRule="exact"/>
        <w:ind w:firstLine="640" w:firstLineChars="200"/>
        <w:jc w:val="left"/>
        <w:textAlignment w:val="baseline"/>
        <w:rPr>
          <w:rStyle w:val="7"/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三、其他说明</w:t>
      </w:r>
    </w:p>
    <w:p>
      <w:pPr>
        <w:spacing w:line="640" w:lineRule="exact"/>
        <w:ind w:firstLine="640" w:firstLineChars="200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1、“三公”经费支出0元，2017年“三公”经费支出0元，上下年比较</w:t>
      </w:r>
      <w:r>
        <w:rPr>
          <w:rStyle w:val="7"/>
          <w:rFonts w:hint="eastAsia" w:ascii="仿宋" w:hAnsi="仿宋" w:eastAsia="仿宋"/>
          <w:kern w:val="0"/>
          <w:sz w:val="32"/>
          <w:szCs w:val="32"/>
          <w:lang w:val="en-US" w:eastAsia="zh-CN" w:bidi="ar-SA"/>
        </w:rPr>
        <w:t>无增减变化</w:t>
      </w: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，增长或减少比例0%</w:t>
      </w:r>
      <w:r>
        <w:rPr>
          <w:rStyle w:val="7"/>
          <w:rFonts w:hint="eastAsia" w:ascii="仿宋" w:hAnsi="仿宋" w:eastAsia="仿宋"/>
          <w:kern w:val="0"/>
          <w:sz w:val="32"/>
          <w:szCs w:val="32"/>
          <w:lang w:val="en-US" w:eastAsia="zh-CN" w:bidi="ar-SA"/>
        </w:rPr>
        <w:t>。</w:t>
      </w:r>
    </w:p>
    <w:p>
      <w:pPr>
        <w:spacing w:line="640" w:lineRule="exact"/>
        <w:ind w:firstLine="640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2、政府采购支出120202.7元，其中货物支出83228.7元，工程支出0元，服务支出36974元。</w:t>
      </w:r>
      <w:bookmarkStart w:id="0" w:name="_GoBack"/>
      <w:bookmarkEnd w:id="0"/>
    </w:p>
    <w:p>
      <w:pPr>
        <w:spacing w:line="640" w:lineRule="exact"/>
        <w:ind w:firstLine="640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3、机关运行经费0元。</w:t>
      </w:r>
    </w:p>
    <w:p>
      <w:pPr>
        <w:spacing w:line="640" w:lineRule="exact"/>
        <w:ind w:firstLine="640"/>
        <w:jc w:val="left"/>
        <w:textAlignment w:val="baseline"/>
        <w:rPr>
          <w:rStyle w:val="7"/>
          <w:rFonts w:ascii="仿宋" w:hAnsi="仿宋" w:eastAsia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color w:val="000000"/>
          <w:kern w:val="0"/>
          <w:sz w:val="32"/>
          <w:szCs w:val="32"/>
          <w:lang w:val="en-US" w:eastAsia="zh-CN" w:bidi="ar-SA"/>
        </w:rPr>
        <w:t>4、国有资产占用情况：资产总额为2186973.24元，其中:固定资产为2138127.98元,占资产总额的比例是97.8%；无形资产0元，占资产总额的比例是0;在建工程0元，占资产总额的比例是0；公共基础设施0元，占资产总额的比例是0。</w:t>
      </w:r>
    </w:p>
    <w:p>
      <w:pPr>
        <w:spacing w:line="640" w:lineRule="exact"/>
        <w:ind w:firstLine="640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color w:val="000000"/>
          <w:kern w:val="0"/>
          <w:sz w:val="32"/>
          <w:szCs w:val="32"/>
          <w:lang w:val="en-US" w:eastAsia="zh-CN" w:bidi="ar-SA"/>
        </w:rPr>
        <w:t>5、预算绩效评价情况：</w:t>
      </w: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无</w:t>
      </w:r>
    </w:p>
    <w:p>
      <w:pPr>
        <w:spacing w:line="640" w:lineRule="exact"/>
        <w:ind w:firstLine="640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  <w:t>6、对本单位专业性较强名词解释。无</w:t>
      </w:r>
    </w:p>
    <w:p>
      <w:pPr>
        <w:pStyle w:val="8"/>
        <w:keepNext/>
        <w:keepLines/>
        <w:spacing w:before="260" w:after="260" w:line="240" w:lineRule="auto"/>
        <w:ind w:firstLine="640" w:firstLineChars="200"/>
        <w:jc w:val="left"/>
        <w:textAlignment w:val="baseline"/>
        <w:rPr>
          <w:rStyle w:val="7"/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Cs/>
          <w:kern w:val="2"/>
          <w:sz w:val="32"/>
          <w:szCs w:val="32"/>
          <w:lang w:val="en-US" w:eastAsia="zh-CN" w:bidi="ar-SA"/>
        </w:rPr>
        <w:t>四、部门财务管理情况</w:t>
      </w:r>
    </w:p>
    <w:p>
      <w:pPr>
        <w:spacing w:line="240" w:lineRule="auto"/>
        <w:ind w:firstLine="640" w:firstLineChars="200"/>
        <w:jc w:val="both"/>
        <w:textAlignment w:val="baseline"/>
        <w:rPr>
          <w:rStyle w:val="7"/>
          <w:rFonts w:ascii="仿宋" w:hAnsi="仿宋" w:eastAsia="仿宋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kern w:val="2"/>
          <w:sz w:val="32"/>
          <w:szCs w:val="32"/>
          <w:lang w:val="en-US" w:eastAsia="zh-CN" w:bidi="ar-SA"/>
        </w:rPr>
        <w:t>为了确保我单位各项资产的安全有效使用、资金的安全运行，提高资金的使用效率，保障本单位财务会计管理的合法合规，财务报告及相关信息真实完整，根据相关规定制定了“交城县环境监测站内部控制制度”。</w:t>
      </w:r>
    </w:p>
    <w:p>
      <w:pPr>
        <w:spacing w:line="640" w:lineRule="exact"/>
        <w:jc w:val="left"/>
        <w:textAlignment w:val="baseline"/>
        <w:rPr>
          <w:rStyle w:val="7"/>
          <w:rFonts w:ascii="仿宋" w:hAnsi="仿宋" w:eastAsia="仿宋"/>
          <w:kern w:val="0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spacing w:line="240" w:lineRule="auto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  <w:r>
      <w:rPr>
        <w:rStyle w:val="7"/>
        <w:kern w:val="2"/>
        <w:sz w:val="18"/>
        <w:szCs w:val="18"/>
        <w:lang w:val="en-US" w:eastAsia="zh-CN" w:bidi="ar-SA"/>
      </w:rPr>
      <w:pict>
        <v:shape id="_x0000_s4097" o:spid="_x0000_s4097" o:spt="202" type="#_x0000_t202" style="position:absolute;left:0pt;margin-top:0pt;height:144pt;width:144pt;mso-position-horizontal:center;mso-position-horizontal-relative:margin;z-index:524288;mso-width-relative:page;mso-height-relative:page;" filled="f" stroked="f" coordsize="21600,21600">
          <v:path/>
          <v:fill on="f" focussize="0,0"/>
          <v:stroke on="f" weight="1.25pt"/>
          <v:imagedata o:title=""/>
          <o:lock v:ext="edit"/>
          <v:textbox inset="0mm,0mm,0mm,0mm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3CE1C"/>
    <w:multiLevelType w:val="singleLevel"/>
    <w:tmpl w:val="2583CE1C"/>
    <w:lvl w:ilvl="0" w:tentative="0">
      <w:start w:val="2"/>
      <w:numFmt w:val="chineseCounting"/>
      <w:suff w:val="nothing"/>
      <w:lvlText w:val="（%1）"/>
      <w:lvlJc w:val="left"/>
      <w:pPr>
        <w:widowControl/>
        <w:spacing w:line="240" w:lineRule="auto"/>
        <w:textAlignment w:val="baseline"/>
      </w:pPr>
      <w:rPr>
        <w:rStyle w:val="7"/>
      </w:rPr>
    </w:lvl>
  </w:abstractNum>
  <w:abstractNum w:abstractNumId="1">
    <w:nsid w:val="57D55E2B"/>
    <w:multiLevelType w:val="singleLevel"/>
    <w:tmpl w:val="57D55E2B"/>
    <w:lvl w:ilvl="0" w:tentative="0">
      <w:start w:val="1"/>
      <w:numFmt w:val="chineseCounting"/>
      <w:suff w:val="nothing"/>
      <w:lvlText w:val="（%1）"/>
      <w:lvlJc w:val="left"/>
      <w:pPr>
        <w:widowControl/>
        <w:spacing w:line="240" w:lineRule="auto"/>
        <w:textAlignment w:val="baseline"/>
      </w:pPr>
      <w:rPr>
        <w:rStyle w:val="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hdrShapeDefaults>
    <o:shapelayout v:ext="edit">
      <o:idmap v:ext="edit" data="3,4"/>
    </o:shapelayout>
  </w:hdrShapeDefaults>
  <w:compat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2E5D84"/>
    <w:rsid w:val="00556179"/>
    <w:rsid w:val="007B3861"/>
    <w:rsid w:val="495B0D3B"/>
    <w:rsid w:val="54581388"/>
    <w:rsid w:val="58D27BA0"/>
    <w:rsid w:val="5FAF0729"/>
    <w:rsid w:val="73780E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spacing w:line="240" w:lineRule="auto"/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line="240" w:lineRule="auto"/>
      <w:jc w:val="both"/>
      <w:textAlignment w:val="baseline"/>
    </w:pPr>
    <w:rPr>
      <w:kern w:val="2"/>
      <w:sz w:val="18"/>
      <w:lang w:val="en-US" w:eastAsia="zh-CN" w:bidi="ar-SA"/>
    </w:rPr>
  </w:style>
  <w:style w:type="character" w:styleId="6">
    <w:name w:val="Hyperlink"/>
    <w:basedOn w:val="7"/>
    <w:link w:val="1"/>
    <w:qFormat/>
    <w:uiPriority w:val="0"/>
    <w:rPr>
      <w:color w:val="0000FF"/>
      <w:u w:val="single"/>
    </w:rPr>
  </w:style>
  <w:style w:type="character" w:customStyle="1" w:styleId="7">
    <w:name w:val="NormalCharacter"/>
    <w:link w:val="1"/>
    <w:qFormat/>
    <w:uiPriority w:val="0"/>
  </w:style>
  <w:style w:type="paragraph" w:customStyle="1" w:styleId="8">
    <w:name w:val="Heading3"/>
    <w:basedOn w:val="1"/>
    <w:next w:val="1"/>
    <w:qFormat/>
    <w:uiPriority w:val="0"/>
    <w:pPr>
      <w:keepNext/>
      <w:keepLines/>
      <w:spacing w:before="260" w:after="260" w:line="240" w:lineRule="auto"/>
      <w:ind w:firstLine="200" w:firstLineChars="200"/>
      <w:jc w:val="both"/>
      <w:textAlignment w:val="baseline"/>
    </w:pPr>
    <w:rPr>
      <w:rFonts w:ascii="Calibri" w:hAnsi="Calibri" w:eastAsia="黑体" w:cs="Times New Roman"/>
      <w:bCs/>
      <w:kern w:val="2"/>
      <w:sz w:val="30"/>
      <w:szCs w:val="32"/>
      <w:lang w:val="en-US" w:eastAsia="zh-CN" w:bidi="ar-SA"/>
    </w:rPr>
  </w:style>
  <w:style w:type="table" w:customStyle="1" w:styleId="9">
    <w:name w:val="TableNormal"/>
    <w:semiHidden/>
    <w:qFormat/>
    <w:uiPriority w:val="0"/>
  </w:style>
  <w:style w:type="character" w:customStyle="1" w:styleId="10">
    <w:name w:val="PageNumber"/>
    <w:basedOn w:val="7"/>
    <w:link w:val="1"/>
    <w:qFormat/>
    <w:uiPriority w:val="0"/>
  </w:style>
  <w:style w:type="paragraph" w:customStyle="1" w:styleId="11">
    <w:name w:val="HtmlNormal"/>
    <w:basedOn w:val="1"/>
    <w:qFormat/>
    <w:uiPriority w:val="0"/>
    <w:pPr>
      <w:spacing w:before="100" w:beforeAutospacing="1" w:after="100" w:afterAutospacing="1" w:line="240" w:lineRule="auto"/>
      <w:jc w:val="both"/>
      <w:textAlignment w:val="baseline"/>
    </w:pPr>
    <w:rPr>
      <w:kern w:val="2"/>
      <w:sz w:val="24"/>
      <w:lang w:val="en-US" w:eastAsia="zh-CN" w:bidi="ar-SA"/>
    </w:rPr>
  </w:style>
  <w:style w:type="paragraph" w:customStyle="1" w:styleId="12">
    <w:name w:val="HtmlPre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  <w:textAlignment w:val="baseline"/>
    </w:pPr>
    <w:rPr>
      <w:rFonts w:ascii="宋体" w:hAnsi="宋体" w:eastAsia="宋体"/>
      <w:kern w:val="0"/>
      <w:sz w:val="24"/>
      <w:szCs w:val="24"/>
      <w:lang w:val="en-US" w:eastAsia="zh-CN" w:bidi="ar-SA"/>
    </w:rPr>
  </w:style>
  <w:style w:type="paragraph" w:customStyle="1" w:styleId="13">
    <w:name w:val="UserStyle_0"/>
    <w:qFormat/>
    <w:uiPriority w:val="0"/>
    <w:pPr>
      <w:widowControl/>
      <w:spacing w:line="240" w:lineRule="auto"/>
      <w:ind w:firstLine="200" w:firstLineChars="200"/>
      <w:jc w:val="center"/>
      <w:textAlignment w:val="baseline"/>
    </w:pPr>
    <w:rPr>
      <w:rFonts w:ascii="Times New Roman" w:hAnsi="Times New Roman" w:eastAsia="仿宋_GB2312" w:cs="Times New Roman"/>
      <w:sz w:val="3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Office_11.1.0.9098_F1E327BC-269C-435d-A152-05C5408002CA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2019-10-10T01:11:00Z</dcterms:created>
  <dc:creator>Administrator</dc:creator>
  <cp:lastModifiedBy>lenovo</cp:lastModifiedBy>
  <dcterms:modified xsi:type="dcterms:W3CDTF">2019-10-11T01:19:20Z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