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 xml:space="preserve">        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 xml:space="preserve"> 201</w:t>
      </w: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年部门决算</w:t>
      </w: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单位名称：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交城县医疗保险服务中心</w:t>
      </w:r>
      <w:r>
        <w:rPr>
          <w:rFonts w:hint="eastAsia" w:ascii="黑体" w:hAnsi="黑体" w:eastAsia="黑体" w:cs="黑体"/>
          <w:sz w:val="36"/>
          <w:szCs w:val="36"/>
        </w:rPr>
        <w:t>（单位公章）</w:t>
      </w: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</w:p>
    <w:p>
      <w:pPr>
        <w:spacing w:line="640" w:lineRule="exact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</w:rPr>
        <w:t>201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36"/>
          <w:szCs w:val="36"/>
        </w:rPr>
        <w:t>年山西省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吕梁市交城县</w:t>
      </w: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（交城县医疗保险服务中心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单位）</w:t>
      </w:r>
      <w:r>
        <w:rPr>
          <w:rFonts w:hint="eastAsia" w:ascii="宋体" w:hAnsi="宋体" w:cs="宋体"/>
          <w:b/>
          <w:bCs/>
          <w:sz w:val="36"/>
          <w:szCs w:val="36"/>
        </w:rPr>
        <w:t>部门决算</w:t>
      </w: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说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明</w:t>
      </w:r>
    </w:p>
    <w:p>
      <w:pPr>
        <w:spacing w:line="640" w:lineRule="exact"/>
        <w:ind w:firstLine="627" w:firstLineChars="196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一、部门基本情况</w:t>
      </w:r>
    </w:p>
    <w:p>
      <w:pPr>
        <w:spacing w:line="640" w:lineRule="exact"/>
        <w:ind w:firstLine="643" w:firstLineChars="200"/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（一）部门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主要职责及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机构设置</w:t>
      </w:r>
    </w:p>
    <w:p>
      <w:pPr>
        <w:spacing w:line="640" w:lineRule="exact"/>
        <w:ind w:firstLine="640" w:firstLineChars="200"/>
        <w:rPr>
          <w:rFonts w:hint="eastAsia" w:ascii="楷体_GB2312" w:hAnsi="仿宋_GB2312" w:eastAsia="楷体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本单位内设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个科室。主要工作职责是：</w:t>
      </w:r>
      <w:r>
        <w:rPr>
          <w:rFonts w:hint="eastAsia" w:ascii="仿宋" w:hAnsi="宋体" w:cs="宋体"/>
          <w:bCs/>
          <w:sz w:val="32"/>
          <w:szCs w:val="32"/>
        </w:rPr>
        <w:t>主要负责全县城镇职工基本医疗保险、城镇居民基本医疗保险、女工生育保险基金的征缴、支付和运行，也承担着全县离休、二等乙级以上伤残革命军人医药费的管理。同时对全县5个定点医院和50个定点零售药店进行政策指导和监督管理。</w:t>
      </w:r>
    </w:p>
    <w:p>
      <w:pPr>
        <w:numPr>
          <w:ilvl w:val="0"/>
          <w:numId w:val="1"/>
        </w:numPr>
        <w:spacing w:line="640" w:lineRule="exact"/>
        <w:ind w:firstLine="643" w:firstLineChars="200"/>
        <w:rPr>
          <w:rFonts w:hint="eastAsia" w:ascii="楷体_GB2312" w:hAnsi="仿宋_GB2312" w:eastAsia="楷体_GB2312" w:cs="仿宋_GB2312"/>
          <w:b/>
          <w:bCs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人员构成情况</w:t>
      </w:r>
    </w:p>
    <w:p>
      <w:pPr>
        <w:spacing w:line="640" w:lineRule="exact"/>
        <w:ind w:firstLine="640"/>
        <w:jc w:val="left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二、201</w:t>
      </w:r>
      <w:r>
        <w:rPr>
          <w:rFonts w:hint="eastAsia" w:ascii="黑体" w:hAnsi="仿宋_GB2312" w:eastAsia="黑体" w:cs="仿宋_GB2312"/>
          <w:sz w:val="32"/>
          <w:szCs w:val="32"/>
          <w:lang w:val="en-US" w:eastAsia="zh-CN"/>
        </w:rPr>
        <w:t>8</w:t>
      </w:r>
      <w:r>
        <w:rPr>
          <w:rFonts w:hint="eastAsia" w:ascii="黑体" w:hAnsi="仿宋_GB2312" w:eastAsia="黑体" w:cs="仿宋_GB2312"/>
          <w:sz w:val="32"/>
          <w:szCs w:val="32"/>
        </w:rPr>
        <w:t>年部门决算情况</w:t>
      </w:r>
    </w:p>
    <w:p>
      <w:pPr>
        <w:numPr>
          <w:ilvl w:val="0"/>
          <w:numId w:val="2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本年收入：</w:t>
      </w:r>
    </w:p>
    <w:p>
      <w:pPr>
        <w:numPr>
          <w:ilvl w:val="0"/>
          <w:numId w:val="0"/>
        </w:numPr>
        <w:spacing w:line="640" w:lineRule="exact"/>
        <w:ind w:firstLine="640" w:firstLineChars="20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本年收入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32121629.56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结转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61059.53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32269436.2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上下年比较减少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147806.64 元，减少比例0.46%，减少原因:城乡居民整合，没有拨城镇居民预算费。</w:t>
      </w:r>
    </w:p>
    <w:p>
      <w:pPr>
        <w:numPr>
          <w:ilvl w:val="0"/>
          <w:numId w:val="2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本年支出：</w:t>
      </w:r>
    </w:p>
    <w:p>
      <w:pPr>
        <w:numPr>
          <w:ilvl w:val="0"/>
          <w:numId w:val="0"/>
        </w:numPr>
        <w:spacing w:line="640" w:lineRule="exact"/>
        <w:ind w:firstLine="640" w:firstLineChars="20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本年支出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31117365.15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32242709.21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上下年比较减少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1125344.06元，减少比例3.49%，减少原因:城乡居民整合，没有拨城镇居民预算费。</w:t>
      </w:r>
    </w:p>
    <w:p>
      <w:pPr>
        <w:numPr>
          <w:ilvl w:val="0"/>
          <w:numId w:val="0"/>
        </w:numPr>
        <w:spacing w:line="64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1、基本支出：912604.15元。</w:t>
      </w:r>
    </w:p>
    <w:p>
      <w:pPr>
        <w:spacing w:line="64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 xml:space="preserve">    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1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、人员经费支出：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val="en-US" w:eastAsia="zh-CN"/>
        </w:rPr>
        <w:t xml:space="preserve">714353.56 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主要是在职人员的基本工、岗位津贴、生活补贴、奖励工资、取暖补贴等。住房公积金、福利费、遗属补助等。</w:t>
      </w:r>
    </w:p>
    <w:p>
      <w:pPr>
        <w:spacing w:line="64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 xml:space="preserve">    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2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、公用经费支出：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val="en-US" w:eastAsia="zh-CN"/>
        </w:rPr>
        <w:t xml:space="preserve">198250.59 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主要是办公费、印刷费、差旅费等。</w:t>
      </w:r>
    </w:p>
    <w:p>
      <w:pPr>
        <w:numPr>
          <w:ilvl w:val="0"/>
          <w:numId w:val="0"/>
        </w:numPr>
        <w:spacing w:line="640" w:lineRule="exact"/>
        <w:ind w:firstLine="643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2、项目支出：30204761元。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离休、二等乙残人员医药费2012815元；城镇职工单位部分医保28191946元。</w:t>
      </w:r>
    </w:p>
    <w:p>
      <w:pPr>
        <w:spacing w:line="640" w:lineRule="exact"/>
        <w:ind w:firstLine="640" w:firstLineChars="200"/>
        <w:jc w:val="left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三、其他说明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1、“三公”经费支出27656.1元，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公务用车运行维护费27656.1元，2017年“三公”经费支出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28541.72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元，公务用车运行维护费为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28541.72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上下年比较减少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885.62     元，减少比例3.1%%，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三公经费支出按季度公示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。增加或减少原因</w:t>
      </w:r>
      <w:r>
        <w:rPr>
          <w:rFonts w:hint="eastAsia" w:ascii="仿宋gb2312" w:hAnsi="仿宋" w:eastAsia="仿宋gb2312" w:cs="仿宋_GB2312"/>
          <w:kern w:val="0"/>
          <w:sz w:val="32"/>
          <w:szCs w:val="32"/>
          <w:lang w:val="en-US" w:eastAsia="zh-CN"/>
        </w:rPr>
        <w:t>2018年底还有未结算的汽车修理费。</w:t>
      </w:r>
    </w:p>
    <w:p>
      <w:pPr>
        <w:spacing w:line="64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142965.59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元，其中货物支出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128569.49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元，工程支出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14396.1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元。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3、机关运行经费 0元。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4、国有资产占用情况：资产总额为1430775.94元，其中:固定资产为365452元,占资产总额的比例是25.54%；其他流动资产（剩余经费和离休生育）1065323.94元；无形资产 0元，占资产总额的比例是0;在建工程 0元，占资产总额的比例是 0；公共基础设施 0元，占资产总额的比例是0。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5、预算绩效评价情况：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6、对本单位专业性较强名词解释。无</w:t>
      </w:r>
    </w:p>
    <w:p>
      <w:pPr>
        <w:pStyle w:val="2"/>
        <w:numPr>
          <w:ilvl w:val="0"/>
          <w:numId w:val="3"/>
        </w:numPr>
        <w:ind w:left="0" w:leftChars="0" w:firstLine="600" w:firstLineChars="200"/>
        <w:jc w:val="left"/>
        <w:rPr>
          <w:rFonts w:hint="eastAsia"/>
        </w:rPr>
      </w:pPr>
      <w:r>
        <w:rPr>
          <w:rFonts w:hint="eastAsia"/>
        </w:rPr>
        <w:t>部门财务管理情况</w:t>
      </w:r>
    </w:p>
    <w:p>
      <w:pPr>
        <w:pStyle w:val="4"/>
        <w:spacing w:before="0" w:beforeAutospacing="0" w:after="0" w:afterAutospacing="0"/>
        <w:ind w:firstLine="643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为了确保我单位各项资产的安全有效使用、资金的安全运行，提高资金的使用效率，保障本单位财务会计管理的合法合规，财务报告及相关信息真实完整，根据《中华人民共和国预算法》、《中华人民共和国会计法》、《财政违法行为处罚处分条例》、《会计基础工作规范》，《行政事业单位内部控制规范（试行）》等，制定了“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交城县医疗保险服务中心单位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内部控制制度”。</w:t>
      </w:r>
    </w:p>
    <w:p>
      <w:pPr>
        <w:numPr>
          <w:ilvl w:val="0"/>
          <w:numId w:val="0"/>
        </w:numPr>
      </w:pPr>
    </w:p>
    <w:p>
      <w:pPr>
        <w:spacing w:line="64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gb2312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3CE1C"/>
    <w:multiLevelType w:val="singleLevel"/>
    <w:tmpl w:val="2583CE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6383911"/>
    <w:multiLevelType w:val="singleLevel"/>
    <w:tmpl w:val="2638391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7D55E2B"/>
    <w:multiLevelType w:val="singleLevel"/>
    <w:tmpl w:val="57D55E2B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A31BA"/>
    <w:rsid w:val="02722236"/>
    <w:rsid w:val="03BE08EB"/>
    <w:rsid w:val="08246F85"/>
    <w:rsid w:val="148E4E2F"/>
    <w:rsid w:val="1B207A6E"/>
    <w:rsid w:val="3ED8025D"/>
    <w:rsid w:val="4BE92C02"/>
    <w:rsid w:val="54965943"/>
    <w:rsid w:val="5CA8487E"/>
    <w:rsid w:val="5E854EDF"/>
    <w:rsid w:val="6D7A31BA"/>
    <w:rsid w:val="754B545E"/>
    <w:rsid w:val="782E4995"/>
    <w:rsid w:val="7B0632BE"/>
    <w:rsid w:val="7DD671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widowControl w:val="0"/>
      <w:spacing w:before="260" w:after="260"/>
      <w:ind w:firstLine="200" w:firstLineChars="200"/>
      <w:outlineLvl w:val="2"/>
    </w:pPr>
    <w:rPr>
      <w:rFonts w:ascii="Calibri" w:hAnsi="Calibri" w:eastAsia="黑体" w:cs="Times New Roman"/>
      <w:bCs/>
      <w:kern w:val="2"/>
      <w:sz w:val="30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</w:pPr>
    <w:rPr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2019-09-24T03:24:00Z</dcterms:created>
  <dc:creator>Administrator</dc:creator>
  <cp:lastModifiedBy>guoku1</cp:lastModifiedBy>
  <dcterms:modified xsi:type="dcterms:W3CDTF">2019-10-11T02:06:00Z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