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52"/>
          <w:szCs w:val="52"/>
        </w:rPr>
      </w:pPr>
      <w:r>
        <w:rPr>
          <w:rFonts w:hint="eastAsia" w:ascii="黑体" w:hAnsi="黑体" w:eastAsia="黑体" w:cs="黑体"/>
          <w:b/>
          <w:bCs/>
          <w:sz w:val="52"/>
          <w:szCs w:val="52"/>
        </w:rPr>
        <w:t>201</w:t>
      </w:r>
      <w:r>
        <w:rPr>
          <w:rFonts w:hint="eastAsia" w:ascii="黑体" w:hAnsi="黑体" w:eastAsia="黑体" w:cs="黑体"/>
          <w:b/>
          <w:bCs/>
          <w:sz w:val="52"/>
          <w:szCs w:val="52"/>
          <w:lang w:val="en-US" w:eastAsia="zh-CN"/>
        </w:rPr>
        <w:t>9</w:t>
      </w:r>
      <w:r>
        <w:rPr>
          <w:rFonts w:hint="eastAsia" w:ascii="黑体" w:hAnsi="黑体" w:eastAsia="黑体" w:cs="黑体"/>
          <w:b/>
          <w:bCs/>
          <w:sz w:val="52"/>
          <w:szCs w:val="52"/>
        </w:rPr>
        <w:t>年部门决算</w:t>
      </w: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</w:p>
    <w:p>
      <w:pPr>
        <w:spacing w:line="640" w:lineRule="exact"/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</w:rPr>
        <w:t>单位名称：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交城县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医疗保险服务中心</w:t>
      </w:r>
      <w:r>
        <w:rPr>
          <w:rFonts w:hint="eastAsia" w:ascii="黑体" w:hAnsi="黑体" w:eastAsia="黑体" w:cs="黑体"/>
          <w:sz w:val="36"/>
          <w:szCs w:val="36"/>
        </w:rPr>
        <w:t>（单位公章）</w:t>
      </w:r>
    </w:p>
    <w:p>
      <w:pPr>
        <w:spacing w:line="640" w:lineRule="exact"/>
        <w:jc w:val="center"/>
        <w:rPr>
          <w:rFonts w:hint="eastAsia" w:ascii="黑体" w:hAnsi="黑体" w:eastAsia="黑体" w:cs="黑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44"/>
          <w:szCs w:val="44"/>
        </w:rPr>
      </w:pPr>
    </w:p>
    <w:p>
      <w:pPr>
        <w:spacing w:line="640" w:lineRule="exact"/>
        <w:jc w:val="center"/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t>201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9</w:t>
      </w:r>
      <w:r>
        <w:rPr>
          <w:rFonts w:hint="eastAsia" w:ascii="宋体" w:hAnsi="宋体" w:cs="宋体"/>
          <w:b/>
          <w:bCs/>
          <w:sz w:val="36"/>
          <w:szCs w:val="36"/>
        </w:rPr>
        <w:t>年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医保中心</w:t>
      </w:r>
      <w:r>
        <w:rPr>
          <w:rFonts w:hint="eastAsia" w:ascii="宋体" w:hAnsi="宋体" w:cs="宋体"/>
          <w:b/>
          <w:bCs/>
          <w:sz w:val="36"/>
          <w:szCs w:val="36"/>
        </w:rPr>
        <w:t>部门决算说明</w:t>
      </w:r>
    </w:p>
    <w:p>
      <w:pPr>
        <w:spacing w:line="640" w:lineRule="exact"/>
        <w:ind w:firstLine="627" w:firstLineChars="196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一、部门基本情况</w:t>
      </w:r>
    </w:p>
    <w:p>
      <w:pPr>
        <w:spacing w:line="640" w:lineRule="exact"/>
        <w:ind w:firstLine="643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（一）部门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主要职责及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机构设置</w:t>
      </w:r>
    </w:p>
    <w:p>
      <w:pPr>
        <w:spacing w:line="640" w:lineRule="exact"/>
        <w:ind w:firstLine="640" w:firstLineChars="200"/>
        <w:rPr>
          <w:rFonts w:hint="eastAsia" w:ascii="仿宋_GB2312" w:hAnsi="仿宋_GB2312" w:eastAsia="仿宋_GB2312" w:cs="仿宋_GB2312"/>
          <w:bCs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bCs/>
          <w:sz w:val="32"/>
          <w:szCs w:val="32"/>
        </w:rPr>
        <w:t>本单位内设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个科室。主要工作职责是：主要负责全县城镇职工基本医疗保险、城镇居民基本医疗保险、女工生育保险基金的征缴、支付和运行，也承担着全县离休、二等乙级以上伤残革命军人医药费的管理。同时对全县5个定点医院和50个定点零售药店进行政策指导和监督管理。</w:t>
      </w:r>
    </w:p>
    <w:bookmarkEnd w:id="0"/>
    <w:p>
      <w:pPr>
        <w:numPr>
          <w:ilvl w:val="0"/>
          <w:numId w:val="1"/>
        </w:numPr>
        <w:spacing w:line="640" w:lineRule="exact"/>
        <w:ind w:firstLine="643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人员构成情况</w:t>
      </w:r>
    </w:p>
    <w:p>
      <w:pPr>
        <w:spacing w:line="640" w:lineRule="exact"/>
        <w:ind w:firstLine="640" w:firstLineChars="200"/>
        <w:rPr>
          <w:rFonts w:hint="eastAsia" w:ascii="楷体_GB2312" w:hAnsi="仿宋_GB2312" w:eastAsia="楷体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本单位编制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人，其中行政编制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人，事业编制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人；实际单位在职人员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遗属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0人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。计划内临时工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人。</w:t>
      </w:r>
    </w:p>
    <w:p>
      <w:pPr>
        <w:spacing w:line="640" w:lineRule="exact"/>
        <w:ind w:firstLine="640"/>
        <w:jc w:val="left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二、201</w:t>
      </w:r>
      <w:r>
        <w:rPr>
          <w:rFonts w:hint="eastAsia" w:ascii="黑体" w:hAnsi="仿宋_GB2312" w:eastAsia="黑体" w:cs="仿宋_GB2312"/>
          <w:sz w:val="32"/>
          <w:szCs w:val="32"/>
          <w:lang w:val="en-US" w:eastAsia="zh-CN"/>
        </w:rPr>
        <w:t>9</w:t>
      </w:r>
      <w:r>
        <w:rPr>
          <w:rFonts w:hint="eastAsia" w:ascii="黑体" w:hAnsi="仿宋_GB2312" w:eastAsia="黑体" w:cs="仿宋_GB2312"/>
          <w:sz w:val="32"/>
          <w:szCs w:val="32"/>
        </w:rPr>
        <w:t>年部门决算情况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本年收入：</w:t>
      </w:r>
    </w:p>
    <w:p>
      <w:pPr>
        <w:numPr>
          <w:ilvl w:val="0"/>
          <w:numId w:val="0"/>
        </w:numPr>
        <w:spacing w:line="640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本年收入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38237280.22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结转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1049321.59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收入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32182689.09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val="en-US" w:eastAsia="zh-CN" w:bidi="ar-SA"/>
        </w:rPr>
        <w:t>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6054591.13元，增长比例18.81%，增加原因:职工基数提高。</w:t>
      </w:r>
    </w:p>
    <w:p>
      <w:pPr>
        <w:numPr>
          <w:ilvl w:val="0"/>
          <w:numId w:val="2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本年支出：</w:t>
      </w:r>
    </w:p>
    <w:p>
      <w:pPr>
        <w:numPr>
          <w:ilvl w:val="0"/>
          <w:numId w:val="0"/>
        </w:numPr>
        <w:spacing w:line="640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lang w:eastAsia="zh-CN"/>
        </w:rPr>
        <w:t>本年支出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共计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35929271.98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元，上年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31117365.15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上下年比较增加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4811906.83元，增长15.46%，增加原因:基本支出增加128686.07元，项目支出增加4683220.76元。</w:t>
      </w:r>
    </w:p>
    <w:p>
      <w:pPr>
        <w:numPr>
          <w:ilvl w:val="0"/>
          <w:numId w:val="0"/>
        </w:numPr>
        <w:spacing w:line="640" w:lineRule="exact"/>
        <w:ind w:firstLine="643" w:firstLineChars="200"/>
        <w:jc w:val="left"/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1、基本支出：1002290.22元。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 xml:space="preserve">   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1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人员经费支出：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val="en-US" w:eastAsia="zh-CN"/>
        </w:rPr>
        <w:t>896525.8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主要是在职人员的基本工、岗位津贴、生活补贴、奖励工资、取暖补贴等。住房公积金、福利费、遗属补助等。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 xml:space="preserve">    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（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2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eastAsia="zh-CN"/>
        </w:rPr>
        <w:t>）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公用经费支出：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  <w:lang w:val="en-US" w:eastAsia="zh-CN"/>
        </w:rPr>
        <w:t>105764.42元</w:t>
      </w:r>
      <w:r>
        <w:rPr>
          <w:rFonts w:hint="eastAsia" w:ascii="楷体_GB2312" w:hAnsi="仿宋_GB2312" w:eastAsia="楷体_GB2312" w:cs="仿宋_GB2312"/>
          <w:b/>
          <w:bCs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主要是办公费、印刷费、差旅费等。</w:t>
      </w:r>
    </w:p>
    <w:p>
      <w:pPr>
        <w:numPr>
          <w:ilvl w:val="0"/>
          <w:numId w:val="0"/>
        </w:numPr>
        <w:spacing w:line="640" w:lineRule="exact"/>
        <w:ind w:firstLine="643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lang w:val="en-US" w:eastAsia="zh-CN" w:bidi="ar-SA"/>
        </w:rPr>
        <w:t>2、项目支出：34926981.76元。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主要是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离休医药费、城乡居民医疗补助和城镇职工财政单位医保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等项目。</w:t>
      </w:r>
    </w:p>
    <w:p>
      <w:pPr>
        <w:spacing w:line="640" w:lineRule="exact"/>
        <w:ind w:firstLine="640" w:firstLineChars="200"/>
        <w:jc w:val="left"/>
        <w:rPr>
          <w:rFonts w:hint="eastAsia" w:ascii="黑体" w:hAnsi="仿宋_GB2312" w:eastAsia="黑体" w:cs="仿宋_GB2312"/>
          <w:sz w:val="32"/>
          <w:szCs w:val="32"/>
        </w:rPr>
      </w:pPr>
      <w:r>
        <w:rPr>
          <w:rFonts w:hint="eastAsia" w:ascii="黑体" w:hAnsi="仿宋_GB2312" w:eastAsia="黑体" w:cs="仿宋_GB2312"/>
          <w:sz w:val="32"/>
          <w:szCs w:val="32"/>
        </w:rPr>
        <w:t>三、其他说明</w:t>
      </w:r>
    </w:p>
    <w:p>
      <w:pPr>
        <w:numPr>
          <w:ilvl w:val="0"/>
          <w:numId w:val="0"/>
        </w:numPr>
        <w:spacing w:line="640" w:lineRule="exact"/>
        <w:ind w:firstLine="640" w:firstLineChars="20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1、“三公”经费支出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6418.25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2018年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“三公”经费支出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27656.1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上下年比较减少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21237.85元，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比例76.8%，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减少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原因:第四季度的未报销。</w:t>
      </w:r>
    </w:p>
    <w:p>
      <w:p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政府采购支出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52554.4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元，其中货物支出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39816.15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元，工程支出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元，服务支出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12738.25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-SA"/>
        </w:rPr>
        <w:t>3、机关运行经费6418.25元。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4、国有资产占用情况：资产总额为2308008.24元，其中:固定资产为365452元,占资产总额的比例是15.83%；无形资产0元，占资产总额的比例是0;在建工程0元，占资产总额的比例是0；公共基础设施0元，占资产总额的比例是0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lang w:val="en-US" w:eastAsia="zh-CN" w:bidi="ar-SA"/>
        </w:rPr>
        <w:t>5、预算绩效评价情况：合格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6、对本单位专业性较强名词解释。</w:t>
      </w:r>
    </w:p>
    <w:p>
      <w:pPr>
        <w:numPr>
          <w:ilvl w:val="0"/>
          <w:numId w:val="0"/>
        </w:numPr>
        <w:spacing w:line="640" w:lineRule="exact"/>
        <w:ind w:firstLine="640"/>
        <w:jc w:val="left"/>
        <w:rPr>
          <w:rFonts w:hint="default"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无</w:t>
      </w:r>
    </w:p>
    <w:p>
      <w:pPr>
        <w:pStyle w:val="4"/>
        <w:numPr>
          <w:ilvl w:val="0"/>
          <w:numId w:val="3"/>
        </w:numPr>
        <w:spacing w:before="0" w:beforeAutospacing="0" w:after="0" w:afterAutospacing="0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部门财务管理情况</w:t>
      </w:r>
    </w:p>
    <w:p>
      <w:pPr>
        <w:pStyle w:val="4"/>
        <w:numPr>
          <w:ilvl w:val="0"/>
          <w:numId w:val="0"/>
        </w:numPr>
        <w:spacing w:before="0" w:beforeAutospacing="0" w:after="0" w:afterAutospacing="0"/>
        <w:ind w:firstLine="640" w:firstLineChars="200"/>
        <w:jc w:val="left"/>
        <w:rPr>
          <w:rFonts w:ascii="仿宋_GB2312" w:hAnsi="仿宋_GB2312" w:eastAsia="仿宋_GB2312" w:cs="仿宋_GB2312"/>
          <w:b w:val="0"/>
          <w:bCs w:val="0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为了确保我单位各项资产的安全有效使用、资金的安全运行，提高资金的使用效率，保障本单位财务会计管理的合法合规，财务报告及相关信息真实完整，根据《中华人民共和国预算法》、《中华人民共和国会计法》、《财政违法行为处罚处分条例》、《会计基础工作规范》，《行政事业单位内部控制规范（试行）》等，制定了“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  <w:lang w:val="en-US" w:eastAsia="zh-CN"/>
        </w:rPr>
        <w:t>交城县医疗保险服务中心</w:t>
      </w:r>
      <w:r>
        <w:rPr>
          <w:rFonts w:hint="eastAsia" w:ascii="仿宋_GB2312" w:hAnsi="仿宋_GB2312" w:eastAsia="仿宋_GB2312" w:cs="仿宋_GB2312"/>
          <w:b w:val="0"/>
          <w:bCs w:val="0"/>
          <w:color w:val="000000"/>
          <w:sz w:val="32"/>
          <w:szCs w:val="32"/>
        </w:rPr>
        <w:t>内部控制制度”。</w:t>
      </w:r>
    </w:p>
    <w:p>
      <w:pPr>
        <w:spacing w:line="64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/>
    <w:sectPr>
      <w:footerReference r:id="rId3" w:type="default"/>
      <w:pgSz w:w="11906" w:h="16838"/>
      <w:pgMar w:top="1440" w:right="1286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GBycTzQAQAAowMAAA4AAABkcnMvZTJvRG9jLnhtbK1TS27bMBDd&#10;F8gdCO5ryQbSCoLloIWRoEDRFkhzAJoiLQL8gUNb8gXaG3TVTfc9l8/RISU5QbLJohtqfnwz73G0&#10;vhmMJkcRQDnb0OWipERY7lpl9w19+H77tqIEIrMt086Khp4E0JvN1Zt172uxcp3TrQgEQSzUvW9o&#10;F6OviwJ4JwyDhfPCYlK6YFhEN+yLNrAe0Y0uVmX5ruhdaH1wXABgdDsm6YQYXgPopFRcbB0/GGHj&#10;iBqEZhEpQac80E2eVkrB41cpQUSiG4pMYz6xCdq7dBabNav3gflO8WkE9poRnnEyTFlseoHassjI&#10;IagXUEbx4MDJuODOFCORrAiyWJbPtLnvmBeZC0oN/iI6/D9Y/uX4LRDV4iZQYpnBBz//+nn+/ff8&#10;5wdZJnl6DzVW3Xusi8NHN6TSKQ4YTKwHGUz6Ih+CeRT3dBFXDJHwdKlaVVWJKY652UGc4vG6DxDv&#10;hDMkGQ0N+HpZVHb8DHEsnUtSN+tuldYYZ7W2pEfU6+r9db5xSSG6ttgksRinTVYcdsNEYefaEzLr&#10;cQUaanHjKdGfLCqctmU2wmzsZuPgg9p3eZ1Sf/AfDhHHyVOmDiPs1BjfLvOc9iwtx1M/Vz3+W5t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AQA&#10;AFtDb250ZW50X1R5cGVzXS54bWxQSwECFAAKAAAAAACHTuJAAAAAAAAAAAAAAAAABgAAAAAAAAAA&#10;ABAAAAAeAwAAX3JlbHMvUEsBAhQAFAAAAAgAh07iQIoUZjzRAAAAlAEAAAsAAAAAAAAAAQAgAAAA&#10;QgMAAF9yZWxzLy5yZWxzUEsBAhQACgAAAAAAh07iQAAAAAAAAAAAAAAAAAQAAAAAAAAAAAAQAAAA&#10;AAAAAGRycy9QSwECFAAUAAAACACHTuJAaGmCS9MAAAAFAQAADwAAAAAAAAABACAAAAAiAAAAZHJz&#10;L2Rvd25yZXYueG1sUEsBAhQAFAAAAAgAh07iQGBycTzQAQAAowMAAA4AAAAAAAAAAQAgAAAAIgEA&#10;AGRycy9lMm9Eb2MueG1sUEsFBgAAAAAGAAYAWQEAAGQ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15FE4"/>
    <w:multiLevelType w:val="singleLevel"/>
    <w:tmpl w:val="09D15FE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583CE1C"/>
    <w:multiLevelType w:val="singleLevel"/>
    <w:tmpl w:val="2583CE1C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57D55E2B"/>
    <w:multiLevelType w:val="singleLevel"/>
    <w:tmpl w:val="57D55E2B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A51B2"/>
    <w:rsid w:val="15D80F26"/>
    <w:rsid w:val="18C52FA3"/>
    <w:rsid w:val="20DA51B2"/>
    <w:rsid w:val="33580EA0"/>
    <w:rsid w:val="4303594B"/>
    <w:rsid w:val="657445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widowControl w:val="0"/>
      <w:spacing w:before="260" w:after="260"/>
      <w:ind w:firstLine="200" w:firstLineChars="200"/>
      <w:outlineLvl w:val="2"/>
    </w:pPr>
    <w:rPr>
      <w:rFonts w:ascii="Calibri" w:hAnsi="Calibri" w:eastAsia="黑体" w:cs="Times New Roman"/>
      <w:bCs/>
      <w:kern w:val="2"/>
      <w:sz w:val="30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</w:pPr>
    <w:rPr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2020-11-30T00:40:00Z</dcterms:created>
  <dc:creator>Administrator</dc:creator>
  <cp:lastModifiedBy>丽</cp:lastModifiedBy>
  <dcterms:modified xsi:type="dcterms:W3CDTF">2020-12-19T02:46:18Z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