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04ED9">
      <w:pPr>
        <w:pStyle w:val="13"/>
        <w:spacing w:line="570" w:lineRule="exact"/>
        <w:rPr>
          <w:rFonts w:hint="eastAsia" w:ascii="黑体" w:hAnsi="黑体" w:eastAsia="黑体" w:cs="黑体"/>
          <w:color w:val="000000"/>
          <w:spacing w:val="0"/>
          <w:kern w:val="2"/>
          <w:sz w:val="32"/>
          <w:szCs w:val="32"/>
          <w:u w:val="none"/>
          <w:lang w:val="en-US" w:eastAsia="zh-CN" w:bidi="ar-SA"/>
        </w:rPr>
      </w:pPr>
      <w:r>
        <w:rPr>
          <w:rFonts w:hint="eastAsia" w:ascii="黑体" w:hAnsi="黑体" w:eastAsia="黑体" w:cs="黑体"/>
          <w:color w:val="000000"/>
          <w:spacing w:val="0"/>
          <w:kern w:val="2"/>
          <w:sz w:val="32"/>
          <w:szCs w:val="32"/>
          <w:u w:val="none"/>
          <w:lang w:val="en-US" w:eastAsia="zh-CN" w:bidi="ar-SA"/>
        </w:rPr>
        <w:t>附件</w:t>
      </w:r>
    </w:p>
    <w:p w14:paraId="2AECC13C">
      <w:pPr>
        <w:pStyle w:val="13"/>
        <w:spacing w:line="570" w:lineRule="exact"/>
        <w:jc w:val="center"/>
        <w:rPr>
          <w:rFonts w:hint="eastAsia" w:ascii="方正小标宋简体" w:hAnsi="方正小标宋简体" w:eastAsia="方正小标宋简体" w:cs="方正小标宋简体"/>
          <w:color w:val="000000"/>
          <w:spacing w:val="0"/>
          <w:kern w:val="2"/>
          <w:sz w:val="44"/>
          <w:szCs w:val="44"/>
          <w:u w:val="none"/>
          <w:lang w:val="en-US" w:eastAsia="zh-CN" w:bidi="ar-SA"/>
        </w:rPr>
      </w:pPr>
      <w:r>
        <w:rPr>
          <w:rFonts w:hint="eastAsia" w:ascii="方正小标宋简体" w:hAnsi="方正小标宋简体" w:eastAsia="方正小标宋简体" w:cs="方正小标宋简体"/>
          <w:color w:val="000000"/>
          <w:spacing w:val="0"/>
          <w:kern w:val="2"/>
          <w:sz w:val="44"/>
          <w:szCs w:val="44"/>
          <w:u w:val="none"/>
          <w:lang w:val="en-US" w:eastAsia="zh-CN" w:bidi="ar-SA"/>
        </w:rPr>
        <w:t>交城县2025年安全生产重点工作任务清单</w:t>
      </w:r>
    </w:p>
    <w:p w14:paraId="32872ECD">
      <w:pPr>
        <w:pStyle w:val="13"/>
        <w:spacing w:line="240" w:lineRule="exact"/>
        <w:jc w:val="center"/>
        <w:rPr>
          <w:rFonts w:hint="eastAsia" w:ascii="方正小标宋简体" w:hAnsi="方正小标宋简体" w:eastAsia="方正小标宋简体" w:cs="方正小标宋简体"/>
          <w:color w:val="000000"/>
          <w:spacing w:val="0"/>
          <w:kern w:val="2"/>
          <w:sz w:val="44"/>
          <w:szCs w:val="44"/>
          <w:u w:val="none"/>
          <w:lang w:val="en-US" w:eastAsia="zh-CN" w:bidi="ar-SA"/>
        </w:rPr>
      </w:pPr>
    </w:p>
    <w:tbl>
      <w:tblPr>
        <w:tblStyle w:val="23"/>
        <w:tblW w:w="14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855"/>
        <w:gridCol w:w="2612"/>
        <w:gridCol w:w="6974"/>
        <w:gridCol w:w="2138"/>
        <w:gridCol w:w="806"/>
      </w:tblGrid>
      <w:tr w14:paraId="7B53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80" w:type="dxa"/>
            <w:vAlign w:val="center"/>
          </w:tcPr>
          <w:p w14:paraId="42F8E091">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vAlign w:val="center"/>
          </w:tcPr>
          <w:p w14:paraId="30D8C030">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vAlign w:val="center"/>
          </w:tcPr>
          <w:p w14:paraId="635499D1">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6EDD3429">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235869F8">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5816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blHeader/>
          <w:jc w:val="center"/>
        </w:trPr>
        <w:tc>
          <w:tcPr>
            <w:tcW w:w="780" w:type="dxa"/>
            <w:vMerge w:val="restart"/>
            <w:vAlign w:val="center"/>
          </w:tcPr>
          <w:p w14:paraId="737A672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一</w:t>
            </w:r>
          </w:p>
        </w:tc>
        <w:tc>
          <w:tcPr>
            <w:tcW w:w="855" w:type="dxa"/>
            <w:vMerge w:val="restart"/>
            <w:tcBorders>
              <w:top w:val="single" w:color="auto" w:sz="4" w:space="0"/>
              <w:left w:val="single" w:color="auto" w:sz="4" w:space="0"/>
              <w:right w:val="single" w:color="auto" w:sz="4" w:space="0"/>
            </w:tcBorders>
            <w:vAlign w:val="center"/>
          </w:tcPr>
          <w:p w14:paraId="7DF64BB1">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提升</w:t>
            </w:r>
          </w:p>
          <w:p w14:paraId="5193051A">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安全</w:t>
            </w:r>
          </w:p>
          <w:p w14:paraId="266BDB7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意识</w:t>
            </w:r>
          </w:p>
        </w:tc>
        <w:tc>
          <w:tcPr>
            <w:tcW w:w="9586" w:type="dxa"/>
            <w:gridSpan w:val="2"/>
            <w:tcBorders>
              <w:top w:val="single" w:color="auto" w:sz="4" w:space="0"/>
              <w:left w:val="single" w:color="auto" w:sz="4" w:space="0"/>
              <w:right w:val="single" w:color="auto" w:sz="4" w:space="0"/>
            </w:tcBorders>
            <w:vAlign w:val="center"/>
          </w:tcPr>
          <w:p w14:paraId="2F125E3A">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坚定树牢安全发展理念。各乡镇、各部门、各单位要把习近平总书记关于安全生产和防灾减灾救灾重要讲话和指示批示作为本级、本部门、本单位党委（党组）第一议题及时跟进学习，把习近平总书记关于应急管理的重要论述作为理论学习中心组重要内容定期组织专题学习，把党中央、国务院、省委、省政府、市委、市政府和县委、县政府关于安全生产重大决策部署作为重要议题及时传达学习，进</w:t>
            </w:r>
            <w:bookmarkStart w:id="2" w:name="_GoBack"/>
            <w:bookmarkEnd w:id="2"/>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一步牢固树立“发展决不能以牺牲安全为代价”的红线意识和事故可防可控的安全理念，严格各项安全工作措施，建立细化落实清单，加强督导跟踪问效。</w:t>
            </w:r>
          </w:p>
        </w:tc>
        <w:tc>
          <w:tcPr>
            <w:tcW w:w="2138" w:type="dxa"/>
            <w:vAlign w:val="center"/>
          </w:tcPr>
          <w:p w14:paraId="3EDDB05F">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县安委会各成员单位、各乡（镇）人民政府负责。以下均需各乡（镇）人民政府依据本级相关职责负责落实或配合落实，不再一一列出</w:t>
            </w:r>
          </w:p>
        </w:tc>
        <w:tc>
          <w:tcPr>
            <w:tcW w:w="806" w:type="dxa"/>
            <w:vAlign w:val="center"/>
          </w:tcPr>
          <w:p w14:paraId="4F2F180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3AAC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blHeader/>
          <w:jc w:val="center"/>
        </w:trPr>
        <w:tc>
          <w:tcPr>
            <w:tcW w:w="780" w:type="dxa"/>
            <w:vMerge w:val="continue"/>
            <w:vAlign w:val="center"/>
          </w:tcPr>
          <w:p w14:paraId="2495A7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vAlign w:val="center"/>
          </w:tcPr>
          <w:p w14:paraId="71147F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097DCEE5">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2.</w:t>
            </w:r>
            <w:bookmarkStart w:id="0" w:name="_Toc2398"/>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持续强化安全宣传引导。</w:t>
            </w:r>
            <w:bookmarkEnd w:id="0"/>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各乡镇、各部门、各单位要制定年度宣传计划并将安全生产作为重要内容组织开展宣传，积极对接交城县融媒体中心等主流媒体开辟安全生产专栏，利用政府网站、微信、抖音等新媒体常态化开展宣传，广泛宣传报道应急管理、安全生产、防灾减灾救灾重要工作和重大活动，开展应急科普和安全公益宣传，播放警示教育片，宣传报道基层一线涌现出的先进人物、典型经验。组织开展安全生产月、消防宣传月、防灾减灾宣传周等专题活动。常态化开展安全宣传“五进”活动，统筹各相关部门及消防协管员、基层网格员、社会宣传资源等力量，开展进企宣讲、送教下乡、入户敲门提醒。推进地震科普活动，开展科普宣传与技能实训，创新科普宣传内容和方式，切实做好重点时段防震减灾科普宣传。持续拓展网络电视、微信小程序、消防应急大小喇叭等预警信息发布渠道建设与应用，提升公众服务能力。加大学校、医院等重点场所地震预警终端布设力度，督促指导中小学校幼儿园上好“开学第一课”，做到安全意识提升从娃娃抓起；督促指导人员密集场所定期组织开展应急逃生和自救互救演练；大力开展安全文化示范企业建设；发挥工青团妇等群团组织作用，加强群众监督员安全监督，开展家庭安全寄语等活动，筑牢安全生产人民防线。</w:t>
            </w:r>
          </w:p>
        </w:tc>
        <w:tc>
          <w:tcPr>
            <w:tcW w:w="2138" w:type="dxa"/>
            <w:vAlign w:val="center"/>
          </w:tcPr>
          <w:p w14:paraId="407DD736">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县安委会各成员单位按职责负责</w:t>
            </w:r>
          </w:p>
        </w:tc>
        <w:tc>
          <w:tcPr>
            <w:tcW w:w="806" w:type="dxa"/>
            <w:vAlign w:val="center"/>
          </w:tcPr>
          <w:p w14:paraId="7481734A">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64C0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80" w:type="dxa"/>
            <w:vAlign w:val="center"/>
          </w:tcPr>
          <w:p w14:paraId="634324C7">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vAlign w:val="center"/>
          </w:tcPr>
          <w:p w14:paraId="4D4049D5">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3C0A289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7E10E895">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391941C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28DF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blHeader/>
          <w:jc w:val="center"/>
        </w:trPr>
        <w:tc>
          <w:tcPr>
            <w:tcW w:w="780" w:type="dxa"/>
            <w:vAlign w:val="center"/>
          </w:tcPr>
          <w:p w14:paraId="214B0B3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一</w:t>
            </w:r>
          </w:p>
        </w:tc>
        <w:tc>
          <w:tcPr>
            <w:tcW w:w="855" w:type="dxa"/>
            <w:tcBorders>
              <w:top w:val="single" w:color="auto" w:sz="4" w:space="0"/>
              <w:left w:val="single" w:color="auto" w:sz="4" w:space="0"/>
              <w:right w:val="single" w:color="auto" w:sz="4" w:space="0"/>
            </w:tcBorders>
            <w:vAlign w:val="center"/>
          </w:tcPr>
          <w:p w14:paraId="301486A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提升安全防范意识</w:t>
            </w:r>
          </w:p>
        </w:tc>
        <w:tc>
          <w:tcPr>
            <w:tcW w:w="9586" w:type="dxa"/>
            <w:gridSpan w:val="2"/>
            <w:tcBorders>
              <w:top w:val="single" w:color="auto" w:sz="4" w:space="0"/>
              <w:left w:val="single" w:color="auto" w:sz="4" w:space="0"/>
              <w:right w:val="single" w:color="auto" w:sz="4" w:space="0"/>
            </w:tcBorders>
            <w:vAlign w:val="center"/>
          </w:tcPr>
          <w:p w14:paraId="5CAB35EF">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3.</w:t>
            </w:r>
            <w:bookmarkStart w:id="1" w:name="_Toc21095"/>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积极开展事故警示教育。</w:t>
            </w:r>
            <w:bookmarkEnd w:id="1"/>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各乡镇、各行业安全专委会办公室和各生产经营单位应结合自身实际，建立完善本辖区本行业领域事故警示教育制度，对煤矿、非煤矿山、化工、冶金工贸、建筑施工、道路运输等领域典型的较大及以上涉险事故和生产安全事故，或其他社会影响较大的生产安全事故、火灾亡人事故及时开展警示教育，举一反三开展隐患排查整治，并对自查发现的问题隐患建立台账，重大隐患治理情况实施“双报告”。通过开展典型案例分析反思讨论，让企业员工了解事故发生的规律特点，查找问题症结，明确企业存在的风险因素，制定相应的防范措施。各乡（镇）人民政府及各行业监管部门每年至少组织一次本辖区、本行业领域企业主要负责人、实控人等“关键少数”参加的集中警示教育培训。</w:t>
            </w:r>
          </w:p>
        </w:tc>
        <w:tc>
          <w:tcPr>
            <w:tcW w:w="2138" w:type="dxa"/>
            <w:vAlign w:val="center"/>
          </w:tcPr>
          <w:p w14:paraId="6A6E61A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各行业安全专业委员会办公室负责</w:t>
            </w:r>
          </w:p>
        </w:tc>
        <w:tc>
          <w:tcPr>
            <w:tcW w:w="806" w:type="dxa"/>
            <w:vAlign w:val="center"/>
          </w:tcPr>
          <w:p w14:paraId="276B056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适时</w:t>
            </w:r>
          </w:p>
        </w:tc>
      </w:tr>
      <w:tr w14:paraId="784A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8" w:hRule="atLeast"/>
          <w:tblHeader/>
          <w:jc w:val="center"/>
        </w:trPr>
        <w:tc>
          <w:tcPr>
            <w:tcW w:w="780" w:type="dxa"/>
            <w:vAlign w:val="center"/>
          </w:tcPr>
          <w:p w14:paraId="652B6FB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二</w:t>
            </w:r>
          </w:p>
        </w:tc>
        <w:tc>
          <w:tcPr>
            <w:tcW w:w="855" w:type="dxa"/>
            <w:tcBorders>
              <w:top w:val="single" w:color="auto" w:sz="4" w:space="0"/>
              <w:left w:val="single" w:color="auto" w:sz="4" w:space="0"/>
              <w:right w:val="single" w:color="auto" w:sz="4" w:space="0"/>
            </w:tcBorders>
            <w:vAlign w:val="center"/>
          </w:tcPr>
          <w:p w14:paraId="68ABC21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t>严格</w:t>
            </w:r>
            <w:r>
              <w:rPr>
                <w:rFonts w:hint="eastAsia" w:ascii="仿宋_GB2312" w:hAnsi="仿宋_GB2312" w:eastAsia="仿宋_GB2312" w:cs="仿宋_GB2312"/>
                <w:b w:val="0"/>
                <w:bCs w:val="0"/>
                <w:color w:val="000000" w:themeColor="text1"/>
                <w:spacing w:val="0"/>
                <w:sz w:val="24"/>
                <w:szCs w:val="24"/>
                <w:u w:val="none"/>
                <w:lang w:eastAsia="zh-CN"/>
                <w14:textFill>
                  <w14:solidFill>
                    <w14:schemeClr w14:val="tx1"/>
                  </w14:solidFill>
                </w14:textFill>
              </w:rPr>
              <w:t>落实安全责任</w:t>
            </w:r>
          </w:p>
        </w:tc>
        <w:tc>
          <w:tcPr>
            <w:tcW w:w="9586" w:type="dxa"/>
            <w:gridSpan w:val="2"/>
            <w:tcBorders>
              <w:top w:val="single" w:color="auto" w:sz="4" w:space="0"/>
              <w:left w:val="single" w:color="auto" w:sz="4" w:space="0"/>
              <w:right w:val="single" w:color="auto" w:sz="4" w:space="0"/>
            </w:tcBorders>
            <w:vAlign w:val="center"/>
          </w:tcPr>
          <w:p w14:paraId="5351C103">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4.压紧压实党政领导责任。认真贯彻落实《地方党政领导干部安全生产责任制规定》及省、市、县实施细则，制定党政领导干部安全生产职责清单和2025年重点工作任务清单，每半年召开一次专题会议，分管各行业领域政府副职向政府主要领导汇报履职情况。按照上级指示要求，各行业安全专委会办公室要从领导班子、干部队伍、监管职责、执法力量、经费保障、执法装备、信息化建设等方面，梳理长期以来制约本行业领域安全发展的难点问题，提请县委、县政府，每年至少研究解决1项，县委、县政府将建立安全生产办实事、解难题清单，至少研究解决10项具体问题。积极推动安委办实体化运行。县政府负责人带头落实包保矿山安全生产责任制，积极协调推进非煤矿山整合重组。发挥专家库、专业机构等作用，不断完善安全生产工作机制，提升党政领导干部履职能力。建立县、乡两级党委政府地震预警信息服务直通车，提升政府决策服务能力。</w:t>
            </w:r>
          </w:p>
        </w:tc>
        <w:tc>
          <w:tcPr>
            <w:tcW w:w="2138" w:type="dxa"/>
            <w:vAlign w:val="center"/>
          </w:tcPr>
          <w:p w14:paraId="2BA3A8F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县安委办、各行业安全专委会办公室负责</w:t>
            </w:r>
          </w:p>
        </w:tc>
        <w:tc>
          <w:tcPr>
            <w:tcW w:w="806" w:type="dxa"/>
            <w:vAlign w:val="center"/>
          </w:tcPr>
          <w:p w14:paraId="3011071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0BA7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780" w:type="dxa"/>
            <w:vAlign w:val="center"/>
          </w:tcPr>
          <w:p w14:paraId="6C58D1D9">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top w:val="single" w:color="auto" w:sz="4" w:space="0"/>
              <w:left w:val="single" w:color="auto" w:sz="4" w:space="0"/>
              <w:right w:val="single" w:color="auto" w:sz="4" w:space="0"/>
            </w:tcBorders>
            <w:vAlign w:val="center"/>
          </w:tcPr>
          <w:p w14:paraId="50C27D26">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6FD4B486">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66641E3F">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0A92382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30AD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blHeader/>
          <w:jc w:val="center"/>
        </w:trPr>
        <w:tc>
          <w:tcPr>
            <w:tcW w:w="780" w:type="dxa"/>
            <w:vMerge w:val="restart"/>
            <w:vAlign w:val="center"/>
          </w:tcPr>
          <w:p w14:paraId="0DACEE9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二</w:t>
            </w:r>
          </w:p>
        </w:tc>
        <w:tc>
          <w:tcPr>
            <w:tcW w:w="855" w:type="dxa"/>
            <w:vMerge w:val="restart"/>
            <w:vAlign w:val="center"/>
          </w:tcPr>
          <w:p w14:paraId="5B9B582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t>严格</w:t>
            </w:r>
            <w:r>
              <w:rPr>
                <w:rFonts w:hint="eastAsia" w:ascii="仿宋_GB2312" w:hAnsi="仿宋_GB2312" w:eastAsia="仿宋_GB2312" w:cs="仿宋_GB2312"/>
                <w:b w:val="0"/>
                <w:bCs w:val="0"/>
                <w:color w:val="000000" w:themeColor="text1"/>
                <w:spacing w:val="0"/>
                <w:sz w:val="24"/>
                <w:szCs w:val="24"/>
                <w:u w:val="none"/>
                <w:lang w:eastAsia="zh-CN"/>
                <w14:textFill>
                  <w14:solidFill>
                    <w14:schemeClr w14:val="tx1"/>
                  </w14:solidFill>
                </w14:textFill>
              </w:rPr>
              <w:t>落实安全责任</w:t>
            </w:r>
          </w:p>
        </w:tc>
        <w:tc>
          <w:tcPr>
            <w:tcW w:w="9586" w:type="dxa"/>
            <w:gridSpan w:val="2"/>
            <w:tcBorders>
              <w:top w:val="single" w:color="auto" w:sz="4" w:space="0"/>
              <w:left w:val="single" w:color="auto" w:sz="4" w:space="0"/>
              <w:right w:val="single" w:color="auto" w:sz="4" w:space="0"/>
            </w:tcBorders>
            <w:vAlign w:val="center"/>
          </w:tcPr>
          <w:p w14:paraId="04CB7570">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5.持续强化部门监管责任。认真贯彻落实“三管三必须”实施细则和矿山安全管理职责清单，坚持监管执法与服务指导相结合，严格落实《国务院办公厅关于严格规范涉企行政检查的意见》（国办发〔2024〕54号），各有关部门结合上级工作要求和县委、县政府关于安全生产工作部署，制定安全生产工作要点，负有安全监管职责的部门制定监督检查计划，科学确定重点检查单位，规范精准严格执法，提高执法效能，切实减轻企业负担。进一步明确仓储物流、校外培训（托管）机构、特种设备目录外游乐设施等新业态、职责交叉领域监管责任。发挥各安全生产专业委员会作用，厘清“一件事”全链条、各环节安全监管责任。加大对企业指导帮扶力度，助力企业安全发展，持续优化营商环境。</w:t>
            </w:r>
          </w:p>
        </w:tc>
        <w:tc>
          <w:tcPr>
            <w:tcW w:w="2138" w:type="dxa"/>
            <w:vAlign w:val="center"/>
          </w:tcPr>
          <w:p w14:paraId="237BEF7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24B88ED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3月底前</w:t>
            </w:r>
          </w:p>
        </w:tc>
      </w:tr>
      <w:tr w14:paraId="45BF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blHeader/>
          <w:jc w:val="center"/>
        </w:trPr>
        <w:tc>
          <w:tcPr>
            <w:tcW w:w="780" w:type="dxa"/>
            <w:vMerge w:val="continue"/>
            <w:vAlign w:val="center"/>
          </w:tcPr>
          <w:p w14:paraId="50500EF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855" w:type="dxa"/>
            <w:vMerge w:val="continue"/>
            <w:vAlign w:val="center"/>
          </w:tcPr>
          <w:p w14:paraId="4363847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3B7D42C2">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6.严格落实企业主体责任。生产经营单位主要负责人要严格履行《山西省生产经营单位主要负责人安全生产责任制规定》中规定的11项职责，加强安全管理队伍建设，保证安全生产投入，加强安全生产标准化和安全文化建设，开展安全培训教育，配齐安全管理机构和人员，定期开展应急演练等，做到安全责任、投入、培训、管理和应急救援“五到位”。健全企业内部安全风险隐患报告奖励制度，提升员工发现、报告、处置风险隐患的积极性。因地制宜采取专家指导、大小企业结对帮扶、第三方机构提供社会化服务等方式，提高企业隐患排查质效。</w:t>
            </w:r>
          </w:p>
        </w:tc>
        <w:tc>
          <w:tcPr>
            <w:tcW w:w="2138" w:type="dxa"/>
            <w:vAlign w:val="center"/>
          </w:tcPr>
          <w:p w14:paraId="04D10FA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负有安全生产监管职责的部门指导督促企业落实</w:t>
            </w:r>
          </w:p>
        </w:tc>
        <w:tc>
          <w:tcPr>
            <w:tcW w:w="806" w:type="dxa"/>
            <w:vAlign w:val="center"/>
          </w:tcPr>
          <w:p w14:paraId="1F4B286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6月底前/12月底前</w:t>
            </w:r>
          </w:p>
        </w:tc>
      </w:tr>
      <w:tr w14:paraId="2ADC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blHeader/>
          <w:jc w:val="center"/>
        </w:trPr>
        <w:tc>
          <w:tcPr>
            <w:tcW w:w="780" w:type="dxa"/>
            <w:vMerge w:val="continue"/>
            <w:vAlign w:val="center"/>
          </w:tcPr>
          <w:p w14:paraId="4F96DE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vAlign w:val="center"/>
          </w:tcPr>
          <w:p w14:paraId="440BDB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6CD1FE44">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7.树牢一线员工岗位责任。生产经营单位要制定全员安全生产责任清单和一线作业岗位安全风险告知，并严格检查考核。持续深化反“三违”活动，建立企业人员“三违”行为惩戒办法，组织员工开展安全生产承诺，对违反承诺事项的，根据“三违”频次和程度，逐步加大培训考核和惩戒力度。各行业领域结合实际，建立完善作业场所视频监控系统，加强网络视频监控，开展视频反“三违”，促进从业人员自觉遵守安全生产规章制度和操作规程，落实岗位安全风险防控措施。</w:t>
            </w:r>
          </w:p>
        </w:tc>
        <w:tc>
          <w:tcPr>
            <w:tcW w:w="2138" w:type="dxa"/>
            <w:vAlign w:val="center"/>
          </w:tcPr>
          <w:p w14:paraId="1088537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县级</w:t>
            </w: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负有安全</w:t>
            </w: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生产</w:t>
            </w: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监管职责的部门</w:t>
            </w: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指导</w:t>
            </w: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督促企业落实</w:t>
            </w:r>
          </w:p>
        </w:tc>
        <w:tc>
          <w:tcPr>
            <w:tcW w:w="806" w:type="dxa"/>
            <w:vAlign w:val="center"/>
          </w:tcPr>
          <w:p w14:paraId="3524626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2109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80" w:type="dxa"/>
            <w:vAlign w:val="center"/>
          </w:tcPr>
          <w:p w14:paraId="0798EA81">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vAlign w:val="center"/>
          </w:tcPr>
          <w:p w14:paraId="15FB5A32">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41C117DA">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62C0BEC8">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01ECCF74">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445C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blHeader/>
          <w:jc w:val="center"/>
        </w:trPr>
        <w:tc>
          <w:tcPr>
            <w:tcW w:w="780" w:type="dxa"/>
            <w:vAlign w:val="center"/>
          </w:tcPr>
          <w:p w14:paraId="460EA12F">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二</w:t>
            </w:r>
          </w:p>
        </w:tc>
        <w:tc>
          <w:tcPr>
            <w:tcW w:w="855" w:type="dxa"/>
            <w:vAlign w:val="center"/>
          </w:tcPr>
          <w:p w14:paraId="04C2A416">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t>严格</w:t>
            </w:r>
            <w:r>
              <w:rPr>
                <w:rFonts w:hint="eastAsia" w:ascii="仿宋_GB2312" w:hAnsi="仿宋_GB2312" w:eastAsia="仿宋_GB2312" w:cs="仿宋_GB2312"/>
                <w:b w:val="0"/>
                <w:bCs w:val="0"/>
                <w:color w:val="000000" w:themeColor="text1"/>
                <w:spacing w:val="0"/>
                <w:sz w:val="24"/>
                <w:szCs w:val="24"/>
                <w:u w:val="none"/>
                <w:lang w:eastAsia="zh-CN"/>
                <w14:textFill>
                  <w14:solidFill>
                    <w14:schemeClr w14:val="tx1"/>
                  </w14:solidFill>
                </w14:textFill>
              </w:rPr>
              <w:t>落实安全责任</w:t>
            </w:r>
          </w:p>
        </w:tc>
        <w:tc>
          <w:tcPr>
            <w:tcW w:w="9586" w:type="dxa"/>
            <w:gridSpan w:val="2"/>
            <w:tcBorders>
              <w:top w:val="single" w:color="auto" w:sz="4" w:space="0"/>
              <w:left w:val="single" w:color="auto" w:sz="4" w:space="0"/>
              <w:right w:val="single" w:color="auto" w:sz="4" w:space="0"/>
            </w:tcBorders>
            <w:vAlign w:val="center"/>
          </w:tcPr>
          <w:p w14:paraId="3F72BEBA">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8.严肃追责问责跟踪问效。对安全生产责任落实不到位、重点工作推进缓慢、重大隐患整改不力的，予以通报批评、公开曝光、约谈问责。对煤矿、危险化学品、道路运输等行业企业关闭、破坏监控报警设备设施，或者篡改、隐瞒、销毁其相关数据信息等违法违规行为，以及其他非法生产经营构成犯罪的行为，移送司法机关追究刑事责任。发生生产安全事故后，县政府要立即成立事故调查组，严格按照“四不放过”原则开展事故调查，既要追究生产经营单位、企业直接责任人、主要负责人、实际控制人的责任，也要追究属地领导责任和部门监管责任。加大对瞒报事故的打击力度，对生产安全事故、自然灾害事故报送存在迟报、瞒报、漏报、谎报的行为，依法依规严肃追究责任，造成不良后果的，加大查处力度。要加大安全巡查检查力度，举一反三，查缺补漏，确保我县各行业领域不再发生类似事故。在国家、省、市、县安排部署开展的安全生产专项整治期间，发生专项整治行动中明确的重点整治内容同类型事故的，约谈属地政府和相关部门。对发生较大及以上生产安全事故，3个月之内发生2起以上或6个月之内发生3起以上一般生产安全事故的，接受市安委会组织的专项巡查，全链条溯源追责。</w:t>
            </w:r>
          </w:p>
        </w:tc>
        <w:tc>
          <w:tcPr>
            <w:tcW w:w="2138" w:type="dxa"/>
            <w:vAlign w:val="center"/>
          </w:tcPr>
          <w:p w14:paraId="06688C55">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1D088AE1">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适时</w:t>
            </w:r>
          </w:p>
        </w:tc>
      </w:tr>
      <w:tr w14:paraId="4DF4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0" w:type="dxa"/>
            <w:vMerge w:val="restart"/>
            <w:vAlign w:val="center"/>
          </w:tcPr>
          <w:p w14:paraId="583969CD">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三</w:t>
            </w:r>
          </w:p>
        </w:tc>
        <w:tc>
          <w:tcPr>
            <w:tcW w:w="855" w:type="dxa"/>
            <w:vMerge w:val="restart"/>
            <w:tcBorders>
              <w:top w:val="single" w:color="auto" w:sz="4" w:space="0"/>
              <w:left w:val="single" w:color="auto" w:sz="4" w:space="0"/>
              <w:right w:val="single" w:color="auto" w:sz="4" w:space="0"/>
            </w:tcBorders>
            <w:vAlign w:val="center"/>
          </w:tcPr>
          <w:p w14:paraId="3323C3A0">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建立健全体制机制</w:t>
            </w:r>
          </w:p>
        </w:tc>
        <w:tc>
          <w:tcPr>
            <w:tcW w:w="9586" w:type="dxa"/>
            <w:gridSpan w:val="2"/>
            <w:tcBorders>
              <w:top w:val="single" w:color="auto" w:sz="4" w:space="0"/>
              <w:left w:val="single" w:color="auto" w:sz="4" w:space="0"/>
              <w:right w:val="single" w:color="auto" w:sz="4" w:space="0"/>
            </w:tcBorders>
            <w:vAlign w:val="center"/>
          </w:tcPr>
          <w:p w14:paraId="3EDFD133">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9.持续建设完善管理体制。按照省、市安排部署设立县防灾减灾救灾委员会，优化森林草原火灾、地震、水旱灾害、地质灾害、气象灾害等各灾种非常态下应急工作机制，强化上下联动，做好工作承接，抓好重点灾种防范。落实《中共中央办公厅 国务院办公厅关于进一步提升基层应急管理能力的意见》，理顺乡镇应急管理体制，明确专门工作力量，建立应急管理及消防履职事项清单，纳入基层网格化管理服务内容。</w:t>
            </w:r>
          </w:p>
        </w:tc>
        <w:tc>
          <w:tcPr>
            <w:tcW w:w="2138" w:type="dxa"/>
            <w:vAlign w:val="center"/>
          </w:tcPr>
          <w:p w14:paraId="4CE479BE">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县应急管理局、县消防救援大队、县自然资源局、县水利局、县林业局、县农业农村局、县住房和城乡建设管理局、县气象局、县防震减灾中心等部门分工负责</w:t>
            </w:r>
          </w:p>
        </w:tc>
        <w:tc>
          <w:tcPr>
            <w:tcW w:w="806" w:type="dxa"/>
            <w:vAlign w:val="center"/>
          </w:tcPr>
          <w:p w14:paraId="0638FF98">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1DE1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blHeader/>
          <w:jc w:val="center"/>
        </w:trPr>
        <w:tc>
          <w:tcPr>
            <w:tcW w:w="780" w:type="dxa"/>
            <w:vMerge w:val="continue"/>
            <w:vAlign w:val="center"/>
          </w:tcPr>
          <w:p w14:paraId="79200A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tcBorders>
              <w:top w:val="single" w:color="auto" w:sz="4" w:space="0"/>
              <w:left w:val="single" w:color="auto" w:sz="4" w:space="0"/>
              <w:right w:val="single" w:color="auto" w:sz="4" w:space="0"/>
            </w:tcBorders>
            <w:vAlign w:val="center"/>
          </w:tcPr>
          <w:p w14:paraId="1FB22A8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60F0BD3B">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10.持续建设完善工作机制。结合我县实际，建立健全审批与监管部门联动、安全生产责任保险事故预防、自然灾害巨灾保险、跨部门灾害防范应对等协调机制。建立完善安全生产风险排查整治和责任倒查机制，完善“挂牌督办、警示约谈、督导巡查、调度通报”等重点工作推进机制。修订完善安全生产、防灾减灾救灾议事协调机构工作规则。</w:t>
            </w:r>
          </w:p>
        </w:tc>
        <w:tc>
          <w:tcPr>
            <w:tcW w:w="2138" w:type="dxa"/>
            <w:vAlign w:val="center"/>
          </w:tcPr>
          <w:p w14:paraId="25BD5F25">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0B44266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6月底前</w:t>
            </w:r>
          </w:p>
        </w:tc>
      </w:tr>
      <w:tr w14:paraId="5D93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780" w:type="dxa"/>
            <w:vAlign w:val="center"/>
          </w:tcPr>
          <w:p w14:paraId="245CAB54">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top w:val="single" w:color="auto" w:sz="4" w:space="0"/>
              <w:left w:val="single" w:color="auto" w:sz="4" w:space="0"/>
              <w:right w:val="single" w:color="auto" w:sz="4" w:space="0"/>
            </w:tcBorders>
            <w:vAlign w:val="center"/>
          </w:tcPr>
          <w:p w14:paraId="68BFC1BD">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57E378B7">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32E62C7D">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09DFE85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2947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blHeader/>
          <w:jc w:val="center"/>
        </w:trPr>
        <w:tc>
          <w:tcPr>
            <w:tcW w:w="780" w:type="dxa"/>
            <w:vMerge w:val="restart"/>
            <w:vAlign w:val="center"/>
          </w:tcPr>
          <w:p w14:paraId="5A6F328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四</w:t>
            </w:r>
          </w:p>
        </w:tc>
        <w:tc>
          <w:tcPr>
            <w:tcW w:w="855" w:type="dxa"/>
            <w:vMerge w:val="restart"/>
            <w:tcBorders>
              <w:top w:val="single" w:color="auto" w:sz="4" w:space="0"/>
              <w:left w:val="single" w:color="auto" w:sz="4" w:space="0"/>
              <w:right w:val="single" w:color="auto" w:sz="4" w:space="0"/>
            </w:tcBorders>
            <w:vAlign w:val="center"/>
          </w:tcPr>
          <w:p w14:paraId="15175BE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强化问题隐患整治</w:t>
            </w:r>
          </w:p>
        </w:tc>
        <w:tc>
          <w:tcPr>
            <w:tcW w:w="2612" w:type="dxa"/>
            <w:vMerge w:val="restart"/>
            <w:tcBorders>
              <w:top w:val="single" w:color="auto" w:sz="4" w:space="0"/>
              <w:left w:val="single" w:color="auto" w:sz="4" w:space="0"/>
              <w:right w:val="single" w:color="auto" w:sz="4" w:space="0"/>
            </w:tcBorders>
            <w:vAlign w:val="center"/>
          </w:tcPr>
          <w:p w14:paraId="6DEDDD04">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11.深度研判破解重大问题。聚焦重点行业领域，采取有效措施，持续发力每年至少解决1—2项制约安全发展的突出问题。涉及跨部门、跨区域难以解决的重大问题要及时提请县委政府专题研究。</w:t>
            </w:r>
          </w:p>
        </w:tc>
        <w:tc>
          <w:tcPr>
            <w:tcW w:w="6974" w:type="dxa"/>
            <w:tcBorders>
              <w:top w:val="single" w:color="auto" w:sz="4" w:space="0"/>
              <w:left w:val="single" w:color="auto" w:sz="4" w:space="0"/>
              <w:right w:val="single" w:color="auto" w:sz="4" w:space="0"/>
            </w:tcBorders>
            <w:vAlign w:val="center"/>
          </w:tcPr>
          <w:p w14:paraId="3D9A2C14">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煤矿方面：持续抓好“两办意见”“八条硬措施”及山西省实施措施的贯彻落实；重点解决煤矿隐蔽致灾因素不清、瓦斯超限、探放水措施落实不到位等问题，进一步推动煤炭资源整合、煤矿装备升级和灾害治理提升。</w:t>
            </w:r>
          </w:p>
        </w:tc>
        <w:tc>
          <w:tcPr>
            <w:tcW w:w="2138" w:type="dxa"/>
            <w:vAlign w:val="center"/>
          </w:tcPr>
          <w:p w14:paraId="2275B9E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煤矿安全专业委员会办公室牵头负责</w:t>
            </w:r>
          </w:p>
        </w:tc>
        <w:tc>
          <w:tcPr>
            <w:tcW w:w="806" w:type="dxa"/>
            <w:vAlign w:val="center"/>
          </w:tcPr>
          <w:p w14:paraId="2E41500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0854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blHeader/>
          <w:jc w:val="center"/>
        </w:trPr>
        <w:tc>
          <w:tcPr>
            <w:tcW w:w="780" w:type="dxa"/>
            <w:vMerge w:val="continue"/>
            <w:vAlign w:val="center"/>
          </w:tcPr>
          <w:p w14:paraId="765CED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246D67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2612" w:type="dxa"/>
            <w:vMerge w:val="continue"/>
            <w:tcBorders>
              <w:left w:val="single" w:color="auto" w:sz="4" w:space="0"/>
              <w:right w:val="single" w:color="auto" w:sz="4" w:space="0"/>
            </w:tcBorders>
            <w:vAlign w:val="center"/>
          </w:tcPr>
          <w:p w14:paraId="0BFA88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6974" w:type="dxa"/>
            <w:tcBorders>
              <w:top w:val="single" w:color="auto" w:sz="4" w:space="0"/>
              <w:left w:val="single" w:color="auto" w:sz="4" w:space="0"/>
              <w:right w:val="single" w:color="auto" w:sz="4" w:space="0"/>
            </w:tcBorders>
            <w:vAlign w:val="center"/>
          </w:tcPr>
          <w:p w14:paraId="7BDBBFF0">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非煤矿山方面：持续推进资源整合与企业规范化管理，深化资源整合，推动兼并重组、关小上大，着力解决非金属矿山“多、小、散、乱、差”的问题；汛期前围绕“管住水、护住坡、看住井、应好急”要求，开展“五个一”行动；着力解决停用时间超过3年、达到设计标高以及无主尾矿库闭库销号问题；大力推进地下矿山采空区治理、尾矿库隐蔽工程质量检测等重大灾害超前治理工作，确保治理工程质量；督促尾矿库企业结合实际重新制定或修订安全风险管控方案并开展风险辨识；深化“体检式”精查与专项整治行动。</w:t>
            </w:r>
          </w:p>
        </w:tc>
        <w:tc>
          <w:tcPr>
            <w:tcW w:w="2138" w:type="dxa"/>
            <w:vAlign w:val="center"/>
          </w:tcPr>
          <w:p w14:paraId="73B169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非煤矿山安全专业委员会办公室牵头负责</w:t>
            </w:r>
          </w:p>
        </w:tc>
        <w:tc>
          <w:tcPr>
            <w:tcW w:w="806" w:type="dxa"/>
            <w:vAlign w:val="center"/>
          </w:tcPr>
          <w:p w14:paraId="16BB53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2C5E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blHeader/>
          <w:jc w:val="center"/>
        </w:trPr>
        <w:tc>
          <w:tcPr>
            <w:tcW w:w="780" w:type="dxa"/>
            <w:vMerge w:val="continue"/>
            <w:vAlign w:val="center"/>
          </w:tcPr>
          <w:p w14:paraId="1C888A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345081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2612" w:type="dxa"/>
            <w:vMerge w:val="continue"/>
            <w:tcBorders>
              <w:left w:val="single" w:color="auto" w:sz="4" w:space="0"/>
              <w:right w:val="single" w:color="auto" w:sz="4" w:space="0"/>
            </w:tcBorders>
            <w:vAlign w:val="center"/>
          </w:tcPr>
          <w:p w14:paraId="704BCD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6974" w:type="dxa"/>
            <w:tcBorders>
              <w:top w:val="single" w:color="auto" w:sz="4" w:space="0"/>
              <w:left w:val="single" w:color="auto" w:sz="4" w:space="0"/>
              <w:right w:val="single" w:color="auto" w:sz="4" w:space="0"/>
            </w:tcBorders>
            <w:vAlign w:val="center"/>
          </w:tcPr>
          <w:p w14:paraId="35449DA1">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危险化学品方面：持续推动化工园区提级改造，验收达到D级，降低安全风险；对化工和危险化学品生产经营企业开展一轮全覆盖精准执法检查，强化检维修、特殊作业环节的安全管控；对重大危险源企业开展“消地协作”专项检查，强化重大危险源企业安全风险防控；重大危险源企业按要求将监测监控数据接入省危化品风险监测预警平台，化工和危险化学品企业建设运用视频智能分析系统，提升企业安全运行智能化水平；多角度深层次推动打非治违工作，加大部门协作，落实停产停业企业安全管控措施。</w:t>
            </w:r>
          </w:p>
        </w:tc>
        <w:tc>
          <w:tcPr>
            <w:tcW w:w="2138" w:type="dxa"/>
            <w:vAlign w:val="center"/>
          </w:tcPr>
          <w:p w14:paraId="1174496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危险化学品安全专业委员会办公室牵头负责</w:t>
            </w:r>
          </w:p>
        </w:tc>
        <w:tc>
          <w:tcPr>
            <w:tcW w:w="806" w:type="dxa"/>
            <w:vAlign w:val="center"/>
          </w:tcPr>
          <w:p w14:paraId="123C51D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2C12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0" w:type="dxa"/>
            <w:vAlign w:val="center"/>
          </w:tcPr>
          <w:p w14:paraId="1FDA66E9">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left w:val="single" w:color="auto" w:sz="4" w:space="0"/>
              <w:right w:val="single" w:color="auto" w:sz="4" w:space="0"/>
            </w:tcBorders>
            <w:vAlign w:val="center"/>
          </w:tcPr>
          <w:p w14:paraId="507CCBE0">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left w:val="single" w:color="auto" w:sz="4" w:space="0"/>
              <w:right w:val="single" w:color="auto" w:sz="4" w:space="0"/>
            </w:tcBorders>
            <w:vAlign w:val="center"/>
          </w:tcPr>
          <w:p w14:paraId="328250D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59F555A7">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4FBD7916">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6D7C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blHeader/>
          <w:jc w:val="center"/>
        </w:trPr>
        <w:tc>
          <w:tcPr>
            <w:tcW w:w="780" w:type="dxa"/>
            <w:vMerge w:val="restart"/>
            <w:vAlign w:val="center"/>
          </w:tcPr>
          <w:p w14:paraId="4CF2F7CF">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四</w:t>
            </w:r>
          </w:p>
        </w:tc>
        <w:tc>
          <w:tcPr>
            <w:tcW w:w="855" w:type="dxa"/>
            <w:vMerge w:val="restart"/>
            <w:tcBorders>
              <w:left w:val="single" w:color="auto" w:sz="4" w:space="0"/>
              <w:right w:val="single" w:color="auto" w:sz="4" w:space="0"/>
            </w:tcBorders>
            <w:vAlign w:val="center"/>
          </w:tcPr>
          <w:p w14:paraId="6C445909">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强化问题隐患整治</w:t>
            </w:r>
          </w:p>
        </w:tc>
        <w:tc>
          <w:tcPr>
            <w:tcW w:w="2612" w:type="dxa"/>
            <w:vMerge w:val="restart"/>
            <w:tcBorders>
              <w:left w:val="single" w:color="auto" w:sz="4" w:space="0"/>
              <w:right w:val="single" w:color="auto" w:sz="4" w:space="0"/>
            </w:tcBorders>
            <w:vAlign w:val="center"/>
          </w:tcPr>
          <w:p w14:paraId="14CA09FE">
            <w:pPr>
              <w:pStyle w:val="13"/>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11.深度研判破解重大问题。聚焦重点行业领域，采取有效措施，持续发力每年至少解决1—2项制约安全发展的突出问题。涉及跨部门、跨区域难以解决的重大问题要及时提请县委政府专题研究。</w:t>
            </w:r>
          </w:p>
        </w:tc>
        <w:tc>
          <w:tcPr>
            <w:tcW w:w="6974" w:type="dxa"/>
            <w:tcBorders>
              <w:left w:val="single" w:color="auto" w:sz="4" w:space="0"/>
              <w:right w:val="single" w:color="auto" w:sz="4" w:space="0"/>
            </w:tcBorders>
            <w:vAlign w:val="center"/>
          </w:tcPr>
          <w:p w14:paraId="2EA73BA2">
            <w:pPr>
              <w:pStyle w:val="13"/>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冶金工贸方面：持续整治冶金工贸行业“一厂多租、厂中厂、业态混杂”以及工程项目、检维修作业外包外委管理不到位等问题，建立健全外包作业全过程监管机制。组织开展针对“多、小、散、乱、差”企业的专项整治行动，制定出台加强小微企业安全监管实施办法，重点对不符合产业政策、安全生产和环保要求的企业，依法依规予以关停、取缔或整合。鼓励企业加大技术改造投入，引进先进的生产工艺和设备，提高企业的自动化、智能化水平，提升企业的生产效率和安全保障能力，促进企业转型升级。</w:t>
            </w:r>
          </w:p>
        </w:tc>
        <w:tc>
          <w:tcPr>
            <w:tcW w:w="2138" w:type="dxa"/>
            <w:vAlign w:val="center"/>
          </w:tcPr>
          <w:p w14:paraId="5E4919E0">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冶金工贸安全专业委员会办公室牵头负责</w:t>
            </w:r>
          </w:p>
        </w:tc>
        <w:tc>
          <w:tcPr>
            <w:tcW w:w="806" w:type="dxa"/>
            <w:vAlign w:val="center"/>
          </w:tcPr>
          <w:p w14:paraId="6F39A66D">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3ED0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blHeader/>
          <w:jc w:val="center"/>
        </w:trPr>
        <w:tc>
          <w:tcPr>
            <w:tcW w:w="780" w:type="dxa"/>
            <w:vMerge w:val="continue"/>
            <w:vAlign w:val="center"/>
          </w:tcPr>
          <w:p w14:paraId="46DE1EB0">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08F25562">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2612" w:type="dxa"/>
            <w:vMerge w:val="continue"/>
            <w:tcBorders>
              <w:left w:val="single" w:color="auto" w:sz="4" w:space="0"/>
              <w:right w:val="single" w:color="auto" w:sz="4" w:space="0"/>
            </w:tcBorders>
            <w:vAlign w:val="center"/>
          </w:tcPr>
          <w:p w14:paraId="2F118883">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6974" w:type="dxa"/>
            <w:tcBorders>
              <w:left w:val="single" w:color="auto" w:sz="4" w:space="0"/>
              <w:right w:val="single" w:color="auto" w:sz="4" w:space="0"/>
            </w:tcBorders>
            <w:vAlign w:val="center"/>
          </w:tcPr>
          <w:p w14:paraId="78EA2930">
            <w:pPr>
              <w:pStyle w:val="13"/>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建筑施工及燃气方面：深入开展建筑市场专项整治，严禁“未招先建”“未批先建”；大力整治肢解发包、违法转包分包、挂靠资质等问题；强化危大工程监管，加强重点环节、重点部位的监控；统筹开展防高坠和有限空间“两个专项整治”；狠抓施工现场消防安全，认真落实动火作业“六个必须”制度，加强施工现场安全用电管理。持续实施城镇燃气专项整治，继续开展燃气老旧管网更新改造；加大燃气设施设备和管网隐患排查维护力度，坚决杜绝私接私改、使用燃气灶具不规范、使用不合格气瓶等问题。</w:t>
            </w:r>
          </w:p>
        </w:tc>
        <w:tc>
          <w:tcPr>
            <w:tcW w:w="2138" w:type="dxa"/>
            <w:vAlign w:val="center"/>
          </w:tcPr>
          <w:p w14:paraId="24E67229">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建设与燃气安全专业委员会办公室牵头负责</w:t>
            </w:r>
          </w:p>
        </w:tc>
        <w:tc>
          <w:tcPr>
            <w:tcW w:w="806" w:type="dxa"/>
            <w:vAlign w:val="center"/>
          </w:tcPr>
          <w:p w14:paraId="5A2E15D1">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5209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blHeader/>
          <w:jc w:val="center"/>
        </w:trPr>
        <w:tc>
          <w:tcPr>
            <w:tcW w:w="780" w:type="dxa"/>
            <w:vMerge w:val="continue"/>
            <w:vAlign w:val="center"/>
          </w:tcPr>
          <w:p w14:paraId="02CBDD05">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2E922C07">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2612" w:type="dxa"/>
            <w:vMerge w:val="continue"/>
            <w:tcBorders>
              <w:left w:val="single" w:color="auto" w:sz="4" w:space="0"/>
              <w:right w:val="single" w:color="auto" w:sz="4" w:space="0"/>
            </w:tcBorders>
            <w:vAlign w:val="center"/>
          </w:tcPr>
          <w:p w14:paraId="53E7D94C">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6974" w:type="dxa"/>
            <w:tcBorders>
              <w:left w:val="single" w:color="auto" w:sz="4" w:space="0"/>
              <w:right w:val="single" w:color="auto" w:sz="4" w:space="0"/>
            </w:tcBorders>
            <w:vAlign w:val="center"/>
          </w:tcPr>
          <w:p w14:paraId="0F789272">
            <w:pPr>
              <w:pStyle w:val="13"/>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道路交通方面：着力解决“两客一危一货一面”等重点车辆“三超一疲劳”、酒驾、醉驾、客运车辆乘客不系安全带、大货车不按规定靠右行驶、农用车违法载人、旅游客车不按规定配备双驾驶人和不按规定路线行驶、重点营运车辆动态监控流于形式，以及隧道照明、临水临崖、长大桥隧、长陡下坡、校园门口基础防护设施不到位等问题。</w:t>
            </w:r>
          </w:p>
        </w:tc>
        <w:tc>
          <w:tcPr>
            <w:tcW w:w="2138" w:type="dxa"/>
            <w:vAlign w:val="center"/>
          </w:tcPr>
          <w:p w14:paraId="15700C45">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交通安全专业委员会办公室牵头负责</w:t>
            </w:r>
          </w:p>
        </w:tc>
        <w:tc>
          <w:tcPr>
            <w:tcW w:w="806" w:type="dxa"/>
            <w:vAlign w:val="center"/>
          </w:tcPr>
          <w:p w14:paraId="30A12270">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726A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0" w:type="dxa"/>
            <w:vAlign w:val="center"/>
          </w:tcPr>
          <w:p w14:paraId="19E6000B">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top w:val="single" w:color="auto" w:sz="4" w:space="0"/>
              <w:left w:val="single" w:color="auto" w:sz="4" w:space="0"/>
              <w:right w:val="single" w:color="auto" w:sz="4" w:space="0"/>
            </w:tcBorders>
            <w:vAlign w:val="center"/>
          </w:tcPr>
          <w:p w14:paraId="6193454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left w:val="single" w:color="auto" w:sz="4" w:space="0"/>
              <w:right w:val="single" w:color="auto" w:sz="4" w:space="0"/>
            </w:tcBorders>
            <w:vAlign w:val="center"/>
          </w:tcPr>
          <w:p w14:paraId="51643A54">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5AA17AD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37818BF8">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01FA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blHeader/>
          <w:jc w:val="center"/>
        </w:trPr>
        <w:tc>
          <w:tcPr>
            <w:tcW w:w="780" w:type="dxa"/>
            <w:vMerge w:val="restart"/>
            <w:vAlign w:val="center"/>
          </w:tcPr>
          <w:p w14:paraId="2BAB5A2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四</w:t>
            </w:r>
          </w:p>
        </w:tc>
        <w:tc>
          <w:tcPr>
            <w:tcW w:w="855" w:type="dxa"/>
            <w:vMerge w:val="restart"/>
            <w:tcBorders>
              <w:top w:val="single" w:color="auto" w:sz="4" w:space="0"/>
              <w:left w:val="single" w:color="auto" w:sz="4" w:space="0"/>
              <w:right w:val="single" w:color="auto" w:sz="4" w:space="0"/>
            </w:tcBorders>
            <w:vAlign w:val="center"/>
          </w:tcPr>
          <w:p w14:paraId="440A8ABA">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强化问题隐患整治</w:t>
            </w:r>
          </w:p>
        </w:tc>
        <w:tc>
          <w:tcPr>
            <w:tcW w:w="2612" w:type="dxa"/>
            <w:tcBorders>
              <w:left w:val="single" w:color="auto" w:sz="4" w:space="0"/>
              <w:right w:val="single" w:color="auto" w:sz="4" w:space="0"/>
            </w:tcBorders>
            <w:vAlign w:val="center"/>
          </w:tcPr>
          <w:p w14:paraId="384F1223">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11.深度破解重大问题。聚焦重点行业领域，采取有力措施，每年至少解决1—2项制约安全发展的突出问题，久久为功，持续发力。</w:t>
            </w: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涉及跨部门、跨区域难以解决的重大问题要及时提请党委政府专题研究。</w:t>
            </w:r>
          </w:p>
        </w:tc>
        <w:tc>
          <w:tcPr>
            <w:tcW w:w="6974" w:type="dxa"/>
            <w:tcBorders>
              <w:top w:val="single" w:color="auto" w:sz="4" w:space="0"/>
              <w:left w:val="single" w:color="auto" w:sz="4" w:space="0"/>
              <w:right w:val="single" w:color="auto" w:sz="4" w:space="0"/>
            </w:tcBorders>
            <w:vAlign w:val="center"/>
          </w:tcPr>
          <w:p w14:paraId="1644DA7C">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特种设备方面：持续开展电梯安全筑底行动，提升电梯维保工作质量，推动使用15年以上老旧电梯更新改造。开展场（厂）内专用机动车辆使用安全治理专项行动，提高作业人员安全意识和操作技能。开展锅炉安全提升行动，提升锅炉使用管理水平，优化锅炉能效指标，落实锅炉绿色低碳高质量发展。继续推进化工老旧装置相关特种设备更新改造，加快推进不符合强制性国家标准的燃气气瓶淘汰更新。推进城市燃气管道安全专项治理，加大燃气压力管道安全监管力度，配合做好燃气压力管道更新改造工作，完善燃气相关特种设备安全管理长效机制。加强对特种设备检验检测的督导检查，严厉查处不规范检验检测、出具虚假报告等违法行为，优化特种设备检验检测市场。</w:t>
            </w:r>
          </w:p>
        </w:tc>
        <w:tc>
          <w:tcPr>
            <w:tcW w:w="2138" w:type="dxa"/>
            <w:vAlign w:val="center"/>
          </w:tcPr>
          <w:p w14:paraId="1876FE9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特种设备安全专业委员会办公室牵头负责</w:t>
            </w:r>
          </w:p>
        </w:tc>
        <w:tc>
          <w:tcPr>
            <w:tcW w:w="806" w:type="dxa"/>
            <w:vAlign w:val="center"/>
          </w:tcPr>
          <w:p w14:paraId="7578E024">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4A53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blHeader/>
          <w:jc w:val="center"/>
        </w:trPr>
        <w:tc>
          <w:tcPr>
            <w:tcW w:w="780" w:type="dxa"/>
            <w:vMerge w:val="continue"/>
            <w:vAlign w:val="center"/>
          </w:tcPr>
          <w:p w14:paraId="2824A48A">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38E2C49E">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5FD86817">
            <w:pPr>
              <w:pStyle w:val="1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12.根源上杜绝重大隐患。以安全生产治本攻坚三年行动为主线，持续推动矿山、危险化学品、冶金工贸、道路交通、消防安全等行动方案的落地落实，推进燃气、人员密集场所动火作业、电动自行车、新能源充电基础设施、保温材料等“一件事”全链条安全监管，深入开展岁末年初安全生产和自然灾害风险隐患排查整治专项行动。着力解决建设工程消防审验历史遗留、使用易燃可燃保温材料等问题；着力解决高层建筑、人员密集场所、“九小场所”、文物古建、医疗机构等消防设施不完善，火源管控不到位，以及消防控制室操作人员未严格落实持证上岗制度等问题。加快推进停放充电设施建设，着力解决电动自行车进楼入户、飞线充电等违规停放充电行为，打击非法改装力度不大、充电费用未落实居民电价政策等问题。持续学好用好重大隐患判定标准及“一行业一清单”，落实重大隐患自查自改常态化机制，对企业自查发现并采取措施积极整改、主动上报的重大隐患，免于处罚，对风险隐患自查排查不力、隐患长期存在、整改不到位的企业加大处罚力度，推进重大隐患动态清零。健全落实事故隐患举报奖励制度，对群众举报经核查属实的、部门执法检查发现的重大隐患采取立案查处、公开曝光、追责问责，对主要负责人和企业“一案双罚”等措施。对严重违法行为依法采取限期整改、停产整顿、关闭取缔、上限处罚、联合惩戒，落实行刑衔接机制。</w:t>
            </w:r>
          </w:p>
        </w:tc>
        <w:tc>
          <w:tcPr>
            <w:tcW w:w="2138" w:type="dxa"/>
            <w:vAlign w:val="center"/>
          </w:tcPr>
          <w:p w14:paraId="24D4295D">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1C9FC9B4">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00D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780" w:type="dxa"/>
            <w:vAlign w:val="center"/>
          </w:tcPr>
          <w:p w14:paraId="2D1EFEE0">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left w:val="single" w:color="auto" w:sz="4" w:space="0"/>
              <w:right w:val="single" w:color="auto" w:sz="4" w:space="0"/>
            </w:tcBorders>
            <w:vAlign w:val="center"/>
          </w:tcPr>
          <w:p w14:paraId="5A5909E7">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3BF9E0A5">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26B3F895">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62C04964">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710B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blHeader/>
          <w:jc w:val="center"/>
        </w:trPr>
        <w:tc>
          <w:tcPr>
            <w:tcW w:w="780" w:type="dxa"/>
            <w:vMerge w:val="restart"/>
            <w:vAlign w:val="center"/>
          </w:tcPr>
          <w:p w14:paraId="5346DB7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五</w:t>
            </w:r>
          </w:p>
        </w:tc>
        <w:tc>
          <w:tcPr>
            <w:tcW w:w="855" w:type="dxa"/>
            <w:vMerge w:val="restart"/>
            <w:tcBorders>
              <w:top w:val="single" w:color="auto" w:sz="4" w:space="0"/>
              <w:left w:val="single" w:color="auto" w:sz="4" w:space="0"/>
              <w:right w:val="single" w:color="auto" w:sz="4" w:space="0"/>
            </w:tcBorders>
            <w:vAlign w:val="center"/>
          </w:tcPr>
          <w:p w14:paraId="16813FC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t>全面推进科技赋能</w:t>
            </w:r>
          </w:p>
        </w:tc>
        <w:tc>
          <w:tcPr>
            <w:tcW w:w="9586" w:type="dxa"/>
            <w:gridSpan w:val="2"/>
            <w:tcBorders>
              <w:top w:val="single" w:color="auto" w:sz="4" w:space="0"/>
              <w:left w:val="single" w:color="auto" w:sz="4" w:space="0"/>
              <w:right w:val="single" w:color="auto" w:sz="4" w:space="0"/>
            </w:tcBorders>
            <w:vAlign w:val="center"/>
          </w:tcPr>
          <w:p w14:paraId="0CCAD07D">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13.加快推进信息化建设。推广“智慧应急”，以县应急部门应急指挥部为基础，逐步汇聚融合公安、水利、林业、自然资源、气象、水文等部门基础信息数据，实现跨层级、跨部门的信息共享和业务协同；将视频指挥调度延伸至乡镇，实现应急指令直达基层；加快县应急指挥无线通信网建设，实现“三断”情况下的应急指挥调度。大力推进矿山智能化建设，推广井下人员高精度定位、AI视频智能监控、违法违规行为智能识别分析技术，实现重点作业流程智能监控、安全风险智能分级管控、隐患排查治理智能辅助。持续推进全县实施高清视频监控和AI智能事件监测系统的安装和应用。加大城市智慧消防、消防物联网监控系统和化工园区特勤消防站的建设应用和升级改造力度。2025年底前实现重点企业安全风险监测预警全覆盖，完成国有企业所属加油站视频智能分析系统安装应用，建成金属冶炼企业、化工和危险化学品重大危险源企业特殊作业审批与作业管理场景和人员定位等系统。</w:t>
            </w:r>
          </w:p>
        </w:tc>
        <w:tc>
          <w:tcPr>
            <w:tcW w:w="2138" w:type="dxa"/>
            <w:vAlign w:val="center"/>
          </w:tcPr>
          <w:p w14:paraId="3DE6E514">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县应急管理局、县能源局、县交通运输局、县公安局、县水利局、县林业局、县自然资源局、县气象局、县消防救援大队、县财政局等部门分工负责</w:t>
            </w:r>
          </w:p>
        </w:tc>
        <w:tc>
          <w:tcPr>
            <w:tcW w:w="806" w:type="dxa"/>
            <w:vAlign w:val="center"/>
          </w:tcPr>
          <w:p w14:paraId="30782FE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12月底前</w:t>
            </w:r>
          </w:p>
        </w:tc>
      </w:tr>
      <w:tr w14:paraId="063E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blHeader/>
          <w:jc w:val="center"/>
        </w:trPr>
        <w:tc>
          <w:tcPr>
            <w:tcW w:w="780" w:type="dxa"/>
            <w:vMerge w:val="continue"/>
            <w:vAlign w:val="center"/>
          </w:tcPr>
          <w:p w14:paraId="2BB2B7D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4F61639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051F4100">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14.扎实开展安全工程治理。依托国家“两重”“两新”政策，加快矿山升级改造，深入推进煤矿区域性隐蔽致灾因素普查，扎实开展重大水害、瓦斯等工程治理。推进非煤地下矿山机械化撬毛，逐步淘汰人工撬毛作业。推进老旧化工生产装置改造提升和油库储罐改造升级。加快推进老旧场所消防设施升级改造、公路安全生命防护工程建设、水库除险加固、电梯安全筑底、铁路平交道口改造、应急逃生出口和消防安全通道打通等安全治理工程。开展地震灾害危险源和风险源探查，加快实施巨灾防范工程和配合开展山西地震烈度速报与预警工程建设，保障地球物理监测站点“一县一台”正常运行和推进县级信息平台建设。</w:t>
            </w:r>
          </w:p>
        </w:tc>
        <w:tc>
          <w:tcPr>
            <w:tcW w:w="2138" w:type="dxa"/>
            <w:vAlign w:val="center"/>
          </w:tcPr>
          <w:p w14:paraId="7206FF41">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县住房和城乡建设管理局、县交通运输局、县水利局、县应急管理局、县市场监督管理局、县能源局、县消防救援大队、县防震减灾中心、交城公路管理段、县财政局等部门分工负责</w:t>
            </w:r>
          </w:p>
        </w:tc>
        <w:tc>
          <w:tcPr>
            <w:tcW w:w="806" w:type="dxa"/>
            <w:vAlign w:val="center"/>
          </w:tcPr>
          <w:p w14:paraId="75BB8D6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12月底前</w:t>
            </w:r>
          </w:p>
        </w:tc>
      </w:tr>
      <w:tr w14:paraId="3FB6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780" w:type="dxa"/>
            <w:vAlign w:val="center"/>
          </w:tcPr>
          <w:p w14:paraId="7582D211">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left w:val="single" w:color="auto" w:sz="4" w:space="0"/>
              <w:right w:val="single" w:color="auto" w:sz="4" w:space="0"/>
            </w:tcBorders>
            <w:vAlign w:val="center"/>
          </w:tcPr>
          <w:p w14:paraId="2932A6C8">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723C3B17">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6EA54CE3">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38BC1E82">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71B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tblHeader/>
          <w:jc w:val="center"/>
        </w:trPr>
        <w:tc>
          <w:tcPr>
            <w:tcW w:w="780" w:type="dxa"/>
            <w:vMerge w:val="restart"/>
            <w:vAlign w:val="center"/>
          </w:tcPr>
          <w:p w14:paraId="07994A4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六</w:t>
            </w:r>
          </w:p>
        </w:tc>
        <w:tc>
          <w:tcPr>
            <w:tcW w:w="855" w:type="dxa"/>
            <w:vMerge w:val="restart"/>
            <w:tcBorders>
              <w:top w:val="single" w:color="auto" w:sz="4" w:space="0"/>
              <w:left w:val="single" w:color="auto" w:sz="4" w:space="0"/>
              <w:right w:val="single" w:color="auto" w:sz="4" w:space="0"/>
            </w:tcBorders>
            <w:vAlign w:val="center"/>
          </w:tcPr>
          <w:p w14:paraId="5B7EB27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强化应急救援准备</w:t>
            </w:r>
          </w:p>
        </w:tc>
        <w:tc>
          <w:tcPr>
            <w:tcW w:w="9586" w:type="dxa"/>
            <w:gridSpan w:val="2"/>
            <w:tcBorders>
              <w:top w:val="single" w:color="auto" w:sz="4" w:space="0"/>
              <w:left w:val="single" w:color="auto" w:sz="4" w:space="0"/>
              <w:right w:val="single" w:color="auto" w:sz="4" w:space="0"/>
            </w:tcBorders>
            <w:vAlign w:val="center"/>
          </w:tcPr>
          <w:p w14:paraId="1759DD5F">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15.修订完善应急预案。以灾害事故处置实战为导向，优化分级响应流程，各乡镇、经济开发区按照《交城县突发事件总体应急预案》适时编制总体应急预案，做好与县级总体应急预案上下衔接。各相关部门按照《交城县突发事件总体应急预案》适时修编安全生产、自然灾害、公共卫生、社会安全、应急保障类专项预案及部门预案。各专项应急预案编制单位制定应急响应手册，明确各个响应级别的职责任务、流程措施、资源保障等具体内容，进一步推动应急指挥调度、应对处置等工作的科学化、规范化、程序化。各相关部门结合灾害事故风险特点，指导乡镇编制并动态修订上下衔接的专项应急预案、简明实用的村（社区）“一制四案”（突发事件应急包保责任制和防火、防汛、地震、地质灾害应急预案），制定重点岗位应急处置卡，实现应急培训手册化、应急处置图表化、应急指挥卡片化。加强督促生产经营单位生产安全事故应急预案备案、培训、演练、修订、评估的监督检查。</w:t>
            </w:r>
          </w:p>
        </w:tc>
        <w:tc>
          <w:tcPr>
            <w:tcW w:w="2138" w:type="dxa"/>
            <w:vAlign w:val="center"/>
          </w:tcPr>
          <w:p w14:paraId="0740B91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5DDB5C9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12月底前</w:t>
            </w:r>
          </w:p>
        </w:tc>
      </w:tr>
      <w:tr w14:paraId="11F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blHeader/>
          <w:jc w:val="center"/>
        </w:trPr>
        <w:tc>
          <w:tcPr>
            <w:tcW w:w="780" w:type="dxa"/>
            <w:vMerge w:val="continue"/>
            <w:vAlign w:val="center"/>
          </w:tcPr>
          <w:p w14:paraId="62AC30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052B24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55CB5CF1">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16.加强应急队伍建设。完善基层应急救援力量体系，强化专职救援队伍规范化管理和“一专多能”建设；统筹乡镇灾害信息员、网格员、民兵、医务人员、志愿者等应急力量，整合应急救援资源，不断完善“综合+专业+社会”应急救援力量体系。整合乡镇安全生产、防灾减灾救灾、应急管理、消防救援人员，按照有机构、有场所、有职责、有制度、有经费、有队伍、有装备“七有”标准，依托乡镇消防协管员队伍完成应急消防管理站组建工作。采取理论培训、技能培训、案例教学、岗位练兵和比武竞赛等方式，不断提高专业技能；支持救援队伍队员考取应急救援员职业资格。</w:t>
            </w:r>
          </w:p>
        </w:tc>
        <w:tc>
          <w:tcPr>
            <w:tcW w:w="2138" w:type="dxa"/>
            <w:vAlign w:val="center"/>
          </w:tcPr>
          <w:p w14:paraId="5690FDED">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县应急管理局、县林业局、县消防救援大队、县防震减灾中心、县财政局等部门分工负责</w:t>
            </w:r>
          </w:p>
        </w:tc>
        <w:tc>
          <w:tcPr>
            <w:tcW w:w="806" w:type="dxa"/>
            <w:vAlign w:val="center"/>
          </w:tcPr>
          <w:p w14:paraId="61FDC07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12月底前</w:t>
            </w:r>
          </w:p>
        </w:tc>
      </w:tr>
      <w:tr w14:paraId="3DE5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780" w:type="dxa"/>
            <w:vAlign w:val="center"/>
          </w:tcPr>
          <w:p w14:paraId="298B4A06">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left w:val="single" w:color="auto" w:sz="4" w:space="0"/>
              <w:right w:val="single" w:color="auto" w:sz="4" w:space="0"/>
            </w:tcBorders>
            <w:vAlign w:val="center"/>
          </w:tcPr>
          <w:p w14:paraId="30FEE7D7">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48066A66">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5CC90566">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4CCD7BBF">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2091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blHeader/>
          <w:jc w:val="center"/>
        </w:trPr>
        <w:tc>
          <w:tcPr>
            <w:tcW w:w="780" w:type="dxa"/>
            <w:vMerge w:val="restart"/>
            <w:vAlign w:val="center"/>
          </w:tcPr>
          <w:p w14:paraId="56418EC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六</w:t>
            </w:r>
          </w:p>
        </w:tc>
        <w:tc>
          <w:tcPr>
            <w:tcW w:w="855" w:type="dxa"/>
            <w:vMerge w:val="restart"/>
            <w:tcBorders>
              <w:top w:val="single" w:color="auto" w:sz="4" w:space="0"/>
              <w:left w:val="single" w:color="auto" w:sz="4" w:space="0"/>
              <w:right w:val="single" w:color="auto" w:sz="4" w:space="0"/>
            </w:tcBorders>
            <w:vAlign w:val="center"/>
          </w:tcPr>
          <w:p w14:paraId="1BADB13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强化</w:t>
            </w:r>
          </w:p>
          <w:p w14:paraId="3BFE2D2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应急</w:t>
            </w:r>
          </w:p>
          <w:p w14:paraId="4093364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救援</w:t>
            </w:r>
          </w:p>
          <w:p w14:paraId="6C1F7B8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准备</w:t>
            </w:r>
          </w:p>
        </w:tc>
        <w:tc>
          <w:tcPr>
            <w:tcW w:w="9586" w:type="dxa"/>
            <w:gridSpan w:val="2"/>
            <w:tcBorders>
              <w:top w:val="single" w:color="auto" w:sz="4" w:space="0"/>
              <w:left w:val="single" w:color="auto" w:sz="4" w:space="0"/>
              <w:right w:val="single" w:color="auto" w:sz="4" w:space="0"/>
            </w:tcBorders>
            <w:vAlign w:val="center"/>
          </w:tcPr>
          <w:p w14:paraId="1F9211E5">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17.强化应急救援装备配备。持续巩固基层防灾工程项目实施成果，不断提升基层应急救援队伍装备使用水平和救援能力。采取政府支持、企业资助、社会援助等方式，统筹规划为县乡级应急救援队伍配备应急响应、灭火救援、防汛排涝、应急通信等必要物资装备，切实提高应急处置实战能力。</w:t>
            </w:r>
          </w:p>
        </w:tc>
        <w:tc>
          <w:tcPr>
            <w:tcW w:w="2138" w:type="dxa"/>
            <w:vAlign w:val="center"/>
          </w:tcPr>
          <w:p w14:paraId="6B6E9C5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3EE7B80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12月底前</w:t>
            </w:r>
          </w:p>
        </w:tc>
      </w:tr>
      <w:tr w14:paraId="137F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blHeader/>
          <w:jc w:val="center"/>
        </w:trPr>
        <w:tc>
          <w:tcPr>
            <w:tcW w:w="780" w:type="dxa"/>
            <w:vMerge w:val="continue"/>
            <w:vAlign w:val="center"/>
          </w:tcPr>
          <w:p w14:paraId="0FA1A75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p>
        </w:tc>
        <w:tc>
          <w:tcPr>
            <w:tcW w:w="855" w:type="dxa"/>
            <w:vMerge w:val="continue"/>
            <w:tcBorders>
              <w:left w:val="single" w:color="auto" w:sz="4" w:space="0"/>
              <w:right w:val="single" w:color="auto" w:sz="4" w:space="0"/>
            </w:tcBorders>
            <w:vAlign w:val="center"/>
          </w:tcPr>
          <w:p w14:paraId="10DFBBD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0994E7C7">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18.加强应急救援保障。健全县应急物资统一调拨协调制度，合理规划应急物资储备点布局，完善调拨流程。做好冬春救助和应急救助工作，督促各乡（镇）人民政府严格按照“专款专用、重点使用”原则和“户报、村评、乡审、县定”程序，及时下拨救助资金，保障受灾群众基本生活。科学规划并推动重点林区建设能够满足森林火灾救援的停机坪、取水点、防火应急通道。2025年底前，完成县应急避难场所专项规划编制发布工作，至少完成一处县级综合性长期应急避难场所试点项目，各乡镇、村至少建立一处应急避难场所。</w:t>
            </w:r>
          </w:p>
        </w:tc>
        <w:tc>
          <w:tcPr>
            <w:tcW w:w="2138" w:type="dxa"/>
            <w:vAlign w:val="center"/>
          </w:tcPr>
          <w:p w14:paraId="60591BD5">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县发展和改革局、县交通运输局、县财政局、县应急管理局、县林业局、县自然资源局等部门分工负责</w:t>
            </w:r>
          </w:p>
        </w:tc>
        <w:tc>
          <w:tcPr>
            <w:tcW w:w="806" w:type="dxa"/>
            <w:vAlign w:val="center"/>
          </w:tcPr>
          <w:p w14:paraId="392671E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1631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blHeader/>
          <w:jc w:val="center"/>
        </w:trPr>
        <w:tc>
          <w:tcPr>
            <w:tcW w:w="780" w:type="dxa"/>
            <w:vAlign w:val="center"/>
          </w:tcPr>
          <w:p w14:paraId="7B1ECEC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七</w:t>
            </w:r>
          </w:p>
        </w:tc>
        <w:tc>
          <w:tcPr>
            <w:tcW w:w="855" w:type="dxa"/>
            <w:tcBorders>
              <w:top w:val="single" w:color="auto" w:sz="4" w:space="0"/>
              <w:left w:val="single" w:color="auto" w:sz="4" w:space="0"/>
              <w:right w:val="single" w:color="auto" w:sz="4" w:space="0"/>
            </w:tcBorders>
            <w:vAlign w:val="center"/>
          </w:tcPr>
          <w:p w14:paraId="1C09551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提升应急队伍能力素质</w:t>
            </w:r>
          </w:p>
        </w:tc>
        <w:tc>
          <w:tcPr>
            <w:tcW w:w="9586" w:type="dxa"/>
            <w:gridSpan w:val="2"/>
            <w:tcBorders>
              <w:top w:val="single" w:color="auto" w:sz="4" w:space="0"/>
              <w:left w:val="single" w:color="auto" w:sz="4" w:space="0"/>
              <w:right w:val="single" w:color="auto" w:sz="4" w:space="0"/>
            </w:tcBorders>
            <w:vAlign w:val="center"/>
          </w:tcPr>
          <w:p w14:paraId="441EA32D">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19.开展应急救援队伍实战练兵。坚持实战导向，加强各消防救援队伍与综合救援队伍、企业专兼职救援队伍、社会应急救援力量的联勤、联训、联演、联战。结合我县实际，2025年在矿山、危化、冶金工贸、建筑施工、道路交通、消防、森林火灾、洪涝灾害、地质灾害、地震等重点行业领域至少组织开展一次示范性综合应急演练。督促各类生产经营单位针对本单位易发事故种类，组织企业专兼职队伍和职工开展疏散逃生和应急救援演练，熟悉应急逃生疏散通道，提升职工自救互救能力。</w:t>
            </w:r>
          </w:p>
        </w:tc>
        <w:tc>
          <w:tcPr>
            <w:tcW w:w="2138" w:type="dxa"/>
            <w:vAlign w:val="center"/>
          </w:tcPr>
          <w:p w14:paraId="0B3088D3">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县住房和城乡建设管理局、县交通运输局、县水利局、县应急管理局、县林业局、县自然资源局、县消防救援大队等部门分工负责</w:t>
            </w:r>
          </w:p>
        </w:tc>
        <w:tc>
          <w:tcPr>
            <w:tcW w:w="806" w:type="dxa"/>
            <w:vAlign w:val="center"/>
          </w:tcPr>
          <w:p w14:paraId="0AE1778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4A07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780" w:type="dxa"/>
            <w:vAlign w:val="center"/>
          </w:tcPr>
          <w:p w14:paraId="0680C3EF">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序号</w:t>
            </w:r>
          </w:p>
        </w:tc>
        <w:tc>
          <w:tcPr>
            <w:tcW w:w="855" w:type="dxa"/>
            <w:tcBorders>
              <w:top w:val="single" w:color="auto" w:sz="4" w:space="0"/>
              <w:left w:val="single" w:color="auto" w:sz="4" w:space="0"/>
              <w:right w:val="single" w:color="auto" w:sz="4" w:space="0"/>
            </w:tcBorders>
            <w:vAlign w:val="center"/>
          </w:tcPr>
          <w:p w14:paraId="1F8F0183">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任务</w:t>
            </w:r>
          </w:p>
        </w:tc>
        <w:tc>
          <w:tcPr>
            <w:tcW w:w="9586" w:type="dxa"/>
            <w:gridSpan w:val="2"/>
            <w:tcBorders>
              <w:top w:val="single" w:color="auto" w:sz="4" w:space="0"/>
              <w:left w:val="single" w:color="auto" w:sz="4" w:space="0"/>
              <w:right w:val="single" w:color="auto" w:sz="4" w:space="0"/>
            </w:tcBorders>
            <w:vAlign w:val="center"/>
          </w:tcPr>
          <w:p w14:paraId="5904D9A5">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主要内容</w:t>
            </w:r>
          </w:p>
        </w:tc>
        <w:tc>
          <w:tcPr>
            <w:tcW w:w="2138" w:type="dxa"/>
            <w:vAlign w:val="center"/>
          </w:tcPr>
          <w:p w14:paraId="42A38A9F">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责任单位</w:t>
            </w:r>
          </w:p>
        </w:tc>
        <w:tc>
          <w:tcPr>
            <w:tcW w:w="806" w:type="dxa"/>
            <w:vAlign w:val="center"/>
          </w:tcPr>
          <w:p w14:paraId="57E1FC14">
            <w:pPr>
              <w:pStyle w:val="1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24"/>
                <w:szCs w:val="24"/>
                <w:u w:val="none"/>
                <w:vertAlign w:val="baseline"/>
                <w:lang w:val="en-US" w:eastAsia="zh-CN" w:bidi="ar-SA"/>
                <w14:textFill>
                  <w14:solidFill>
                    <w14:schemeClr w14:val="tx1"/>
                  </w14:solidFill>
                </w14:textFill>
              </w:rPr>
              <w:t>完成时限</w:t>
            </w:r>
          </w:p>
        </w:tc>
      </w:tr>
      <w:tr w14:paraId="77C5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blHeader/>
          <w:jc w:val="center"/>
        </w:trPr>
        <w:tc>
          <w:tcPr>
            <w:tcW w:w="780" w:type="dxa"/>
            <w:vMerge w:val="restart"/>
            <w:vAlign w:val="center"/>
          </w:tcPr>
          <w:p w14:paraId="4B5CCC8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七</w:t>
            </w:r>
          </w:p>
        </w:tc>
        <w:tc>
          <w:tcPr>
            <w:tcW w:w="855" w:type="dxa"/>
            <w:vMerge w:val="restart"/>
            <w:tcBorders>
              <w:top w:val="single" w:color="auto" w:sz="4" w:space="0"/>
              <w:left w:val="single" w:color="auto" w:sz="4" w:space="0"/>
              <w:right w:val="single" w:color="auto" w:sz="4" w:space="0"/>
            </w:tcBorders>
            <w:vAlign w:val="center"/>
          </w:tcPr>
          <w:p w14:paraId="700002E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强化</w:t>
            </w:r>
          </w:p>
          <w:p w14:paraId="5F4B4D9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人员</w:t>
            </w:r>
          </w:p>
          <w:p w14:paraId="4578135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能力</w:t>
            </w:r>
          </w:p>
          <w:p w14:paraId="2DE13FA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t>素质</w:t>
            </w:r>
          </w:p>
        </w:tc>
        <w:tc>
          <w:tcPr>
            <w:tcW w:w="9586" w:type="dxa"/>
            <w:gridSpan w:val="2"/>
            <w:tcBorders>
              <w:top w:val="single" w:color="auto" w:sz="4" w:space="0"/>
              <w:left w:val="single" w:color="auto" w:sz="4" w:space="0"/>
              <w:right w:val="single" w:color="auto" w:sz="4" w:space="0"/>
            </w:tcBorders>
            <w:vAlign w:val="center"/>
          </w:tcPr>
          <w:p w14:paraId="23CC6437">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20.开展职工安全技能竞赛。积极组织各行业领域生产经营单位开展全员分工种、分岗位针对性培训，严格“三项岗位人员”考核，从业人员未经培训合格不得上岗。构建“工会＋行业”协同模式，分行业推动“安康杯”知识竞赛、职工技能比武工作，营造崇尚专业、崇尚安全的良好风气。</w:t>
            </w:r>
          </w:p>
        </w:tc>
        <w:tc>
          <w:tcPr>
            <w:tcW w:w="2138" w:type="dxa"/>
            <w:vAlign w:val="center"/>
          </w:tcPr>
          <w:p w14:paraId="3C891EB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县安委会有关成员单位负责</w:t>
            </w:r>
          </w:p>
        </w:tc>
        <w:tc>
          <w:tcPr>
            <w:tcW w:w="806" w:type="dxa"/>
            <w:vAlign w:val="center"/>
          </w:tcPr>
          <w:p w14:paraId="08511DE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r w14:paraId="25D0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blHeader/>
          <w:jc w:val="center"/>
        </w:trPr>
        <w:tc>
          <w:tcPr>
            <w:tcW w:w="780" w:type="dxa"/>
            <w:vMerge w:val="continue"/>
          </w:tcPr>
          <w:p w14:paraId="3128BF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855" w:type="dxa"/>
            <w:vMerge w:val="continue"/>
            <w:tcBorders>
              <w:left w:val="single" w:color="auto" w:sz="4" w:space="0"/>
              <w:right w:val="single" w:color="auto" w:sz="4" w:space="0"/>
            </w:tcBorders>
          </w:tcPr>
          <w:p w14:paraId="7F521F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000000" w:themeColor="text1"/>
                <w:spacing w:val="0"/>
                <w:sz w:val="24"/>
                <w:szCs w:val="24"/>
                <w14:textFill>
                  <w14:solidFill>
                    <w14:schemeClr w14:val="tx1"/>
                  </w14:solidFill>
                </w14:textFill>
              </w:rPr>
            </w:pPr>
          </w:p>
        </w:tc>
        <w:tc>
          <w:tcPr>
            <w:tcW w:w="9586" w:type="dxa"/>
            <w:gridSpan w:val="2"/>
            <w:tcBorders>
              <w:top w:val="single" w:color="auto" w:sz="4" w:space="0"/>
              <w:left w:val="single" w:color="auto" w:sz="4" w:space="0"/>
              <w:right w:val="single" w:color="auto" w:sz="4" w:space="0"/>
            </w:tcBorders>
            <w:vAlign w:val="center"/>
          </w:tcPr>
          <w:p w14:paraId="284A9A40">
            <w:pPr>
              <w:pStyle w:val="1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21.开展安全监管人员执法比武。对标对表先进地区经验做法，采取“走出去看、进校园学、请进来教”等方式，加强干部队伍能力素质建设。以“岗位大练兵、业务大比武”为抓手，综合运用“理论+实操”“严培+严考”“线上+线下”等方式，结合行业领域实际积极参与安全监管人员执法比武和实战大练兵，应用“互联网＋执法”系统等开展案卷评查，不断推动队伍素质与能力的全面提升。</w:t>
            </w:r>
          </w:p>
        </w:tc>
        <w:tc>
          <w:tcPr>
            <w:tcW w:w="2138" w:type="dxa"/>
            <w:vAlign w:val="center"/>
          </w:tcPr>
          <w:p w14:paraId="05E2FC4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县级负有安全生产监管职责的部门分工负责</w:t>
            </w:r>
          </w:p>
        </w:tc>
        <w:tc>
          <w:tcPr>
            <w:tcW w:w="806" w:type="dxa"/>
            <w:vAlign w:val="center"/>
          </w:tcPr>
          <w:p w14:paraId="1DE63E0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4"/>
                <w:szCs w:val="24"/>
                <w:u w:val="none"/>
                <w:vertAlign w:val="baseline"/>
                <w:lang w:val="en-US" w:eastAsia="zh-CN" w:bidi="ar-SA"/>
                <w14:textFill>
                  <w14:solidFill>
                    <w14:schemeClr w14:val="tx1"/>
                  </w14:solidFill>
                </w14:textFill>
              </w:rPr>
              <w:t>全年</w:t>
            </w:r>
          </w:p>
        </w:tc>
      </w:tr>
    </w:tbl>
    <w:p w14:paraId="6E78D6C1">
      <w:pPr>
        <w:pStyle w:val="13"/>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000000"/>
          <w:spacing w:val="0"/>
          <w:kern w:val="2"/>
          <w:sz w:val="32"/>
          <w:szCs w:val="32"/>
          <w:u w:val="none"/>
          <w:lang w:val="en-US" w:bidi="ar-SA"/>
        </w:rPr>
      </w:pPr>
    </w:p>
    <w:sectPr>
      <w:pgSz w:w="16838" w:h="11906" w:orient="landscape"/>
      <w:pgMar w:top="1587" w:right="1134" w:bottom="1474"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TE0MjE1Mjk4ODc1NzE2NWQ5NzA4N2JlMjg2YWQyMTcifQ=="/>
  </w:docVars>
  <w:rsids>
    <w:rsidRoot w:val="00000000"/>
    <w:rsid w:val="002D269B"/>
    <w:rsid w:val="03C2759E"/>
    <w:rsid w:val="03F62DA4"/>
    <w:rsid w:val="043F299D"/>
    <w:rsid w:val="051F7BED"/>
    <w:rsid w:val="05882287"/>
    <w:rsid w:val="071023CF"/>
    <w:rsid w:val="08230F87"/>
    <w:rsid w:val="09414AC1"/>
    <w:rsid w:val="09F4422A"/>
    <w:rsid w:val="0AF91B48"/>
    <w:rsid w:val="0B115AC9"/>
    <w:rsid w:val="0CD10852"/>
    <w:rsid w:val="0D3A01A5"/>
    <w:rsid w:val="0E1C5AFD"/>
    <w:rsid w:val="0F5F7139"/>
    <w:rsid w:val="0FFD0724"/>
    <w:rsid w:val="11850FF5"/>
    <w:rsid w:val="12AA36D7"/>
    <w:rsid w:val="13AE369B"/>
    <w:rsid w:val="13B54A2A"/>
    <w:rsid w:val="14593607"/>
    <w:rsid w:val="14D56A06"/>
    <w:rsid w:val="157DD720"/>
    <w:rsid w:val="15B42ABF"/>
    <w:rsid w:val="1653052A"/>
    <w:rsid w:val="16992223"/>
    <w:rsid w:val="169E17A5"/>
    <w:rsid w:val="16EBD247"/>
    <w:rsid w:val="191E4E1F"/>
    <w:rsid w:val="19C76800"/>
    <w:rsid w:val="1C56042C"/>
    <w:rsid w:val="1CBA09BB"/>
    <w:rsid w:val="1CF8596A"/>
    <w:rsid w:val="1F26058A"/>
    <w:rsid w:val="208328D1"/>
    <w:rsid w:val="20C55B80"/>
    <w:rsid w:val="212452F5"/>
    <w:rsid w:val="21450638"/>
    <w:rsid w:val="21FB6446"/>
    <w:rsid w:val="223557B8"/>
    <w:rsid w:val="24A445F5"/>
    <w:rsid w:val="25072C0B"/>
    <w:rsid w:val="2551032A"/>
    <w:rsid w:val="25B032A3"/>
    <w:rsid w:val="25BF208A"/>
    <w:rsid w:val="26A85391"/>
    <w:rsid w:val="271B299E"/>
    <w:rsid w:val="27510481"/>
    <w:rsid w:val="275B22A9"/>
    <w:rsid w:val="29F14252"/>
    <w:rsid w:val="2A133007"/>
    <w:rsid w:val="2B4324C3"/>
    <w:rsid w:val="2D5D944C"/>
    <w:rsid w:val="2DB46201"/>
    <w:rsid w:val="2DFDC357"/>
    <w:rsid w:val="2F7E62E9"/>
    <w:rsid w:val="2F8A246F"/>
    <w:rsid w:val="30EB518F"/>
    <w:rsid w:val="316B2774"/>
    <w:rsid w:val="319D212C"/>
    <w:rsid w:val="33F15DB4"/>
    <w:rsid w:val="35434211"/>
    <w:rsid w:val="36A07E9B"/>
    <w:rsid w:val="37F76B0F"/>
    <w:rsid w:val="380A4A95"/>
    <w:rsid w:val="38E70932"/>
    <w:rsid w:val="39860B71"/>
    <w:rsid w:val="39FFC8C6"/>
    <w:rsid w:val="3B6F290C"/>
    <w:rsid w:val="3BE76644"/>
    <w:rsid w:val="3DE03515"/>
    <w:rsid w:val="3E4800C5"/>
    <w:rsid w:val="3E74125D"/>
    <w:rsid w:val="3EA6303D"/>
    <w:rsid w:val="3EF3C306"/>
    <w:rsid w:val="3F5C54AA"/>
    <w:rsid w:val="3FAEC564"/>
    <w:rsid w:val="3FBF5102"/>
    <w:rsid w:val="3FFFEEB0"/>
    <w:rsid w:val="41EA00E5"/>
    <w:rsid w:val="424830B0"/>
    <w:rsid w:val="437A6CDB"/>
    <w:rsid w:val="441647C1"/>
    <w:rsid w:val="47442880"/>
    <w:rsid w:val="499D7E0E"/>
    <w:rsid w:val="4A4917F0"/>
    <w:rsid w:val="4A6654F9"/>
    <w:rsid w:val="4AF33166"/>
    <w:rsid w:val="4B9EAC2E"/>
    <w:rsid w:val="4BA6642B"/>
    <w:rsid w:val="4C92075D"/>
    <w:rsid w:val="4CB95269"/>
    <w:rsid w:val="4E161E13"/>
    <w:rsid w:val="4F9FAE95"/>
    <w:rsid w:val="4FAB48D9"/>
    <w:rsid w:val="4FF3A607"/>
    <w:rsid w:val="506F7733"/>
    <w:rsid w:val="5097F76E"/>
    <w:rsid w:val="50C431DE"/>
    <w:rsid w:val="51112598"/>
    <w:rsid w:val="529A56E5"/>
    <w:rsid w:val="53733C11"/>
    <w:rsid w:val="53AFA796"/>
    <w:rsid w:val="53E91DD9"/>
    <w:rsid w:val="540168F4"/>
    <w:rsid w:val="562403AC"/>
    <w:rsid w:val="56486A5C"/>
    <w:rsid w:val="56BC2FA6"/>
    <w:rsid w:val="57B46714"/>
    <w:rsid w:val="57B7D0AF"/>
    <w:rsid w:val="58966A77"/>
    <w:rsid w:val="598C3104"/>
    <w:rsid w:val="5AA1673B"/>
    <w:rsid w:val="5ABD72ED"/>
    <w:rsid w:val="5CD56B70"/>
    <w:rsid w:val="5D4930BA"/>
    <w:rsid w:val="5DFFE6F2"/>
    <w:rsid w:val="5EF37C08"/>
    <w:rsid w:val="5F1D47FE"/>
    <w:rsid w:val="5F2B4590"/>
    <w:rsid w:val="5F7FD274"/>
    <w:rsid w:val="6019183C"/>
    <w:rsid w:val="6139771D"/>
    <w:rsid w:val="616D08A6"/>
    <w:rsid w:val="617A7850"/>
    <w:rsid w:val="61A3723C"/>
    <w:rsid w:val="6283706E"/>
    <w:rsid w:val="654E0609"/>
    <w:rsid w:val="655BB657"/>
    <w:rsid w:val="66BB6DD6"/>
    <w:rsid w:val="672E5483"/>
    <w:rsid w:val="675C1AC8"/>
    <w:rsid w:val="677A064A"/>
    <w:rsid w:val="67FB752B"/>
    <w:rsid w:val="67FF7277"/>
    <w:rsid w:val="69442C7A"/>
    <w:rsid w:val="6ACE4BFE"/>
    <w:rsid w:val="6B1B6095"/>
    <w:rsid w:val="6CDF6329"/>
    <w:rsid w:val="6DDE08F2"/>
    <w:rsid w:val="6E565636"/>
    <w:rsid w:val="6E9FC573"/>
    <w:rsid w:val="6EB52B32"/>
    <w:rsid w:val="6EFF5CCE"/>
    <w:rsid w:val="6EFF9B2F"/>
    <w:rsid w:val="6F3711E6"/>
    <w:rsid w:val="715440AF"/>
    <w:rsid w:val="71603601"/>
    <w:rsid w:val="71DD7E51"/>
    <w:rsid w:val="734F0FD2"/>
    <w:rsid w:val="74F43CFE"/>
    <w:rsid w:val="76067942"/>
    <w:rsid w:val="77546FF1"/>
    <w:rsid w:val="77CF9686"/>
    <w:rsid w:val="77DB6738"/>
    <w:rsid w:val="788D60F9"/>
    <w:rsid w:val="78AA6CAB"/>
    <w:rsid w:val="78C22246"/>
    <w:rsid w:val="799B093F"/>
    <w:rsid w:val="79ED97A9"/>
    <w:rsid w:val="79FD37D6"/>
    <w:rsid w:val="79FDA7CA"/>
    <w:rsid w:val="7A004F9B"/>
    <w:rsid w:val="7B0A3A31"/>
    <w:rsid w:val="7B160627"/>
    <w:rsid w:val="7BA707D0"/>
    <w:rsid w:val="7BB38031"/>
    <w:rsid w:val="7BB65263"/>
    <w:rsid w:val="7BCE4A5E"/>
    <w:rsid w:val="7BD60C14"/>
    <w:rsid w:val="7BEF9EE2"/>
    <w:rsid w:val="7C6C67D7"/>
    <w:rsid w:val="7CAF93B4"/>
    <w:rsid w:val="7D7F7673"/>
    <w:rsid w:val="7DEF3420"/>
    <w:rsid w:val="7DFBAFF6"/>
    <w:rsid w:val="7DFFA370"/>
    <w:rsid w:val="7E4D4360"/>
    <w:rsid w:val="7EC9380E"/>
    <w:rsid w:val="7F7E1FB1"/>
    <w:rsid w:val="7FA7719A"/>
    <w:rsid w:val="7FBF0F80"/>
    <w:rsid w:val="7FDD8DCA"/>
    <w:rsid w:val="7FED0C2E"/>
    <w:rsid w:val="971AB80A"/>
    <w:rsid w:val="9F2D392F"/>
    <w:rsid w:val="BA59B210"/>
    <w:rsid w:val="BB3EF524"/>
    <w:rsid w:val="BEF72942"/>
    <w:rsid w:val="BF3D9947"/>
    <w:rsid w:val="BFDF81DA"/>
    <w:rsid w:val="CE3F6B3C"/>
    <w:rsid w:val="DCFB6EEB"/>
    <w:rsid w:val="DEFFF38D"/>
    <w:rsid w:val="DFBF6F96"/>
    <w:rsid w:val="E7FF1E6A"/>
    <w:rsid w:val="EBBDE936"/>
    <w:rsid w:val="EBED9401"/>
    <w:rsid w:val="EFBDE45E"/>
    <w:rsid w:val="EFBF1646"/>
    <w:rsid w:val="EFDDEE8B"/>
    <w:rsid w:val="EFDFCB9D"/>
    <w:rsid w:val="EFF39244"/>
    <w:rsid w:val="F57BD167"/>
    <w:rsid w:val="F59775F7"/>
    <w:rsid w:val="F7F76978"/>
    <w:rsid w:val="F7F7DDB4"/>
    <w:rsid w:val="FBFA6B75"/>
    <w:rsid w:val="FEFD097F"/>
    <w:rsid w:val="FFAC0994"/>
    <w:rsid w:val="FFE79E1C"/>
    <w:rsid w:val="FFFF6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6">
    <w:name w:val="heading 1"/>
    <w:basedOn w:val="7"/>
    <w:next w:val="1"/>
    <w:qFormat/>
    <w:uiPriority w:val="0"/>
    <w:pPr>
      <w:tabs>
        <w:tab w:val="right" w:pos="8490"/>
      </w:tabs>
      <w:spacing w:beforeAutospacing="1" w:afterAutospacing="1"/>
      <w:jc w:val="left"/>
      <w:outlineLvl w:val="0"/>
    </w:pPr>
    <w:rPr>
      <w:rFonts w:ascii="宋体" w:hAnsi="宋体" w:eastAsia="宋体" w:cs="Times New Roman"/>
      <w:kern w:val="44"/>
      <w:sz w:val="48"/>
      <w:szCs w:val="48"/>
    </w:rPr>
  </w:style>
  <w:style w:type="paragraph" w:styleId="8">
    <w:name w:val="heading 2"/>
    <w:basedOn w:val="1"/>
    <w:next w:val="1"/>
    <w:link w:val="29"/>
    <w:qFormat/>
    <w:uiPriority w:val="0"/>
    <w:pPr>
      <w:keepNext/>
      <w:keepLines/>
      <w:widowControl w:val="0"/>
      <w:spacing w:line="413" w:lineRule="auto"/>
      <w:outlineLvl w:val="1"/>
    </w:pPr>
    <w:rPr>
      <w:rFonts w:ascii="Arial" w:hAnsi="Arial" w:eastAsia="黑体"/>
      <w:sz w:val="32"/>
    </w:rPr>
  </w:style>
  <w:style w:type="paragraph" w:styleId="9">
    <w:name w:val="heading 3"/>
    <w:basedOn w:val="1"/>
    <w:next w:val="1"/>
    <w:qFormat/>
    <w:uiPriority w:val="0"/>
    <w:pPr>
      <w:spacing w:before="0" w:beforeAutospacing="1" w:after="0" w:afterAutospacing="1"/>
      <w:jc w:val="left"/>
      <w:outlineLvl w:val="2"/>
    </w:pPr>
    <w:rPr>
      <w:rFonts w:ascii="宋体" w:hAnsi="宋体" w:eastAsia="宋体" w:cs="宋体"/>
      <w:b/>
      <w:kern w:val="0"/>
      <w:sz w:val="27"/>
      <w:szCs w:val="27"/>
      <w:lang w:val="en-US" w:eastAsia="zh-CN"/>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200" w:firstLineChars="200"/>
    </w:pPr>
  </w:style>
  <w:style w:type="paragraph" w:styleId="3">
    <w:name w:val="Body Text Indent"/>
    <w:basedOn w:val="1"/>
    <w:next w:val="4"/>
    <w:qFormat/>
    <w:uiPriority w:val="0"/>
    <w:pPr>
      <w:spacing w:after="120"/>
      <w:ind w:left="20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7">
    <w:name w:val="Title"/>
    <w:basedOn w:val="1"/>
    <w:next w:val="1"/>
    <w:qFormat/>
    <w:uiPriority w:val="0"/>
    <w:pPr>
      <w:tabs>
        <w:tab w:val="right" w:pos="8490"/>
      </w:tabs>
      <w:spacing w:before="240" w:after="60"/>
      <w:jc w:val="center"/>
      <w:outlineLvl w:val="0"/>
    </w:pPr>
    <w:rPr>
      <w:rFonts w:ascii="Arial" w:hAnsi="Arial" w:eastAsia="宋体" w:cs="Arial"/>
      <w:b/>
      <w:bCs/>
      <w:snapToGrid w:val="0"/>
      <w:sz w:val="32"/>
      <w:szCs w:val="32"/>
    </w:rPr>
  </w:style>
  <w:style w:type="paragraph" w:styleId="10">
    <w:name w:val="Normal Indent"/>
    <w:basedOn w:val="1"/>
    <w:next w:val="1"/>
    <w:qFormat/>
    <w:uiPriority w:val="0"/>
    <w:pPr>
      <w:ind w:firstLine="200" w:firstLineChars="200"/>
    </w:pPr>
    <w:rPr>
      <w:rFonts w:eastAsia="仿宋"/>
      <w:sz w:val="32"/>
    </w:rPr>
  </w:style>
  <w:style w:type="paragraph" w:styleId="11">
    <w:name w:val="Document Map"/>
    <w:basedOn w:val="1"/>
    <w:qFormat/>
    <w:uiPriority w:val="0"/>
    <w:rPr>
      <w:rFonts w:ascii="宋体" w:eastAsia="宋体"/>
      <w:sz w:val="18"/>
      <w:szCs w:val="18"/>
    </w:rPr>
  </w:style>
  <w:style w:type="paragraph" w:styleId="12">
    <w:name w:val="annotation text"/>
    <w:basedOn w:val="1"/>
    <w:qFormat/>
    <w:uiPriority w:val="0"/>
    <w:pPr>
      <w:jc w:val="left"/>
    </w:pPr>
  </w:style>
  <w:style w:type="paragraph" w:styleId="13">
    <w:name w:val="Body Text"/>
    <w:basedOn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800" w:leftChars="800"/>
    </w:pPr>
  </w:style>
  <w:style w:type="paragraph" w:styleId="15">
    <w:name w:val="Date"/>
    <w:basedOn w:val="1"/>
    <w:next w:val="1"/>
    <w:qFormat/>
    <w:uiPriority w:val="0"/>
    <w:rPr>
      <w:rFonts w:ascii="宋体" w:hAnsi="宋体"/>
      <w:sz w:val="32"/>
      <w:szCs w:val="20"/>
    </w:rPr>
  </w:style>
  <w:style w:type="paragraph" w:styleId="16">
    <w:name w:val="toc 1"/>
    <w:basedOn w:val="1"/>
    <w:next w:val="1"/>
    <w:qFormat/>
    <w:uiPriority w:val="0"/>
  </w:style>
  <w:style w:type="paragraph" w:styleId="17">
    <w:name w:val="toc 2"/>
    <w:basedOn w:val="1"/>
    <w:next w:val="1"/>
    <w:qFormat/>
    <w:uiPriority w:val="0"/>
    <w:pPr>
      <w:ind w:left="200" w:leftChars="200"/>
    </w:pPr>
  </w:style>
  <w:style w:type="paragraph" w:styleId="18">
    <w:name w:val="Body Text 2"/>
    <w:basedOn w:val="1"/>
    <w:qFormat/>
    <w:uiPriority w:val="0"/>
    <w:pPr>
      <w:spacing w:after="120" w:afterAutospacing="0" w:line="480"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rPr>
  </w:style>
  <w:style w:type="paragraph" w:styleId="20">
    <w:name w:val="Normal (Web)"/>
    <w:basedOn w:val="1"/>
    <w:next w:val="1"/>
    <w:qFormat/>
    <w:uiPriority w:val="0"/>
    <w:rPr>
      <w:rFonts w:ascii="Times New Roman" w:hAnsi="Times New Roman" w:cs="Times New Roman"/>
      <w:sz w:val="24"/>
      <w:szCs w:val="24"/>
    </w:rPr>
  </w:style>
  <w:style w:type="paragraph" w:styleId="21">
    <w:name w:val="index 1"/>
    <w:basedOn w:val="1"/>
    <w:next w:val="1"/>
    <w:qFormat/>
    <w:uiPriority w:val="0"/>
    <w:rPr>
      <w:szCs w:val="20"/>
    </w:rPr>
  </w:style>
  <w:style w:type="paragraph" w:styleId="22">
    <w:name w:val="Body Text First Indent"/>
    <w:basedOn w:val="13"/>
    <w:qFormat/>
    <w:uiPriority w:val="0"/>
    <w:pPr>
      <w:widowControl w:val="0"/>
      <w:ind w:firstLine="100" w:firstLineChars="100"/>
      <w:jc w:val="both"/>
    </w:pPr>
    <w:rPr>
      <w:rFonts w:ascii="Times New Roman" w:hAnsi="Times New Roman" w:eastAsia="宋体" w:cs="Times New Roman"/>
      <w:kern w:val="2"/>
      <w:sz w:val="21"/>
      <w:szCs w:val="24"/>
      <w:lang w:val="en-US" w:eastAsia="zh-CN" w:bidi="ar-SA"/>
    </w:r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正文首行缩进 21"/>
    <w:basedOn w:val="28"/>
    <w:next w:val="20"/>
    <w:qFormat/>
    <w:uiPriority w:val="0"/>
    <w:rPr>
      <w:rFonts w:ascii="Calibri" w:hAnsi="Calibri" w:eastAsia="仿宋_GB2312" w:cs="Arial"/>
      <w:sz w:val="32"/>
      <w:szCs w:val="32"/>
    </w:rPr>
  </w:style>
  <w:style w:type="paragraph" w:customStyle="1" w:styleId="28">
    <w:name w:val="正文文本缩进1"/>
    <w:basedOn w:val="1"/>
    <w:qFormat/>
    <w:uiPriority w:val="0"/>
    <w:pPr>
      <w:ind w:left="200" w:leftChars="200"/>
    </w:pPr>
  </w:style>
  <w:style w:type="character" w:customStyle="1" w:styleId="29">
    <w:name w:val="heading 2 Char"/>
    <w:basedOn w:val="24"/>
    <w:link w:val="8"/>
    <w:qFormat/>
    <w:uiPriority w:val="0"/>
    <w:rPr>
      <w:rFonts w:ascii="Arial" w:hAnsi="Arial" w:eastAsia="黑体" w:cs="黑体"/>
      <w:kern w:val="2"/>
      <w:sz w:val="32"/>
      <w:szCs w:val="22"/>
      <w:lang w:val="en-US" w:eastAsia="zh-CN" w:bidi="ar-SA"/>
    </w:rPr>
  </w:style>
  <w:style w:type="paragraph" w:customStyle="1" w:styleId="30">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31">
    <w:name w:val="普通(网站)1"/>
    <w:basedOn w:val="1"/>
    <w:next w:val="1"/>
    <w:qFormat/>
    <w:uiPriority w:val="0"/>
    <w:pPr>
      <w:spacing w:beforeAutospacing="1" w:afterAutospacing="1"/>
      <w:jc w:val="left"/>
    </w:pPr>
    <w:rPr>
      <w:kern w:val="0"/>
      <w:sz w:val="24"/>
    </w:rPr>
  </w:style>
  <w:style w:type="paragraph" w:customStyle="1" w:styleId="32">
    <w:name w:val="Char Char Char Char Char Char Char Char Char Char Char Char1 Char Char Char Char Char Char Char Char Char Char"/>
    <w:basedOn w:val="1"/>
    <w:qFormat/>
    <w:uiPriority w:val="0"/>
    <w:rPr>
      <w:rFonts w:ascii="宋体" w:hAnsi="宋体" w:eastAsia="Times New Roman" w:cs="Times New Roman"/>
      <w:b/>
      <w:kern w:val="0"/>
      <w:sz w:val="28"/>
      <w:szCs w:val="28"/>
    </w:rPr>
  </w:style>
  <w:style w:type="character" w:customStyle="1" w:styleId="33">
    <w:name w:val="样式 仿宋_GB2312 四号"/>
    <w:qFormat/>
    <w:uiPriority w:val="0"/>
    <w:rPr>
      <w:rFonts w:ascii="仿宋_GB2312" w:hAnsi="仿宋_GB2312" w:eastAsia="仿宋_GB2312"/>
      <w:sz w:val="28"/>
    </w:rPr>
  </w:style>
  <w:style w:type="paragraph" w:customStyle="1" w:styleId="34">
    <w:name w:val="Char Char"/>
    <w:basedOn w:val="11"/>
    <w:qFormat/>
    <w:uiPriority w:val="0"/>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List Paragraph"/>
    <w:basedOn w:val="1"/>
    <w:qFormat/>
    <w:uiPriority w:val="0"/>
    <w:pPr>
      <w:ind w:firstLine="200" w:firstLineChars="200"/>
    </w:pPr>
  </w:style>
  <w:style w:type="paragraph" w:customStyle="1" w:styleId="37">
    <w:name w:val="Char Char1"/>
    <w:basedOn w:val="11"/>
    <w:qFormat/>
    <w:uiPriority w:val="0"/>
    <w:rPr>
      <w:rFonts w:hAnsi="Calibri"/>
    </w:rPr>
  </w:style>
  <w:style w:type="paragraph" w:customStyle="1" w:styleId="38">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BodyText"/>
    <w:basedOn w:val="1"/>
    <w:next w:val="1"/>
    <w:qFormat/>
    <w:uiPriority w:val="0"/>
    <w:pPr>
      <w:spacing w:after="120"/>
    </w:pPr>
  </w:style>
  <w:style w:type="paragraph" w:customStyle="1" w:styleId="40">
    <w:name w:val="BodyText1I"/>
    <w:basedOn w:val="39"/>
    <w:next w:val="41"/>
    <w:qFormat/>
    <w:uiPriority w:val="0"/>
    <w:pPr>
      <w:ind w:firstLine="100" w:firstLineChars="100"/>
    </w:pPr>
  </w:style>
  <w:style w:type="paragraph" w:customStyle="1" w:styleId="41">
    <w:name w:val="BodyText1I2"/>
    <w:basedOn w:val="42"/>
    <w:next w:val="40"/>
    <w:qFormat/>
    <w:uiPriority w:val="0"/>
    <w:pPr>
      <w:ind w:firstLine="420"/>
    </w:pPr>
    <w:rPr>
      <w:kern w:val="0"/>
    </w:rPr>
  </w:style>
  <w:style w:type="paragraph" w:customStyle="1" w:styleId="42">
    <w:name w:val="BodyTextIndent"/>
    <w:basedOn w:val="1"/>
    <w:next w:val="43"/>
    <w:qFormat/>
    <w:uiPriority w:val="0"/>
    <w:pPr>
      <w:spacing w:after="120"/>
      <w:ind w:left="200" w:leftChars="200"/>
    </w:pPr>
  </w:style>
  <w:style w:type="paragraph" w:customStyle="1" w:styleId="43">
    <w:name w:val="NormalIndent"/>
    <w:basedOn w:val="1"/>
    <w:qFormat/>
    <w:uiPriority w:val="0"/>
    <w:pPr>
      <w:ind w:firstLine="420"/>
    </w:pPr>
    <w:rPr>
      <w:rFonts w:eastAsia="仿宋"/>
      <w:sz w:val="32"/>
      <w:szCs w:val="32"/>
    </w:rPr>
  </w:style>
  <w:style w:type="paragraph" w:customStyle="1" w:styleId="44">
    <w:name w:val="WPSOffice手动目录 1"/>
    <w:qFormat/>
    <w:uiPriority w:val="0"/>
    <w:rPr>
      <w:rFonts w:ascii="Times New Roman" w:hAnsi="Times New Roman" w:eastAsia="宋体" w:cs="Times New Roman"/>
      <w:sz w:val="20"/>
      <w:szCs w:val="20"/>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customStyle="1" w:styleId="46">
    <w:name w:val="p0"/>
    <w:next w:val="1"/>
    <w:qFormat/>
    <w:uiPriority w:val="0"/>
    <w:pPr>
      <w:widowControl/>
      <w:jc w:val="both"/>
    </w:pPr>
    <w:rPr>
      <w:rFonts w:ascii="Times New Roman" w:hAnsi="Times New Roman" w:eastAsia="宋体" w:cs="Times New Roman"/>
      <w:kern w:val="0"/>
      <w:sz w:val="21"/>
      <w:szCs w:val="21"/>
      <w:lang w:val="en-US" w:eastAsia="zh-CN" w:bidi="ar-SA"/>
    </w:rPr>
  </w:style>
  <w:style w:type="paragraph" w:customStyle="1" w:styleId="47">
    <w:name w:val="Default"/>
    <w:basedOn w:val="48"/>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48">
    <w:name w:val="正文1"/>
    <w:qFormat/>
    <w:uiPriority w:val="0"/>
    <w:pPr>
      <w:widowControl w:val="0"/>
      <w:jc w:val="both"/>
    </w:pPr>
    <w:rPr>
      <w:rFonts w:ascii="等线" w:hAnsi="等线" w:eastAsia="等线" w:cs="宋体"/>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MS</Company>
  <Pages>11</Pages>
  <Words>8593</Words>
  <Characters>8661</Characters>
  <Lines>0</Lines>
  <Paragraphs>53</Paragraphs>
  <TotalTime>13</TotalTime>
  <ScaleCrop>false</ScaleCrop>
  <LinksUpToDate>false</LinksUpToDate>
  <CharactersWithSpaces>8661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2019-11-30T11:29:00Z</dcterms:created>
  <dc:creator>Administrator</dc:creator>
  <cp:lastModifiedBy>交城县政府办公室主任（连育茂）</cp:lastModifiedBy>
  <cp:lastPrinted>2025-03-12T07:56:00Z</cp:lastPrinted>
  <dcterms:modified xsi:type="dcterms:W3CDTF">2025-04-01T04:03:22Z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5946F3CEAD774393BCB1032A5FADACBE_13</vt:lpwstr>
  </property>
  <property fmtid="{D5CDD505-2E9C-101B-9397-08002B2CF9AE}" pid="4" name="KSOTemplateDocerSaveRecord">
    <vt:lpwstr>eyJoZGlkIjoiNmI4NzdiZDdiYzJlMDkwYmQxZThjZjMyYmU1MDg0ZjcifQ==</vt:lpwstr>
  </property>
</Properties>
</file>