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方正大标宋简体"/>
          <w:color w:val="000000"/>
          <w:kern w:val="0"/>
          <w:sz w:val="32"/>
          <w:szCs w:val="32"/>
          <w:highlight w:val="none"/>
          <w:lang w:bidi="ar"/>
        </w:rPr>
      </w:pPr>
      <w:r>
        <w:rPr>
          <w:rFonts w:hint="eastAsia" w:ascii="黑体" w:hAnsi="黑体" w:eastAsia="黑体" w:cs="方正大标宋简体"/>
          <w:color w:val="000000"/>
          <w:kern w:val="0"/>
          <w:sz w:val="32"/>
          <w:szCs w:val="32"/>
          <w:highlight w:val="none"/>
          <w:lang w:bidi="ar"/>
        </w:rPr>
        <w:t>附件1</w:t>
      </w:r>
    </w:p>
    <w:p>
      <w:pPr>
        <w:bidi w:val="0"/>
        <w:rPr>
          <w:rFonts w:hint="eastAsia"/>
          <w:color w:val="000000"/>
          <w:highlight w:val="none"/>
        </w:rPr>
      </w:pPr>
    </w:p>
    <w:p>
      <w:pPr>
        <w:spacing w:line="600" w:lineRule="exact"/>
        <w:jc w:val="center"/>
        <w:rPr>
          <w:rFonts w:hint="eastAsia" w:ascii="方正小标宋简体" w:hAnsi="方正小标宋简体" w:eastAsia="方正小标宋简体" w:cs="方正小标宋简体"/>
          <w:color w:val="000000"/>
          <w:kern w:val="0"/>
          <w:sz w:val="44"/>
          <w:szCs w:val="44"/>
          <w:highlight w:val="none"/>
          <w:lang w:bidi="ar"/>
        </w:rPr>
      </w:pPr>
      <w:bookmarkStart w:id="0" w:name="_GoBack"/>
      <w:r>
        <w:rPr>
          <w:rFonts w:hint="eastAsia" w:ascii="方正小标宋简体" w:hAnsi="方正小标宋简体" w:eastAsia="方正小标宋简体" w:cs="方正小标宋简体"/>
          <w:color w:val="000000"/>
          <w:kern w:val="0"/>
          <w:sz w:val="44"/>
          <w:szCs w:val="44"/>
          <w:highlight w:val="none"/>
          <w:lang w:bidi="ar"/>
        </w:rPr>
        <w:t>需退回原主管部门审批的32项行政审批事项</w:t>
      </w:r>
    </w:p>
    <w:bookmarkEnd w:id="0"/>
    <w:p>
      <w:pPr>
        <w:bidi w:val="0"/>
        <w:rPr>
          <w:rFonts w:hint="eastAsia"/>
          <w:color w:val="000000"/>
          <w:highlight w:val="none"/>
        </w:rPr>
      </w:pPr>
    </w:p>
    <w:tbl>
      <w:tblPr>
        <w:tblStyle w:val="4"/>
        <w:tblW w:w="56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763"/>
        <w:gridCol w:w="1183"/>
        <w:gridCol w:w="808"/>
        <w:gridCol w:w="1400"/>
        <w:gridCol w:w="2797"/>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264" w:type="pct"/>
            <w:tcBorders>
              <w:top w:val="single" w:color="auto" w:sz="4" w:space="0"/>
            </w:tcBorders>
            <w:noWrap w:val="0"/>
            <w:vAlign w:val="center"/>
          </w:tcPr>
          <w:p>
            <w:pPr>
              <w:widowControl/>
              <w:spacing w:line="280" w:lineRule="exact"/>
              <w:jc w:val="center"/>
              <w:textAlignment w:val="center"/>
              <w:rPr>
                <w:rFonts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bidi="ar"/>
              </w:rPr>
              <w:t>序号</w:t>
            </w:r>
          </w:p>
        </w:tc>
        <w:tc>
          <w:tcPr>
            <w:tcW w:w="918" w:type="pct"/>
            <w:tcBorders>
              <w:top w:val="single" w:color="auto" w:sz="4" w:space="0"/>
            </w:tcBorders>
            <w:noWrap w:val="0"/>
            <w:vAlign w:val="center"/>
          </w:tcPr>
          <w:p>
            <w:pPr>
              <w:widowControl/>
              <w:spacing w:line="280" w:lineRule="exact"/>
              <w:jc w:val="center"/>
              <w:textAlignment w:val="center"/>
              <w:rPr>
                <w:rFonts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bidi="ar"/>
              </w:rPr>
              <w:t>许可事项名称</w:t>
            </w:r>
          </w:p>
        </w:tc>
        <w:tc>
          <w:tcPr>
            <w:tcW w:w="616" w:type="pct"/>
            <w:tcBorders>
              <w:top w:val="single" w:color="auto" w:sz="4" w:space="0"/>
            </w:tcBorders>
            <w:noWrap w:val="0"/>
            <w:vAlign w:val="center"/>
          </w:tcPr>
          <w:p>
            <w:pPr>
              <w:widowControl/>
              <w:spacing w:line="280" w:lineRule="exact"/>
              <w:jc w:val="center"/>
              <w:textAlignment w:val="center"/>
              <w:rPr>
                <w:rFonts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bidi="ar"/>
              </w:rPr>
              <w:t>省级业务指导部门</w:t>
            </w:r>
          </w:p>
        </w:tc>
        <w:tc>
          <w:tcPr>
            <w:tcW w:w="420" w:type="pct"/>
            <w:tcBorders>
              <w:top w:val="single" w:color="auto" w:sz="4" w:space="0"/>
            </w:tcBorders>
            <w:noWrap w:val="0"/>
            <w:vAlign w:val="center"/>
          </w:tcPr>
          <w:p>
            <w:pPr>
              <w:widowControl/>
              <w:spacing w:line="280" w:lineRule="exact"/>
              <w:jc w:val="center"/>
              <w:textAlignment w:val="center"/>
              <w:rPr>
                <w:rFonts w:ascii="黑体" w:hAnsi="黑体" w:eastAsia="黑体" w:cs="黑体"/>
                <w:color w:val="000000"/>
                <w:kern w:val="0"/>
                <w:sz w:val="24"/>
                <w:szCs w:val="24"/>
                <w:highlight w:val="none"/>
                <w:lang w:bidi="ar"/>
              </w:rPr>
            </w:pPr>
            <w:r>
              <w:rPr>
                <w:rFonts w:hint="eastAsia" w:ascii="黑体" w:hAnsi="黑体" w:eastAsia="黑体" w:cs="黑体"/>
                <w:color w:val="000000"/>
                <w:kern w:val="0"/>
                <w:sz w:val="24"/>
                <w:szCs w:val="24"/>
                <w:highlight w:val="none"/>
                <w:lang w:bidi="ar"/>
              </w:rPr>
              <w:t>事项类型</w:t>
            </w:r>
          </w:p>
        </w:tc>
        <w:tc>
          <w:tcPr>
            <w:tcW w:w="729" w:type="pct"/>
            <w:tcBorders>
              <w:top w:val="single" w:color="auto" w:sz="4" w:space="0"/>
            </w:tcBorders>
            <w:noWrap w:val="0"/>
            <w:vAlign w:val="center"/>
          </w:tcPr>
          <w:p>
            <w:pPr>
              <w:widowControl/>
              <w:spacing w:line="280" w:lineRule="exact"/>
              <w:jc w:val="center"/>
              <w:textAlignment w:val="center"/>
              <w:rPr>
                <w:rFonts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bidi="ar"/>
              </w:rPr>
              <w:t>实施部门</w:t>
            </w:r>
          </w:p>
        </w:tc>
        <w:tc>
          <w:tcPr>
            <w:tcW w:w="1457" w:type="pct"/>
            <w:tcBorders>
              <w:top w:val="single" w:color="auto" w:sz="4" w:space="0"/>
            </w:tcBorders>
            <w:noWrap w:val="0"/>
            <w:vAlign w:val="center"/>
          </w:tcPr>
          <w:p>
            <w:pPr>
              <w:widowControl/>
              <w:spacing w:line="280" w:lineRule="exact"/>
              <w:jc w:val="center"/>
              <w:textAlignment w:val="center"/>
              <w:rPr>
                <w:rFonts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bidi="ar"/>
              </w:rPr>
              <w:t>设定和实施依据</w:t>
            </w:r>
          </w:p>
        </w:tc>
        <w:tc>
          <w:tcPr>
            <w:tcW w:w="593" w:type="pct"/>
            <w:tcBorders>
              <w:top w:val="single" w:color="auto" w:sz="4" w:space="0"/>
            </w:tcBorders>
            <w:noWrap w:val="0"/>
            <w:vAlign w:val="center"/>
          </w:tcPr>
          <w:p>
            <w:pPr>
              <w:widowControl/>
              <w:spacing w:line="280" w:lineRule="exact"/>
              <w:jc w:val="center"/>
              <w:textAlignment w:val="center"/>
              <w:rPr>
                <w:rFonts w:ascii="黑体" w:hAnsi="黑体" w:eastAsia="黑体" w:cs="黑体"/>
                <w:color w:val="000000"/>
                <w:kern w:val="0"/>
                <w:sz w:val="24"/>
                <w:szCs w:val="24"/>
                <w:highlight w:val="none"/>
                <w:lang w:bidi="ar"/>
              </w:rPr>
            </w:pPr>
            <w:r>
              <w:rPr>
                <w:rFonts w:hint="eastAsia" w:ascii="黑体" w:hAnsi="黑体" w:eastAsia="黑体" w:cs="黑体"/>
                <w:color w:val="000000"/>
                <w:kern w:val="0"/>
                <w:sz w:val="24"/>
                <w:szCs w:val="24"/>
                <w:highlight w:val="none"/>
                <w:lang w:bidi="ar"/>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校车使用许可</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省教育厅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县人民政府（</w:t>
            </w:r>
            <w:r>
              <w:rPr>
                <w:rFonts w:hint="eastAsia" w:ascii="仿宋_GB2312" w:hAnsi="仿宋_GB2312" w:eastAsia="仿宋_GB2312" w:cs="仿宋_GB2312"/>
                <w:color w:val="000000"/>
                <w:kern w:val="0"/>
                <w:sz w:val="24"/>
                <w:szCs w:val="24"/>
                <w:highlight w:val="none"/>
                <w:lang w:eastAsia="zh-CN" w:bidi="ar"/>
              </w:rPr>
              <w:t>由</w:t>
            </w:r>
            <w:r>
              <w:rPr>
                <w:rFonts w:hint="eastAsia" w:ascii="仿宋_GB2312" w:hAnsi="仿宋_GB2312" w:eastAsia="仿宋_GB2312" w:cs="仿宋_GB2312"/>
                <w:color w:val="000000"/>
                <w:kern w:val="0"/>
                <w:sz w:val="24"/>
                <w:szCs w:val="24"/>
                <w:highlight w:val="none"/>
                <w:lang w:bidi="ar"/>
              </w:rPr>
              <w:t>县教育</w:t>
            </w:r>
            <w:r>
              <w:rPr>
                <w:rFonts w:hint="eastAsia" w:ascii="仿宋_GB2312" w:hAnsi="仿宋_GB2312" w:eastAsia="仿宋_GB2312" w:cs="仿宋_GB2312"/>
                <w:color w:val="000000"/>
                <w:kern w:val="0"/>
                <w:sz w:val="24"/>
                <w:szCs w:val="24"/>
                <w:highlight w:val="none"/>
                <w:lang w:eastAsia="zh-CN" w:bidi="ar"/>
              </w:rPr>
              <w:t>科技</w:t>
            </w:r>
            <w:r>
              <w:rPr>
                <w:rFonts w:hint="eastAsia" w:ascii="仿宋_GB2312" w:hAnsi="仿宋_GB2312" w:eastAsia="仿宋_GB2312" w:cs="仿宋_GB2312"/>
                <w:color w:val="000000"/>
                <w:kern w:val="0"/>
                <w:sz w:val="24"/>
                <w:szCs w:val="24"/>
                <w:highlight w:val="none"/>
                <w:lang w:bidi="ar"/>
              </w:rPr>
              <w:t>局承办）</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《校车安全管理条例》</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建设项目用地预审与选址意见书核发</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省自然资源厅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县自然资源局</w:t>
            </w:r>
          </w:p>
        </w:tc>
        <w:tc>
          <w:tcPr>
            <w:tcW w:w="1457" w:type="pct"/>
            <w:noWrap w:val="0"/>
            <w:vAlign w:val="center"/>
          </w:tcPr>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《中华人民共和国城乡规划法》</w:t>
            </w:r>
          </w:p>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《中华人民共和国土地管理法》</w:t>
            </w:r>
          </w:p>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《中华人民共和国土地管理法实施条例》</w:t>
            </w:r>
          </w:p>
          <w:p>
            <w:pPr>
              <w:widowControl/>
              <w:spacing w:line="280" w:lineRule="exact"/>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《建设项目用地预审管理办法》（国土资源部令第68号）</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吕自然资发</w:t>
            </w:r>
            <w:r>
              <w:rPr>
                <w:rFonts w:hint="eastAsia" w:ascii="仿宋_GB2312" w:hAnsi="仿宋_GB2312" w:eastAsia="仿宋_GB2312" w:cs="仿宋_GB2312"/>
                <w:color w:val="000000"/>
                <w:sz w:val="24"/>
                <w:szCs w:val="24"/>
                <w:highlight w:val="none"/>
                <w:shd w:val="clear" w:color="auto" w:fill="FFFFFF"/>
              </w:rPr>
              <w:t>〔2023〕</w:t>
            </w:r>
            <w:r>
              <w:rPr>
                <w:rFonts w:hint="eastAsia" w:ascii="仿宋_GB2312" w:hAnsi="仿宋_GB2312" w:eastAsia="仿宋_GB2312" w:cs="仿宋_GB2312"/>
                <w:color w:val="000000"/>
                <w:kern w:val="0"/>
                <w:sz w:val="24"/>
                <w:szCs w:val="24"/>
                <w:highlight w:val="none"/>
                <w:lang w:bidi="ar"/>
              </w:rPr>
              <w:t>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3</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临时用地审批</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省自然资源厅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县自然资源局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《中华人民共和国土地管理法》</w:t>
            </w:r>
          </w:p>
        </w:tc>
        <w:tc>
          <w:tcPr>
            <w:tcW w:w="593" w:type="pct"/>
            <w:noWrap w:val="0"/>
            <w:vAlign w:val="center"/>
          </w:tcPr>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许可清单、吕自然资发</w:t>
            </w:r>
            <w:r>
              <w:rPr>
                <w:rFonts w:hint="eastAsia" w:ascii="仿宋_GB2312" w:hAnsi="仿宋_GB2312" w:eastAsia="仿宋_GB2312" w:cs="仿宋_GB2312"/>
                <w:color w:val="000000"/>
                <w:sz w:val="24"/>
                <w:szCs w:val="24"/>
                <w:highlight w:val="none"/>
                <w:shd w:val="clear" w:color="auto" w:fill="FFFFFF"/>
              </w:rPr>
              <w:t>〔2023〕</w:t>
            </w:r>
            <w:r>
              <w:rPr>
                <w:rFonts w:hint="eastAsia" w:ascii="仿宋_GB2312" w:hAnsi="仿宋_GB2312" w:eastAsia="仿宋_GB2312" w:cs="仿宋_GB2312"/>
                <w:color w:val="000000"/>
                <w:kern w:val="0"/>
                <w:sz w:val="24"/>
                <w:szCs w:val="24"/>
                <w:highlight w:val="none"/>
                <w:lang w:bidi="ar"/>
              </w:rPr>
              <w:t>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4</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使用低于国家或地方规定的种用标准的农作物种子审批</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省农业农村厅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县人民政府（由县农业农村局承办）</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《中华人民共和国种子法》</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5</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农业植物检疫证书核发</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省农业农村厅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县农业农村局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《植物检疫条例》</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黑体" w:hAnsi="黑体" w:eastAsia="黑体" w:cs="黑体"/>
                <w:color w:val="000000"/>
                <w:sz w:val="32"/>
                <w:szCs w:val="32"/>
                <w:highlight w:val="none"/>
              </w:rPr>
              <mc:AlternateContent>
                <mc:Choice Requires="wps">
                  <w:drawing>
                    <wp:anchor distT="0" distB="0" distL="114300" distR="114300" simplePos="0" relativeHeight="251659264" behindDoc="1" locked="0" layoutInCell="1" allowOverlap="1">
                      <wp:simplePos x="0" y="0"/>
                      <wp:positionH relativeFrom="column">
                        <wp:posOffset>-3791585</wp:posOffset>
                      </wp:positionH>
                      <wp:positionV relativeFrom="paragraph">
                        <wp:posOffset>51435</wp:posOffset>
                      </wp:positionV>
                      <wp:extent cx="3835400" cy="792480"/>
                      <wp:effectExtent l="0" t="0" r="12700" b="7620"/>
                      <wp:wrapNone/>
                      <wp:docPr id="3" name="文本框 3"/>
                      <wp:cNvGraphicFramePr/>
                      <a:graphic xmlns:a="http://schemas.openxmlformats.org/drawingml/2006/main">
                        <a:graphicData uri="http://schemas.microsoft.com/office/word/2010/wordprocessingShape">
                          <wps:wsp>
                            <wps:cNvSpPr txBox="1"/>
                            <wps:spPr>
                              <a:xfrm>
                                <a:off x="-3095625" y="5785485"/>
                                <a:ext cx="3835400" cy="792480"/>
                              </a:xfrm>
                              <a:prstGeom prst="rect">
                                <a:avLst/>
                              </a:prstGeom>
                              <a:gradFill rotWithShape="0">
                                <a:gsLst>
                                  <a:gs pos="0">
                                    <a:srgbClr val="FFFFFF"/>
                                  </a:gs>
                                  <a:gs pos="100000">
                                    <a:srgbClr val="FFFFFF"/>
                                  </a:gs>
                                </a:gsLst>
                                <a:lin ang="0"/>
                                <a:tileRect/>
                              </a:gradFill>
                              <a:ln w="15875">
                                <a:noFill/>
                              </a:ln>
                              <a:effectLst/>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- 3 -</w:t>
                                  </w:r>
                                </w:p>
                              </w:txbxContent>
                            </wps:txbx>
                            <wps:bodyPr vert="eaVert" upright="1"/>
                          </wps:wsp>
                        </a:graphicData>
                      </a:graphic>
                    </wp:anchor>
                  </w:drawing>
                </mc:Choice>
                <mc:Fallback>
                  <w:pict>
                    <v:shape id="_x0000_s1026" o:spid="_x0000_s1026" o:spt="202" type="#_x0000_t202" style="position:absolute;left:0pt;margin-left:-298.55pt;margin-top:4.05pt;height:62.4pt;width:302pt;z-index:-251657216;mso-width-relative:page;mso-height-relative:page;" fillcolor="#FFFFFF" filled="t" stroked="f" coordsize="21600,21600" o:gfxdata="UEsDBAoAAAAAAIdO4kAAAAAAAAAAAAAAAAAEAAAAZHJzL1BLAwQUAAAACACHTuJAr7YiodgAAAAI&#10;AQAADwAAAGRycy9kb3ducmV2LnhtbE2PTU/DMAyG70j8h8hIXNCWdmgfLU0ngQQXxAYDcfZa0xYa&#10;p0qyrfx7zAlOluVHr5+3WI+2V0fyoXNsIJ0moIgrV3fcGHh7vZ+sQIWIXGPvmAx8U4B1eX5WYF67&#10;E7/QcRcbJSEccjTQxjjkWoeqJYth6gZiuX04bzHK6htdezxJuO31LEkW2mLH8qHFge5aqr52B2tg&#10;OW6fP93j9mn0txHnDxu+ek/ZmMuLNLkBFWmMfzD86os6lOK0dweug+oNTObZMhXWwEqGAIsM1F64&#10;61kGuiz0/wLlD1BLAwQUAAAACACHTuJAsZ5J/BsCAAAxBAAADgAAAGRycy9lMm9Eb2MueG1srVNL&#10;btswEN0X6B0I7mPJlhUrguUAreFuirZo+lnTFCUR4A8kbckXaG/QVTfZ91w+R4eUkhopUGRRLaQR&#10;+fhm3pvh+naQAh2ZdVyrCs9nKUZMUV1z1Vb486fdVYGR80TVRGjFKnxiDt9uXr5Y96ZkC91pUTOL&#10;gES5sjcV7rw3ZZI42jFJ3EwbpmCz0VYSD7+2TWpLemCXIlmk6XXSa1sbqylzDla34yaeGO1zCHXT&#10;cMq2mh4kU35ktUwQD5Jcx43Dm1ht0zDq3zeNYx6JCoNSH9+QBOJ9eCebNSlbS0zH6VQCeU4JTzRJ&#10;whUkfaTaEk/QwfK/qCSnVjvd+BnVMhmFREdAxTx94s1dRwyLWsBqZx5Nd/+Plr47frCI1xXOMFJE&#10;QsPPP76ff/46339DWbCnN64E1J0BnB9e6QGG5mHdwWJQPTRWhi/oQbB/laU3+fUix+hU4XxV5Msi&#10;H51mg0cUEFmR5csUmkABsbpZLIvYiuQPlbHOv2FaohBU2EIno8Hk+NZ5KAugD5DJ93rHhUBW+6/c&#10;d9G60OC46eDMGCCjwb1x2dl2/1pYdCQwHLv4hCqBuXWX6Hkansj07yPx5JRKcIVIuFLTjHku2EcQ&#10;MSWwJJYb0giFevA0L1Z5zKF0EDLihAoIFgd50h36MfoeIj/sB4CGcK/rE/QIrjb4xcgX+GJ0MJa3&#10;HSzEniUBB5M0ihynPozq5T/Elzd98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vtiKh2AAAAAgB&#10;AAAPAAAAAAAAAAEAIAAAACIAAABkcnMvZG93bnJldi54bWxQSwECFAAUAAAACACHTuJAsZ5J/BsC&#10;AAAxBAAADgAAAAAAAAABACAAAAAnAQAAZHJzL2Uyb0RvYy54bWxQSwUGAAAAAAYABgBZAQAAtAUA&#10;AAAA&#10;">
                      <v:path/>
                      <v:fill type="gradient" on="t" color2="#FFFFFF" angle="90" focus="100%" focussize="0f,0f">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- 3 -</w:t>
                            </w:r>
                          </w:p>
                        </w:txbxContent>
                      </v:textbox>
                    </v:shape>
                  </w:pict>
                </mc:Fallback>
              </mc:AlternateContent>
            </w:r>
            <w:r>
              <w:rPr>
                <w:rFonts w:hint="eastAsia" w:ascii="仿宋_GB2312" w:hAnsi="仿宋_GB2312" w:eastAsia="仿宋_GB2312" w:cs="仿宋_GB2312"/>
                <w:color w:val="000000"/>
                <w:sz w:val="24"/>
                <w:szCs w:val="24"/>
                <w:highlight w:val="none"/>
              </w:rPr>
              <w:t>6</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农业植物产地检疫合格证签发</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省农业农村厅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县农业农村局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《植物检疫条例》</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color w:val="000000"/>
                <w:sz w:val="24"/>
                <w:highlight w:val="none"/>
              </w:rPr>
              <mc:AlternateContent>
                <mc:Choice Requires="wps">
                  <w:drawing>
                    <wp:anchor distT="0" distB="0" distL="114300" distR="114300" simplePos="0" relativeHeight="251660288" behindDoc="1" locked="0" layoutInCell="1" allowOverlap="1">
                      <wp:simplePos x="0" y="0"/>
                      <wp:positionH relativeFrom="column">
                        <wp:posOffset>-3792855</wp:posOffset>
                      </wp:positionH>
                      <wp:positionV relativeFrom="paragraph">
                        <wp:posOffset>-392430</wp:posOffset>
                      </wp:positionV>
                      <wp:extent cx="3835400" cy="5220970"/>
                      <wp:effectExtent l="0" t="0" r="12700" b="17780"/>
                      <wp:wrapNone/>
                      <wp:docPr id="2" name="文本框 2"/>
                      <wp:cNvGraphicFramePr/>
                      <a:graphic xmlns:a="http://schemas.openxmlformats.org/drawingml/2006/main">
                        <a:graphicData uri="http://schemas.microsoft.com/office/word/2010/wordprocessingShape">
                          <wps:wsp>
                            <wps:cNvSpPr txBox="1"/>
                            <wps:spPr>
                              <a:xfrm>
                                <a:off x="-3086100" y="915035"/>
                                <a:ext cx="3835400" cy="5220970"/>
                              </a:xfrm>
                              <a:prstGeom prst="rect">
                                <a:avLst/>
                              </a:prstGeom>
                              <a:gradFill rotWithShape="0">
                                <a:gsLst>
                                  <a:gs pos="0">
                                    <a:srgbClr val="FFFFFF"/>
                                  </a:gs>
                                  <a:gs pos="100000">
                                    <a:srgbClr val="FFFFFF"/>
                                  </a:gs>
                                </a:gsLst>
                                <a:lin ang="0"/>
                                <a:tileRect/>
                              </a:gradFill>
                              <a:ln w="15875">
                                <a:noFill/>
                              </a:ln>
                              <a:effectLst/>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- 4 -</w:t>
                                  </w:r>
                                </w:p>
                              </w:txbxContent>
                            </wps:txbx>
                            <wps:bodyPr vert="eaVert" upright="1"/>
                          </wps:wsp>
                        </a:graphicData>
                      </a:graphic>
                    </wp:anchor>
                  </w:drawing>
                </mc:Choice>
                <mc:Fallback>
                  <w:pict>
                    <v:shape id="_x0000_s1026" o:spid="_x0000_s1026" o:spt="202" type="#_x0000_t202" style="position:absolute;left:0pt;margin-left:-298.65pt;margin-top:-30.9pt;height:411.1pt;width:302pt;z-index:-251656192;mso-width-relative:page;mso-height-relative:page;" fillcolor="#FFFFFF" filled="t" stroked="f" coordsize="21600,21600" o:gfxdata="UEsDBAoAAAAAAIdO4kAAAAAAAAAAAAAAAAAEAAAAZHJzL1BLAwQUAAAACACHTuJAZ82A0tkAAAAK&#10;AQAADwAAAGRycy9kb3ducmV2LnhtbE2PwU7DMAyG70i8Q2QkLmhLCqyF0nQSSHBBYzAQZ68JbaFx&#10;qiTbyttjTnCz5V+fv79aTm4Qexti70lDNlcgLDXe9NRqeHu9n12BiAnJ4ODJavi2EZb18VGFpfEH&#10;erH7TWoFQyiWqKFLaSyljE1nHca5Hy3x7cMHh4nX0EoT8MBwN8hzpXLpsCf+0OFo7zrbfG12TkMx&#10;rZ8//eN6NYXbhIuHJzp7z0jr05NM3YBIdkp/YfjVZ3Wo2Wnrd2SiGDTMFtfFBWd5yjMuwZG8ALFl&#10;eq4uQdaV/F+h/gFQSwMEFAAAAAgAh07iQCCOKokZAgAAMQQAAA4AAABkcnMvZTJvRG9jLnhtbK1T&#10;zY7TMBC+I/EOlu/bpCnZ7VZNV4KqXBAglp+z6ziJJf/J4zbZF4A34MSFO8/V52DsZJdqkdAeyCGZ&#10;2J+/me+b8fpm0IochQdpTUXns5wSYbitpWkr+unj7mJJCQRmaqasERW9E0BvNs+frXu3EoXtrKqF&#10;J0hiYNW7inYhuFWWAe+EZjCzThjcbKzXLOCvb7Pasx7ZtcqKPL/Meutr5y0XALi6HTfpxOifQmib&#10;RnKxtfyghQkjqxeKBZQEnXRAN6naphE8vGsaEIGoiqLSkN6YBON9fGebNVu1nrlO8qkE9pQSHmnS&#10;TBpM+kC1ZYGRg5d/UWnJvQXbhBm3OhuFJEdQxTx/5M1tx5xIWtBqcA+mw/+j5W+P7z2RdUULSgzT&#10;2PDT92+nH79OP7+SItrTO1gh6tYhLgwv7YBDc78OuBhVD43X8Yt6CO5fLPLl5TxHj+8qej0v80U5&#10;Gi2GQDgCFstF+SLucwSURZFfX6VWZH+onIfwWlhNYlBRj51MBrPjGwhYFkLvIZPv9U4qRbwNX2To&#10;knWxwWkT8MwYEGfRvXEZfLt/pTw5MhyOXXpimcjcwjkaleCTmP59JJ2cUilpCItXapqxIJX4gCKm&#10;BJ6lcmMaZUiPnpbLqzLlMDYKGXHKRIRIgzzpjv0YfY9RGPYDQmO4t/Ud9givNvol2Gf8UnJwXrYd&#10;LqSeZRGHkzSKHKc+jur5P8bnN33z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fNgNLZAAAACgEA&#10;AA8AAAAAAAAAAQAgAAAAIgAAAGRycy9kb3ducmV2LnhtbFBLAQIUABQAAAAIAIdO4kAgjiqJGQIA&#10;ADEEAAAOAAAAAAAAAAEAIAAAACgBAABkcnMvZTJvRG9jLnhtbFBLBQYAAAAABgAGAFkBAACzBQAA&#10;AAA=&#10;">
                      <v:path/>
                      <v:fill type="gradient" on="t" color2="#FFFFFF" angle="90" focus="100%" focussize="0f,0f">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- 4 -</w:t>
                            </w:r>
                          </w:p>
                        </w:txbxContent>
                      </v:textbox>
                    </v:shape>
                  </w:pict>
                </mc:Fallback>
              </mc:AlternateContent>
            </w:r>
            <w:r>
              <w:rPr>
                <w:rFonts w:hint="eastAsia" w:ascii="仿宋_GB2312" w:hAnsi="仿宋_GB2312" w:eastAsia="仿宋_GB2312" w:cs="仿宋_GB2312"/>
                <w:color w:val="000000"/>
                <w:sz w:val="24"/>
                <w:szCs w:val="24"/>
                <w:highlight w:val="none"/>
              </w:rPr>
              <w:t>7</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渔业船舶船员证书核发</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省农业农村厅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县农业农村局</w:t>
            </w:r>
          </w:p>
        </w:tc>
        <w:tc>
          <w:tcPr>
            <w:tcW w:w="1457" w:type="pct"/>
            <w:noWrap w:val="0"/>
            <w:vAlign w:val="center"/>
          </w:tcPr>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《中华人民共和国渔港水域交通安全管理条例》</w:t>
            </w:r>
          </w:p>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《中华人民共和国渔业船员管理办法》（农业部令2014年第4号）</w:t>
            </w:r>
          </w:p>
          <w:p>
            <w:pPr>
              <w:widowControl/>
              <w:spacing w:line="280" w:lineRule="exact"/>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《国家职业资格目录（2021年版）》</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8</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渔业捕捞许可</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省农业农村厅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县农业农村局</w:t>
            </w:r>
          </w:p>
        </w:tc>
        <w:tc>
          <w:tcPr>
            <w:tcW w:w="1457" w:type="pct"/>
            <w:noWrap w:val="0"/>
            <w:vAlign w:val="center"/>
          </w:tcPr>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《中华人民共和国渔业法》</w:t>
            </w:r>
          </w:p>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《中华人民共和国渔业法实施细则》</w:t>
            </w:r>
          </w:p>
          <w:p>
            <w:pPr>
              <w:widowControl/>
              <w:spacing w:line="280" w:lineRule="exact"/>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《渔业捕捞许可管理规定》（农业农村部令2018年第1号）</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9</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渔港内新建、改建、扩建设施或者其他水上、水下施工审批</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省农业农村厅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县农业农村局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《中华人民共和国渔港水域交通安全管理条例》</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10</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渔港内易燃、易爆、有毒等危险品装卸审批</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省农业农村厅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县农业农村局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《中华人民共和国渔港水域交通安全管理条例》</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11</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渔业船舶国籍登记</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省农业农村厅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县农业农村局</w:t>
            </w:r>
          </w:p>
        </w:tc>
        <w:tc>
          <w:tcPr>
            <w:tcW w:w="1457" w:type="pct"/>
            <w:noWrap w:val="0"/>
            <w:vAlign w:val="center"/>
          </w:tcPr>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《中华人民共和国船舶登记条例》</w:t>
            </w:r>
          </w:p>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《中华人民共和国渔港水域交通安全管理条例》</w:t>
            </w:r>
          </w:p>
          <w:p>
            <w:pPr>
              <w:widowControl/>
              <w:spacing w:line="280" w:lineRule="exact"/>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《中华人民共和国渔业船舶登记办法》（农业部令2012年第8号）</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12</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文艺表演团体设立审批</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省文旅厅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县文旅局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《营业性演出管理条例》</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13</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互联网上网服务营业场所筹建审批</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省文旅厅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县文旅局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《互联网上网服务营业场所管理条例》</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14</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单采血浆站设置审批</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省卫健委</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省卫健委（由县卫健局初审）</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《血液制品管理条例》</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15</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确有专长的中医医师资格认定</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省卫健委</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省卫健委（由县卫健局受理并逐级上报）</w:t>
            </w:r>
          </w:p>
        </w:tc>
        <w:tc>
          <w:tcPr>
            <w:tcW w:w="1457" w:type="pct"/>
            <w:noWrap w:val="0"/>
            <w:vAlign w:val="center"/>
          </w:tcPr>
          <w:p>
            <w:pPr>
              <w:widowControl/>
              <w:spacing w:line="280" w:lineRule="exact"/>
              <w:jc w:val="both"/>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《中华人民共和国中医药法》</w:t>
            </w:r>
          </w:p>
          <w:p>
            <w:pPr>
              <w:widowControl/>
              <w:spacing w:line="280" w:lineRule="exact"/>
              <w:jc w:val="both"/>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《中医医术确有专长人员医师资格考核注册管理暂行办法》（国家卫生和计划生育委员会令第15号）</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16</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确有专长的中医医师执业注册</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省卫健委</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县卫健局</w:t>
            </w:r>
          </w:p>
        </w:tc>
        <w:tc>
          <w:tcPr>
            <w:tcW w:w="1457" w:type="pct"/>
            <w:noWrap w:val="0"/>
            <w:vAlign w:val="center"/>
          </w:tcPr>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《中华人民共和国中医药法》</w:t>
            </w:r>
          </w:p>
          <w:p>
            <w:pPr>
              <w:widowControl/>
              <w:spacing w:line="280" w:lineRule="exact"/>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《中医医术确有专长人员医师资格考核注册管理暂行办法》（国家卫生和计划生育委员会令第15号）</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17</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金属冶炼建设项目安全设施设计审查</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省应急厅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县应急局</w:t>
            </w:r>
          </w:p>
        </w:tc>
        <w:tc>
          <w:tcPr>
            <w:tcW w:w="1457" w:type="pct"/>
            <w:noWrap w:val="0"/>
            <w:vAlign w:val="center"/>
          </w:tcPr>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《中华人民共和国安全生产法》</w:t>
            </w:r>
          </w:p>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《建设项目安全设施“三同时</w:t>
            </w:r>
            <w:r>
              <w:rPr>
                <w:rFonts w:hint="eastAsia" w:ascii="仿宋_GB2312" w:hAnsi="仿宋_GB2312" w:eastAsia="仿宋_GB2312" w:cs="仿宋_GB2312"/>
                <w:color w:val="000000"/>
                <w:kern w:val="0"/>
                <w:sz w:val="24"/>
                <w:szCs w:val="24"/>
                <w:highlight w:val="none"/>
                <w:lang w:eastAsia="zh-CN" w:bidi="ar"/>
              </w:rPr>
              <w:t>”</w:t>
            </w:r>
            <w:r>
              <w:rPr>
                <w:rFonts w:hint="eastAsia" w:ascii="仿宋_GB2312" w:hAnsi="仿宋_GB2312" w:eastAsia="仿宋_GB2312" w:cs="仿宋_GB2312"/>
                <w:color w:val="000000"/>
                <w:kern w:val="0"/>
                <w:sz w:val="24"/>
                <w:szCs w:val="24"/>
                <w:highlight w:val="none"/>
                <w:lang w:bidi="ar"/>
              </w:rPr>
              <w:t>监督管理办法》（国家安全生产监督管理总局令第36号，国家安全生产监督管理总局令第77号修正）</w:t>
            </w:r>
          </w:p>
          <w:p>
            <w:pPr>
              <w:widowControl/>
              <w:spacing w:line="280" w:lineRule="exact"/>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《冶金企业和有色金属企业安全生产规定》（国家安全生产监督管理总局令第91号）</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5"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黑体" w:hAnsi="黑体" w:eastAsia="黑体" w:cs="黑体"/>
                <w:color w:val="000000"/>
                <w:sz w:val="32"/>
                <w:szCs w:val="32"/>
                <w:highlight w:val="none"/>
              </w:rPr>
              <mc:AlternateContent>
                <mc:Choice Requires="wps">
                  <w:drawing>
                    <wp:anchor distT="0" distB="0" distL="114300" distR="114300" simplePos="0" relativeHeight="251661312" behindDoc="1" locked="0" layoutInCell="1" allowOverlap="1">
                      <wp:simplePos x="0" y="0"/>
                      <wp:positionH relativeFrom="column">
                        <wp:posOffset>-3791585</wp:posOffset>
                      </wp:positionH>
                      <wp:positionV relativeFrom="paragraph">
                        <wp:posOffset>817880</wp:posOffset>
                      </wp:positionV>
                      <wp:extent cx="3835400" cy="792480"/>
                      <wp:effectExtent l="0" t="0" r="12700" b="7620"/>
                      <wp:wrapNone/>
                      <wp:docPr id="1" name="文本框 1"/>
                      <wp:cNvGraphicFramePr/>
                      <a:graphic xmlns:a="http://schemas.openxmlformats.org/drawingml/2006/main">
                        <a:graphicData uri="http://schemas.microsoft.com/office/word/2010/wordprocessingShape">
                          <wps:wsp>
                            <wps:cNvSpPr txBox="1"/>
                            <wps:spPr>
                              <a:xfrm>
                                <a:off x="-3095625" y="5785485"/>
                                <a:ext cx="3835400" cy="792480"/>
                              </a:xfrm>
                              <a:prstGeom prst="rect">
                                <a:avLst/>
                              </a:prstGeom>
                              <a:gradFill rotWithShape="0">
                                <a:gsLst>
                                  <a:gs pos="0">
                                    <a:srgbClr val="FFFFFF"/>
                                  </a:gs>
                                  <a:gs pos="100000">
                                    <a:srgbClr val="FFFFFF"/>
                                  </a:gs>
                                </a:gsLst>
                                <a:lin ang="0"/>
                                <a:tileRect/>
                              </a:gradFill>
                              <a:ln w="15875">
                                <a:noFill/>
                              </a:ln>
                              <a:effectLst/>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- 5 -</w:t>
                                  </w:r>
                                </w:p>
                              </w:txbxContent>
                            </wps:txbx>
                            <wps:bodyPr vert="eaVert" upright="1"/>
                          </wps:wsp>
                        </a:graphicData>
                      </a:graphic>
                    </wp:anchor>
                  </w:drawing>
                </mc:Choice>
                <mc:Fallback>
                  <w:pict>
                    <v:shape id="_x0000_s1026" o:spid="_x0000_s1026" o:spt="202" type="#_x0000_t202" style="position:absolute;left:0pt;margin-left:-298.55pt;margin-top:64.4pt;height:62.4pt;width:302pt;z-index:-251655168;mso-width-relative:page;mso-height-relative:page;" fillcolor="#FFFFFF" filled="t" stroked="f" coordsize="21600,21600" o:gfxdata="UEsDBAoAAAAAAIdO4kAAAAAAAAAAAAAAAAAEAAAAZHJzL1BLAwQUAAAACACHTuJAqaKpt9kAAAAK&#10;AQAADwAAAGRycy9kb3ducmV2LnhtbE2PwU7DMBBE70j8g7VIXFDrJChpG+JUAgkuiBYK4ryNTRKI&#10;15HttuHvWU5wXM3T7JtqPdlBHI0PvSMF6TwBYahxuqdWwdvr/WwJIkQkjYMjo+DbBFjX52cVltqd&#10;6MUcd7EVXEKhRAVdjGMpZWg6YzHM3WiIsw/nLUY+fSu1xxOX20FmSVJIiz3xhw5Hc9eZ5mt3sAoW&#10;0/b50z1unyZ/GzF/2NDVe0pKXV6kyQ2IaKb4B8OvPqtDzU57dyAdxKBglq8WKbOcZEsewUixArFX&#10;kOXXBci6kv8n1D9QSwMEFAAAAAgAh07iQEAb7asaAgAAMQQAAA4AAABkcnMvZTJvRG9jLnhtbK1T&#10;y47TMBTdI/EPlvfTpI9MM1XTkaAqGwSIgWHtOk5iyS/ZbpP+APwBKzbs+a5+B9d2ZqgGCc2CLJIb&#10;+/jce869Xt8OUqAjs45rVeHpJMeIKaprrtoKf/60uyoxcp6omgitWIVPzOHbzcsX696s2Ex3WtTM&#10;IiBRbtWbCnfem1WWOdoxSdxEG6Zgs9FWEg+/ts1qS3pglyKb5fl11mtbG6spcw5Wt2kTj4z2OYS6&#10;aThlW00PkimfWC0TxIMk13Hj8CZW2zSM+vdN45hHosKg1Mc3JIF4H97ZZk1WrSWm43QsgTynhCea&#10;JOEKkj5SbYkn6GD5X1SSU6udbvyEapklIdERUDHNn3hz1xHDohaw2plH093/o6Xvjh8s4jVMAkaK&#10;SGj4+fu3849f559f0TTY0xu3AtSdAZwfXukhQMd1B4tB9dBYGb6gB8H+1Ty/Ka5nBUanChfLsliU&#10;RXKaDR5RQMzLebHIoQkUEMub2aKMrcj+UBnr/BumJQpBhS10MhpMjm+dh/QAfYCMvtc7LgSy2n/h&#10;vovWhQbHTQdnUoCMBvfSsrPt/rWw6EhgOHbxCVUCc+su0dM8PJHp30fiyTGV4AqRcKXGGfNcsI8g&#10;YkxgSSw3pBEK9eBpUS6LmEPpICThhAoIFgd51B36kXwPkR/2A0BDuNf1CXoEVxv8YuQevhgdjOVt&#10;BwuxZ1nAwSQlkWnqw6he/kN8edM3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oqm32QAAAAoB&#10;AAAPAAAAAAAAAAEAIAAAACIAAABkcnMvZG93bnJldi54bWxQSwECFAAUAAAACACHTuJAQBvtqxoC&#10;AAAxBAAADgAAAAAAAAABACAAAAAoAQAAZHJzL2Uyb0RvYy54bWxQSwUGAAAAAAYABgBZAQAAtAUA&#10;AAAA&#10;">
                      <v:path/>
                      <v:fill type="gradient" on="t" color2="#FFFFFF" angle="90" focus="100%" focussize="0f,0f">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- 5 -</w:t>
                            </w:r>
                          </w:p>
                        </w:txbxContent>
                      </v:textbox>
                    </v:shape>
                  </w:pict>
                </mc:Fallback>
              </mc:AlternateContent>
            </w:r>
            <w:r>
              <w:rPr>
                <w:rFonts w:hint="eastAsia" w:ascii="仿宋_GB2312" w:hAnsi="仿宋_GB2312" w:eastAsia="仿宋_GB2312" w:cs="仿宋_GB2312"/>
                <w:color w:val="000000"/>
                <w:sz w:val="24"/>
                <w:szCs w:val="24"/>
                <w:highlight w:val="none"/>
              </w:rPr>
              <w:t>18</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危险化学品经营许可</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省应急厅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县应急局</w:t>
            </w:r>
          </w:p>
        </w:tc>
        <w:tc>
          <w:tcPr>
            <w:tcW w:w="1457" w:type="pct"/>
            <w:noWrap w:val="0"/>
            <w:vAlign w:val="center"/>
          </w:tcPr>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《危险化学品安全管理条例》</w:t>
            </w:r>
          </w:p>
          <w:p>
            <w:pPr>
              <w:widowControl/>
              <w:spacing w:line="280" w:lineRule="exact"/>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《危险化学品经营许可证管理办法》（国家安全生产监督管理总局令第55号，国家安全生产监督管理总局令第79号修正）</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5"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19</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矿山建设项目安全设施设计审查</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省应急厅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县应急局</w:t>
            </w:r>
          </w:p>
        </w:tc>
        <w:tc>
          <w:tcPr>
            <w:tcW w:w="1457" w:type="pct"/>
            <w:noWrap w:val="0"/>
            <w:vAlign w:val="center"/>
          </w:tcPr>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《中华人民共和国安全生产法》</w:t>
            </w:r>
          </w:p>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《煤矿安全监察条例》</w:t>
            </w:r>
          </w:p>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《煤矿建设项目安全设施监察规定》（国家安全生产监督管理总局令第6号）</w:t>
            </w:r>
          </w:p>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《建设项目安全设施“三同时</w:t>
            </w:r>
            <w:r>
              <w:rPr>
                <w:rFonts w:hint="eastAsia" w:ascii="仿宋_GB2312" w:hAnsi="仿宋_GB2312" w:eastAsia="仿宋_GB2312" w:cs="仿宋_GB2312"/>
                <w:color w:val="000000"/>
                <w:kern w:val="0"/>
                <w:sz w:val="24"/>
                <w:szCs w:val="24"/>
                <w:highlight w:val="none"/>
                <w:lang w:eastAsia="zh-CN" w:bidi="ar"/>
              </w:rPr>
              <w:t>”</w:t>
            </w:r>
            <w:r>
              <w:rPr>
                <w:rFonts w:hint="eastAsia" w:ascii="仿宋_GB2312" w:hAnsi="仿宋_GB2312" w:eastAsia="仿宋_GB2312" w:cs="仿宋_GB2312"/>
                <w:color w:val="000000"/>
                <w:kern w:val="0"/>
                <w:sz w:val="24"/>
                <w:szCs w:val="24"/>
                <w:highlight w:val="none"/>
                <w:lang w:bidi="ar"/>
              </w:rPr>
              <w:t>监督管理办法》（国家安全生产监督管理总局令第36号，国家安全生产监督管理总局令第77号修正）</w:t>
            </w:r>
          </w:p>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《国家安全监管总局办公厅关于切实做好国家取消和下放投资审批有关建设项目安全监管工作的通知》（安监总厅政法〔2013〕120号）</w:t>
            </w:r>
          </w:p>
          <w:p>
            <w:pPr>
              <w:widowControl/>
              <w:spacing w:line="280" w:lineRule="exact"/>
              <w:jc w:val="left"/>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《国家安全监管总局办公厅关于明确非煤矿山建设项目安全监管职责等事项的通知》（安监总厅管一〔2013〕143号）</w:t>
            </w:r>
          </w:p>
          <w:p>
            <w:pPr>
              <w:widowControl/>
              <w:spacing w:line="280" w:lineRule="exact"/>
              <w:jc w:val="left"/>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《中华人民共和国应急管理部公告》（2021年第1号）</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20</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乡镇设立广播电视站和机关、部队、团体、企业事业单位设立有线广播电视站审批</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省广电局</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省广电局（由县文旅局初审）</w:t>
            </w:r>
          </w:p>
        </w:tc>
        <w:tc>
          <w:tcPr>
            <w:tcW w:w="1457" w:type="pct"/>
            <w:noWrap w:val="0"/>
            <w:vAlign w:val="center"/>
          </w:tcPr>
          <w:p>
            <w:pPr>
              <w:widowControl/>
              <w:spacing w:line="280" w:lineRule="exact"/>
              <w:jc w:val="both"/>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《广播电视管理条例》</w:t>
            </w:r>
          </w:p>
          <w:p>
            <w:pPr>
              <w:widowControl/>
              <w:spacing w:line="280" w:lineRule="exact"/>
              <w:jc w:val="both"/>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《广播电视站审批管理暂行规定》（国家广播电影电视总局令第32号）</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21</w:t>
            </w:r>
            <w:r>
              <w:rPr>
                <w:color w:val="000000"/>
                <w:sz w:val="24"/>
                <w:highlight w:val="none"/>
              </w:rPr>
              <mc:AlternateContent>
                <mc:Choice Requires="wps">
                  <w:drawing>
                    <wp:anchor distT="0" distB="0" distL="114300" distR="114300" simplePos="0" relativeHeight="251662336" behindDoc="1" locked="0" layoutInCell="1" allowOverlap="1">
                      <wp:simplePos x="0" y="0"/>
                      <wp:positionH relativeFrom="column">
                        <wp:posOffset>-3792855</wp:posOffset>
                      </wp:positionH>
                      <wp:positionV relativeFrom="paragraph">
                        <wp:posOffset>-4653280</wp:posOffset>
                      </wp:positionV>
                      <wp:extent cx="3835400" cy="5220970"/>
                      <wp:effectExtent l="0" t="0" r="12700" b="17780"/>
                      <wp:wrapNone/>
                      <wp:docPr id="6" name="文本框 6"/>
                      <wp:cNvGraphicFramePr/>
                      <a:graphic xmlns:a="http://schemas.openxmlformats.org/drawingml/2006/main">
                        <a:graphicData uri="http://schemas.microsoft.com/office/word/2010/wordprocessingShape">
                          <wps:wsp>
                            <wps:cNvSpPr txBox="1"/>
                            <wps:spPr>
                              <a:xfrm>
                                <a:off x="-3086100" y="915035"/>
                                <a:ext cx="3835400" cy="5220970"/>
                              </a:xfrm>
                              <a:prstGeom prst="rect">
                                <a:avLst/>
                              </a:prstGeom>
                              <a:gradFill rotWithShape="0">
                                <a:gsLst>
                                  <a:gs pos="0">
                                    <a:srgbClr val="FFFFFF"/>
                                  </a:gs>
                                  <a:gs pos="100000">
                                    <a:srgbClr val="FFFFFF"/>
                                  </a:gs>
                                </a:gsLst>
                                <a:lin ang="0"/>
                                <a:tileRect/>
                              </a:gradFill>
                              <a:ln w="15875">
                                <a:noFill/>
                              </a:ln>
                              <a:effectLst/>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- 6 -</w:t>
                                  </w:r>
                                </w:p>
                              </w:txbxContent>
                            </wps:txbx>
                            <wps:bodyPr vert="eaVert" upright="1"/>
                          </wps:wsp>
                        </a:graphicData>
                      </a:graphic>
                    </wp:anchor>
                  </w:drawing>
                </mc:Choice>
                <mc:Fallback>
                  <w:pict>
                    <v:shape id="_x0000_s1026" o:spid="_x0000_s1026" o:spt="202" type="#_x0000_t202" style="position:absolute;left:0pt;margin-left:-298.65pt;margin-top:-366.4pt;height:411.1pt;width:302pt;z-index:-251654144;mso-width-relative:page;mso-height-relative:page;" fillcolor="#FFFFFF" filled="t" stroked="f" coordsize="21600,21600" o:gfxdata="UEsDBAoAAAAAAIdO4kAAAAAAAAAAAAAAAAAEAAAAZHJzL1BLAwQUAAAACACHTuJAEu97ldsAAAAK&#10;AQAADwAAAGRycy9kb3ducmV2LnhtbE2PTU/DMAyG70j8h8hIXNCWdmPrVppOAgkuaOwDxDlrTFto&#10;nCrJtvLvMSe42fKj189brAbbiRP60DpSkI4TEEiVMy3VCt5eH0cLECFqMrpzhAq+McCqvLwodG7c&#10;mXZ42sdacAiFXCtoYuxzKUPVoNVh7Hokvn04b3Xk1dfSeH3mcNvJSZLMpdUt8YdG9/jQYPW1P1oF&#10;2bDZfrrnzXrw91HPnl7o5j0lpa6v0uQORMQh/sHwq8/qULLTwR3JBNEpGM2W2ZRZnrLphFswM89A&#10;HBQslrcgy0L+r1D+AFBLAwQUAAAACACHTuJAwoVjJhkCAAAxBAAADgAAAGRycy9lMm9Eb2MueG1s&#10;rVPNjtMwEL4j8Q6W79ukLel2q6YrQVUuCBDLz9l1nMSS/+Rxm/QF4A04ceHOc/U5GDvZpVoktAdy&#10;SCb252/m+2a8vu21IkfhQVpT0ukkp0QYbitpmpJ++ri7WlICgZmKKWtESU8C6O3m+bN151ZiZlur&#10;KuEJkhhYda6kbQhulWXAW6EZTKwTBjdr6zUL+OubrPKsQ3atslmeL7LO+sp5ywUArm6HTToy+qcQ&#10;2rqWXGwtP2hhwsDqhWIBJUErHdBNqrauBQ/v6hpEIKqkqDSkNybBeB/f2WbNVo1nrpV8LIE9pYRH&#10;mjSTBpM+UG1ZYOTg5V9UWnJvwdZhwq3OBiHJEVQxzR95c9cyJ5IWtBrcg+nw/2j52+N7T2RV0gUl&#10;hmls+Pn7t/OPX+efX8ki2tM5WCHqziEu9C9tj0Nzvw64GFX3tdfxi3oI7l/N8+VimqPHp5LeTIt8&#10;XgxGiz4QjoD5cl68iPscAcVslt9cp1Zkf6ich/BaWE1iUFKPnUwGs+MbCFgWQu8ho+/VTipFvA1f&#10;ZGiTdbHBaRPwzBAQZ9G9YRl8s3+lPDkyHI5demKZyNzAJRqV4JOY/n0knRxTKWkIi1dqnLEglfiA&#10;IsYEnqVyYxplSIeeFsvrIuUwNgoZcMpEhEiDPOqO/Rh8j1Ho9z1CY7i31Ql7hFcb/RLsM34pOTgv&#10;mxYXUs+yiMNJGkQOUx9H9fIf48ubvvk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u97ldsAAAAK&#10;AQAADwAAAAAAAAABACAAAAAiAAAAZHJzL2Rvd25yZXYueG1sUEsBAhQAFAAAAAgAh07iQMKFYyYZ&#10;AgAAMQQAAA4AAAAAAAAAAQAgAAAAKgEAAGRycy9lMm9Eb2MueG1sUEsFBgAAAAAGAAYAWQEAALUF&#10;AAAAAA==&#10;">
                      <v:path/>
                      <v:fill type="gradient" on="t" color2="#FFFFFF" angle="90" focus="100%" focussize="0f,0f">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- 6 -</w:t>
                            </w:r>
                          </w:p>
                        </w:txbxContent>
                      </v:textbox>
                    </v:shape>
                  </w:pict>
                </mc:Fallback>
              </mc:AlternateConten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有线广播电视传输覆盖网工程验收审核</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省广电局</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县文旅局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《广播电视管理条例》</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22</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林草植物检疫证书核发</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省林草局</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县林业局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《植物检疫条例》</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吕自然资发</w:t>
            </w:r>
            <w:r>
              <w:rPr>
                <w:rFonts w:hint="eastAsia" w:ascii="仿宋_GB2312" w:hAnsi="仿宋_GB2312" w:eastAsia="仿宋_GB2312" w:cs="仿宋_GB2312"/>
                <w:color w:val="000000"/>
                <w:sz w:val="24"/>
                <w:szCs w:val="24"/>
                <w:highlight w:val="none"/>
                <w:shd w:val="clear" w:color="auto" w:fill="FFFFFF"/>
              </w:rPr>
              <w:t>〔2023〕</w:t>
            </w:r>
            <w:r>
              <w:rPr>
                <w:rFonts w:hint="eastAsia" w:ascii="仿宋_GB2312" w:hAnsi="仿宋_GB2312" w:eastAsia="仿宋_GB2312" w:cs="仿宋_GB2312"/>
                <w:color w:val="000000"/>
                <w:kern w:val="0"/>
                <w:sz w:val="24"/>
                <w:szCs w:val="24"/>
                <w:highlight w:val="none"/>
                <w:lang w:bidi="ar"/>
              </w:rPr>
              <w:t>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23</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进入森林高火险区、草原防火管制区审批</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省林草局</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县人民政府（</w:t>
            </w:r>
            <w:r>
              <w:rPr>
                <w:rFonts w:hint="eastAsia" w:ascii="仿宋_GB2312" w:hAnsi="仿宋_GB2312" w:eastAsia="仿宋_GB2312" w:cs="仿宋_GB2312"/>
                <w:color w:val="000000"/>
                <w:kern w:val="0"/>
                <w:sz w:val="24"/>
                <w:szCs w:val="24"/>
                <w:highlight w:val="none"/>
                <w:lang w:eastAsia="zh-CN" w:bidi="ar"/>
              </w:rPr>
              <w:t>由</w:t>
            </w:r>
            <w:r>
              <w:rPr>
                <w:rFonts w:hint="eastAsia" w:ascii="仿宋_GB2312" w:hAnsi="仿宋_GB2312" w:eastAsia="仿宋_GB2312" w:cs="仿宋_GB2312"/>
                <w:color w:val="000000"/>
                <w:kern w:val="0"/>
                <w:sz w:val="24"/>
                <w:szCs w:val="24"/>
                <w:highlight w:val="none"/>
                <w:lang w:bidi="ar"/>
              </w:rPr>
              <w:t>县林业局承办）</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《森林防火条例》</w:t>
            </w:r>
          </w:p>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《草原防火条例》</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吕自然资发</w:t>
            </w:r>
            <w:r>
              <w:rPr>
                <w:rFonts w:hint="eastAsia" w:ascii="仿宋_GB2312" w:hAnsi="仿宋_GB2312" w:eastAsia="仿宋_GB2312" w:cs="仿宋_GB2312"/>
                <w:color w:val="000000"/>
                <w:sz w:val="24"/>
                <w:szCs w:val="24"/>
                <w:highlight w:val="none"/>
                <w:shd w:val="clear" w:color="auto" w:fill="FFFFFF"/>
              </w:rPr>
              <w:t>〔2023〕</w:t>
            </w:r>
            <w:r>
              <w:rPr>
                <w:rFonts w:hint="eastAsia" w:ascii="仿宋_GB2312" w:hAnsi="仿宋_GB2312" w:eastAsia="仿宋_GB2312" w:cs="仿宋_GB2312"/>
                <w:color w:val="000000"/>
                <w:kern w:val="0"/>
                <w:sz w:val="24"/>
                <w:szCs w:val="24"/>
                <w:highlight w:val="none"/>
                <w:lang w:bidi="ar"/>
              </w:rPr>
              <w:t>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24</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出版物零售业务经营许可</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省新闻出版局</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eastAsia="zh-CN" w:bidi="ar"/>
              </w:rPr>
              <w:t>县委</w:t>
            </w:r>
            <w:r>
              <w:rPr>
                <w:rFonts w:hint="eastAsia" w:ascii="仿宋_GB2312" w:hAnsi="仿宋_GB2312" w:eastAsia="仿宋_GB2312" w:cs="仿宋_GB2312"/>
                <w:color w:val="000000"/>
                <w:kern w:val="0"/>
                <w:sz w:val="24"/>
                <w:szCs w:val="24"/>
                <w:highlight w:val="none"/>
                <w:lang w:bidi="ar"/>
              </w:rPr>
              <w:t>宣传部</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《出版管理条例》</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许可清单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25</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建设用地、临时建设用地规划许可</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省自然资源厅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县自然资源局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《中华人民共和国城乡规划法》</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吕自然资发</w:t>
            </w:r>
            <w:r>
              <w:rPr>
                <w:rFonts w:hint="eastAsia" w:ascii="仿宋_GB2312" w:hAnsi="仿宋_GB2312" w:eastAsia="仿宋_GB2312" w:cs="仿宋_GB2312"/>
                <w:color w:val="000000"/>
                <w:sz w:val="24"/>
                <w:szCs w:val="24"/>
                <w:highlight w:val="none"/>
                <w:shd w:val="clear" w:color="auto" w:fill="FFFFFF"/>
              </w:rPr>
              <w:t>〔2023〕</w:t>
            </w:r>
            <w:r>
              <w:rPr>
                <w:rFonts w:hint="eastAsia" w:ascii="仿宋_GB2312" w:hAnsi="仿宋_GB2312" w:eastAsia="仿宋_GB2312" w:cs="仿宋_GB2312"/>
                <w:color w:val="000000"/>
                <w:kern w:val="0"/>
                <w:sz w:val="24"/>
                <w:szCs w:val="24"/>
                <w:highlight w:val="none"/>
                <w:lang w:bidi="ar"/>
              </w:rPr>
              <w:t>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26</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林木采伐许可证核发</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省林草局</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县林业局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《中华人民共和国森林法》</w:t>
            </w:r>
          </w:p>
          <w:p>
            <w:pPr>
              <w:widowControl/>
              <w:spacing w:line="280" w:lineRule="exact"/>
              <w:jc w:val="center"/>
              <w:textAlignment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bidi="ar"/>
              </w:rPr>
              <w:t>《中华人民共和国森林法实施条例》</w:t>
            </w: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吕自然资发</w:t>
            </w:r>
            <w:r>
              <w:rPr>
                <w:rFonts w:hint="eastAsia" w:ascii="仿宋_GB2312" w:hAnsi="仿宋_GB2312" w:eastAsia="仿宋_GB2312" w:cs="仿宋_GB2312"/>
                <w:color w:val="000000"/>
                <w:sz w:val="24"/>
                <w:szCs w:val="24"/>
                <w:highlight w:val="none"/>
                <w:shd w:val="clear" w:color="auto" w:fill="FFFFFF"/>
              </w:rPr>
              <w:t>〔2023〕</w:t>
            </w:r>
            <w:r>
              <w:rPr>
                <w:rFonts w:hint="eastAsia" w:ascii="仿宋_GB2312" w:hAnsi="仿宋_GB2312" w:eastAsia="仿宋_GB2312" w:cs="仿宋_GB2312"/>
                <w:color w:val="000000"/>
                <w:kern w:val="0"/>
                <w:sz w:val="24"/>
                <w:szCs w:val="24"/>
                <w:highlight w:val="none"/>
                <w:lang w:bidi="ar"/>
              </w:rPr>
              <w:t>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27</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森林经营单位修筑直接为林业生产服务工程设施占用林地审批</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省林草局</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县林业局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吕自然资发</w:t>
            </w:r>
            <w:r>
              <w:rPr>
                <w:rFonts w:hint="eastAsia" w:ascii="仿宋_GB2312" w:hAnsi="仿宋_GB2312" w:eastAsia="仿宋_GB2312" w:cs="仿宋_GB2312"/>
                <w:color w:val="000000"/>
                <w:sz w:val="24"/>
                <w:szCs w:val="24"/>
                <w:highlight w:val="none"/>
                <w:shd w:val="clear" w:color="auto" w:fill="FFFFFF"/>
              </w:rPr>
              <w:t>〔2023〕</w:t>
            </w:r>
            <w:r>
              <w:rPr>
                <w:rFonts w:hint="eastAsia" w:ascii="仿宋_GB2312" w:hAnsi="仿宋_GB2312" w:eastAsia="仿宋_GB2312" w:cs="仿宋_GB2312"/>
                <w:color w:val="000000"/>
                <w:kern w:val="0"/>
                <w:sz w:val="24"/>
                <w:szCs w:val="24"/>
                <w:highlight w:val="none"/>
                <w:lang w:bidi="ar"/>
              </w:rPr>
              <w:t>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28</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建设项目临时占用林地审批</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省林草局</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县林业局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吕自然资发</w:t>
            </w:r>
            <w:r>
              <w:rPr>
                <w:rFonts w:hint="eastAsia" w:ascii="仿宋_GB2312" w:hAnsi="仿宋_GB2312" w:eastAsia="仿宋_GB2312" w:cs="仿宋_GB2312"/>
                <w:color w:val="000000"/>
                <w:sz w:val="24"/>
                <w:szCs w:val="24"/>
                <w:highlight w:val="none"/>
                <w:shd w:val="clear" w:color="auto" w:fill="FFFFFF"/>
              </w:rPr>
              <w:t>〔2023〕</w:t>
            </w:r>
            <w:r>
              <w:rPr>
                <w:rFonts w:hint="eastAsia" w:ascii="仿宋_GB2312" w:hAnsi="仿宋_GB2312" w:eastAsia="仿宋_GB2312" w:cs="仿宋_GB2312"/>
                <w:color w:val="000000"/>
                <w:kern w:val="0"/>
                <w:sz w:val="24"/>
                <w:szCs w:val="24"/>
                <w:highlight w:val="none"/>
                <w:lang w:bidi="ar"/>
              </w:rPr>
              <w:t>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29</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勘查、开采矿藏和各项建设工程占用或者征收、征用林地初审</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省林草局</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行政许可</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县林业局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吕自然资发</w:t>
            </w:r>
            <w:r>
              <w:rPr>
                <w:rFonts w:hint="eastAsia" w:ascii="仿宋_GB2312" w:hAnsi="仿宋_GB2312" w:eastAsia="仿宋_GB2312" w:cs="仿宋_GB2312"/>
                <w:color w:val="000000"/>
                <w:sz w:val="24"/>
                <w:szCs w:val="24"/>
                <w:highlight w:val="none"/>
                <w:shd w:val="clear" w:color="auto" w:fill="FFFFFF"/>
              </w:rPr>
              <w:t>〔2023〕</w:t>
            </w:r>
            <w:r>
              <w:rPr>
                <w:rFonts w:hint="eastAsia" w:ascii="仿宋_GB2312" w:hAnsi="仿宋_GB2312" w:eastAsia="仿宋_GB2312" w:cs="仿宋_GB2312"/>
                <w:color w:val="000000"/>
                <w:kern w:val="0"/>
                <w:sz w:val="24"/>
                <w:szCs w:val="24"/>
                <w:highlight w:val="none"/>
                <w:lang w:bidi="ar"/>
              </w:rPr>
              <w:t>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30</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出租汽车服务质量信誉考核</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省交通厅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其他权利</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县交通局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31</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道路运输企业新建或变更卫星定位监控平台备案</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省交通厅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其他权利</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县交通局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264"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黑体" w:hAnsi="黑体" w:eastAsia="黑体" w:cs="黑体"/>
                <w:color w:val="000000"/>
                <w:sz w:val="32"/>
                <w:szCs w:val="32"/>
                <w:highlight w:val="none"/>
              </w:rPr>
              <mc:AlternateContent>
                <mc:Choice Requires="wps">
                  <w:drawing>
                    <wp:anchor distT="0" distB="0" distL="114300" distR="114300" simplePos="0" relativeHeight="251663360" behindDoc="1" locked="0" layoutInCell="1" allowOverlap="1">
                      <wp:simplePos x="0" y="0"/>
                      <wp:positionH relativeFrom="column">
                        <wp:posOffset>-3791585</wp:posOffset>
                      </wp:positionH>
                      <wp:positionV relativeFrom="paragraph">
                        <wp:posOffset>52070</wp:posOffset>
                      </wp:positionV>
                      <wp:extent cx="3835400" cy="792480"/>
                      <wp:effectExtent l="0" t="0" r="12700" b="7620"/>
                      <wp:wrapNone/>
                      <wp:docPr id="12" name="文本框 12"/>
                      <wp:cNvGraphicFramePr/>
                      <a:graphic xmlns:a="http://schemas.openxmlformats.org/drawingml/2006/main">
                        <a:graphicData uri="http://schemas.microsoft.com/office/word/2010/wordprocessingShape">
                          <wps:wsp>
                            <wps:cNvSpPr txBox="1"/>
                            <wps:spPr>
                              <a:xfrm>
                                <a:off x="-3095625" y="5785485"/>
                                <a:ext cx="3835400" cy="792480"/>
                              </a:xfrm>
                              <a:prstGeom prst="rect">
                                <a:avLst/>
                              </a:prstGeom>
                              <a:gradFill rotWithShape="0">
                                <a:gsLst>
                                  <a:gs pos="0">
                                    <a:srgbClr val="FFFFFF"/>
                                  </a:gs>
                                  <a:gs pos="100000">
                                    <a:srgbClr val="FFFFFF"/>
                                  </a:gs>
                                </a:gsLst>
                                <a:lin ang="0"/>
                                <a:tileRect/>
                              </a:gradFill>
                              <a:ln w="15875">
                                <a:noFill/>
                              </a:ln>
                              <a:effectLst/>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- 7 -</w:t>
                                  </w:r>
                                </w:p>
                              </w:txbxContent>
                            </wps:txbx>
                            <wps:bodyPr vert="eaVert" upright="1"/>
                          </wps:wsp>
                        </a:graphicData>
                      </a:graphic>
                    </wp:anchor>
                  </w:drawing>
                </mc:Choice>
                <mc:Fallback>
                  <w:pict>
                    <v:shape id="_x0000_s1026" o:spid="_x0000_s1026" o:spt="202" type="#_x0000_t202" style="position:absolute;left:0pt;margin-left:-298.55pt;margin-top:4.1pt;height:62.4pt;width:302pt;z-index:-251653120;mso-width-relative:page;mso-height-relative:page;" fillcolor="#FFFFFF" filled="t" stroked="f" coordsize="21600,21600" o:gfxdata="UEsDBAoAAAAAAIdO4kAAAAAAAAAAAAAAAAAEAAAAZHJzL1BLAwQUAAAACACHTuJALS7VkdgAAAAI&#10;AQAADwAAAGRycy9kb3ducmV2LnhtbE2Py07DMBBF90j8gzVIbFBrp1VfIU4lkGCDoNBWrKexSQLx&#10;OLLdNvw9wwqWo3t075liPbhOnGyIrScN2ViBsFR501KtYb97GC1BxIRksPNkNXzbCOvy8qLA3Pgz&#10;vdnTNtWCSyjmqKFJqc+ljFVjHcax7y1x9uGDw8RnqKUJeOZy18mJUnPpsCVeaLC3942tvrZHp2Ex&#10;bF4//dPmeQh3CWePL3TznpHW11eZugWR7JD+YPjVZ3Uo2engj2Si6DSMZqtFxqyG5QQEA/MViANz&#10;06kCWRby/wPlD1BLAwQUAAAACACHTuJA5kipxRwCAAAzBAAADgAAAGRycy9lMm9Eb2MueG1srVNL&#10;btswEN0X6B0I7mPJshUrguUAreFuirZo+lnTFCUR4A8kbckXaG/QVTfZ91w+R4eUkhopUGRRLaQR&#10;+fhm3pvh+naQAh2ZdVyrCs9nKUZMUV1z1Vb486fdVYGR80TVRGjFKnxiDt9uXr5Y96Zkme60qJlF&#10;QKJc2ZsKd96bMkkc7ZgkbqYNU7DZaCuJh1/bJrUlPbBLkWRpep302tbGasqcg9XtuIknRvscQt00&#10;nLKtpgfJlB9ZLRPEgyTXcePwJlbbNIz6903jmEeiwqDUxzckgXgf3slmTcrWEtNxOpVAnlPCE02S&#10;cAVJH6m2xBN0sPwvKsmp1U43fka1TEYh0RFQMU+feHPXEcOiFrDamUfT3f+jpe+OHyziNUxChpEi&#10;Ejp+/vH9/PPX+f4bgjUwqDeuBNydAaQfXukBwA/rDhaD7qGxMnxBEYL9q0V6k19nOUanCuerIl8W&#10;+eg1GzyigFgUi3yZQhsoIFY32bKIzUj+UBnr/BumJQpBhS30MlpMjm+dh7IA+gCZnK93XAhktf/K&#10;fRfNCy2Omw7OjAEyGvwbl51t96+FRUcC47GLT6gSmFt3iZ6n4YlM/z4ST06pBFeIhEs1TZnngn0E&#10;EVMCS2K5IY1QqAdP82KVxxxKByEjTqiAYHGUJ92hH6PvIfLDfgBoCPe6PkGP4HKDX4x8gS9GB2N5&#10;28FC7FkScDBLo8hx7sOwXv5DfHnXN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S7VkdgAAAAI&#10;AQAADwAAAAAAAAABACAAAAAiAAAAZHJzL2Rvd25yZXYueG1sUEsBAhQAFAAAAAgAh07iQOZIqcUc&#10;AgAAMwQAAA4AAAAAAAAAAQAgAAAAJwEAAGRycy9lMm9Eb2MueG1sUEsFBgAAAAAGAAYAWQEAALUF&#10;AAAAAA==&#10;">
                      <v:path/>
                      <v:fill type="gradient" on="t" color2="#FFFFFF" angle="90" focus="100%" focussize="0f,0f">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- 7 -</w:t>
                            </w:r>
                          </w:p>
                        </w:txbxContent>
                      </v:textbox>
                    </v:shape>
                  </w:pict>
                </mc:Fallback>
              </mc:AlternateContent>
            </w:r>
            <w:r>
              <w:rPr>
                <w:rFonts w:hint="eastAsia" w:ascii="仿宋_GB2312" w:hAnsi="仿宋_GB2312" w:eastAsia="仿宋_GB2312" w:cs="仿宋_GB2312"/>
                <w:color w:val="000000"/>
                <w:kern w:val="0"/>
                <w:sz w:val="24"/>
                <w:szCs w:val="24"/>
                <w:highlight w:val="none"/>
                <w:lang w:bidi="ar"/>
              </w:rPr>
              <w:t>32</w:t>
            </w:r>
          </w:p>
        </w:tc>
        <w:tc>
          <w:tcPr>
            <w:tcW w:w="918"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道路运输从业人员服务单位变更登记</w:t>
            </w:r>
          </w:p>
        </w:tc>
        <w:tc>
          <w:tcPr>
            <w:tcW w:w="616"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省交通厅</w:t>
            </w:r>
          </w:p>
        </w:tc>
        <w:tc>
          <w:tcPr>
            <w:tcW w:w="420"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其他权利</w:t>
            </w:r>
          </w:p>
        </w:tc>
        <w:tc>
          <w:tcPr>
            <w:tcW w:w="729"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r>
              <w:rPr>
                <w:rFonts w:hint="eastAsia" w:ascii="仿宋_GB2312" w:hAnsi="仿宋_GB2312" w:eastAsia="仿宋_GB2312" w:cs="仿宋_GB2312"/>
                <w:color w:val="000000"/>
                <w:kern w:val="0"/>
                <w:sz w:val="24"/>
                <w:szCs w:val="24"/>
                <w:highlight w:val="none"/>
                <w:lang w:bidi="ar"/>
              </w:rPr>
              <w:t>县交通局</w:t>
            </w:r>
          </w:p>
        </w:tc>
        <w:tc>
          <w:tcPr>
            <w:tcW w:w="1457"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p>
        </w:tc>
        <w:tc>
          <w:tcPr>
            <w:tcW w:w="593" w:type="pct"/>
            <w:noWrap w:val="0"/>
            <w:vAlign w:val="center"/>
          </w:tcPr>
          <w:p>
            <w:pPr>
              <w:widowControl/>
              <w:spacing w:line="280" w:lineRule="exact"/>
              <w:jc w:val="center"/>
              <w:textAlignment w:val="center"/>
              <w:rPr>
                <w:rFonts w:hint="eastAsia" w:ascii="仿宋_GB2312" w:hAnsi="仿宋_GB2312" w:eastAsia="仿宋_GB2312" w:cs="仿宋_GB2312"/>
                <w:color w:val="000000"/>
                <w:kern w:val="0"/>
                <w:sz w:val="24"/>
                <w:szCs w:val="24"/>
                <w:highlight w:val="none"/>
                <w:lang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0000000000000000000"/>
    <w:charset w:val="86"/>
    <w:family w:val="auto"/>
    <w:pitch w:val="default"/>
    <w:sig w:usb0="00000000" w:usb1="00000000" w:usb2="00000012" w:usb3="00000000" w:csb0="00040003"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ZmU4YTFiMDIyYzYxNDZkOTk5YWZhNzg5MDRmNmYifQ=="/>
  </w:docVars>
  <w:rsids>
    <w:rsidRoot w:val="714C1036"/>
    <w:rsid w:val="714C1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2023-03-22T03:02:00Z</dcterms:created>
  <dc:creator>Administrator</dc:creator>
  <cp:lastModifiedBy>Administrator</cp:lastModifiedBy>
  <dcterms:modified xsi:type="dcterms:W3CDTF">2023-03-22T03:02:58Z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49C9336462F4457FABC749F5619AA012</vt:lpwstr>
  </property>
</Properties>
</file>