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outlineLvl w:val="0"/>
        <w:rPr>
          <w:rFonts w:ascii="黑体" w:hAnsi="黑体" w:eastAsia="黑体"/>
          <w:bCs/>
          <w:snapToGrid w:val="0"/>
          <w:color w:val="000000"/>
          <w:sz w:val="32"/>
          <w:szCs w:val="32"/>
        </w:rPr>
      </w:pPr>
      <w:bookmarkStart w:id="0" w:name="_Toc7384"/>
      <w:bookmarkStart w:id="1" w:name="_Toc71213704"/>
      <w:bookmarkStart w:id="2" w:name="_Toc415"/>
      <w:bookmarkStart w:id="3" w:name="_Toc13595"/>
      <w:r>
        <w:rPr>
          <w:rFonts w:hint="eastAsia" w:ascii="黑体" w:hAnsi="黑体" w:eastAsia="黑体"/>
          <w:bCs/>
          <w:snapToGrid w:val="0"/>
          <w:color w:val="000000"/>
          <w:sz w:val="32"/>
          <w:szCs w:val="32"/>
        </w:rPr>
        <w:t>第十一章 推动文化繁荣发展，凝聚高质量发展精神力量</w:t>
      </w:r>
      <w:bookmarkEnd w:id="0"/>
      <w:bookmarkEnd w:id="1"/>
      <w:bookmarkEnd w:id="2"/>
      <w:bookmarkEnd w:id="3"/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社会主义核心价值观更加深入人心，人民群众思想道德素质、科学文化素质和身心健康素质明显提高。公共文化服务体系和文化产业体系更加健全。深入挖掘丰富历史文化、传统文化、红色文化，加快文化强县建设，切实把文化资源优势转化为发展优势、竞争优势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outlineLvl w:val="1"/>
        <w:rPr>
          <w:rFonts w:ascii="楷体" w:hAnsi="楷体" w:eastAsia="楷体" w:cs="楷体"/>
          <w:bCs/>
          <w:snapToGrid w:val="0"/>
          <w:color w:val="000000"/>
          <w:sz w:val="32"/>
          <w:szCs w:val="32"/>
        </w:rPr>
      </w:pPr>
      <w:bookmarkStart w:id="4" w:name="_Toc14808"/>
      <w:bookmarkStart w:id="5" w:name="_Toc1545"/>
      <w:bookmarkStart w:id="6" w:name="_Toc16646"/>
      <w:bookmarkStart w:id="7" w:name="_Toc26258"/>
      <w:bookmarkStart w:id="8" w:name="_Toc71213705"/>
      <w:r>
        <w:rPr>
          <w:rFonts w:hint="eastAsia" w:ascii="楷体" w:hAnsi="楷体" w:eastAsia="楷体" w:cs="楷体"/>
          <w:bCs/>
          <w:snapToGrid w:val="0"/>
          <w:color w:val="000000"/>
          <w:sz w:val="32"/>
          <w:szCs w:val="32"/>
        </w:rPr>
        <w:t>第一节</w:t>
      </w:r>
      <w:r>
        <w:rPr>
          <w:rFonts w:ascii="楷体" w:hAnsi="楷体" w:eastAsia="楷体" w:cs="楷体"/>
          <w:bCs/>
          <w:snapToGrid w:val="0"/>
          <w:color w:val="000000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bCs/>
          <w:snapToGrid w:val="0"/>
          <w:color w:val="000000"/>
          <w:sz w:val="32"/>
          <w:szCs w:val="32"/>
        </w:rPr>
        <w:t>持续巩固主流舆论强势</w:t>
      </w:r>
      <w:bookmarkEnd w:id="4"/>
      <w:bookmarkEnd w:id="5"/>
      <w:bookmarkEnd w:id="6"/>
      <w:bookmarkEnd w:id="7"/>
      <w:bookmarkEnd w:id="8"/>
    </w:p>
    <w:p>
      <w:pPr>
        <w:pStyle w:val="3"/>
        <w:adjustRightInd w:val="0"/>
        <w:snapToGrid w:val="0"/>
        <w:spacing w:line="560" w:lineRule="exact"/>
        <w:ind w:left="0" w:leftChars="0" w:firstLine="640" w:firstLineChars="200"/>
        <w:rPr>
          <w:rFonts w:ascii="仿宋" w:hAnsi="仿宋" w:eastAsia="仿宋" w:cs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napToGrid w:val="0"/>
          <w:color w:val="000000"/>
          <w:kern w:val="0"/>
          <w:sz w:val="32"/>
          <w:szCs w:val="32"/>
        </w:rPr>
        <w:t>坚持团结稳定鼓劲、正面宣传为主，推动新闻宣传、舆论监督、决策参考三位一体、协同发力，不断提升新闻舆论传播力、引导力、影响力、公信力。坚持正确政治方向、舆论导向、价值取向，把握好时度效，大力开展主题宣传、形势宣传、政策宣传、成就宣传和典型宣传等，唱响主旋律，弘扬正能量。完善坚持正确导向的舆论引导工作机制。严格落实意识形态工作责任制，强化阵地建设和管理。加强网络文明建设，发展积极健康的网络文化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持续深入习近平新时代中国特色社会主义思想的学习宣传贯彻，坚持马克思主义在意识形态领域的指导地位，坚持以社会主义核心价值观引领文化建设，大力弘扬新时代吕梁精神，围绕举旗帜、聚民心、育新人、兴文化、展形象的使命任务，在弘扬优秀传统文化上创造新经验，建设文化名县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深入挖掘“千年古县”的历史文化、红色文化、廉政文化、皮商文化等优秀传统文化，加快把文化资源厚度转化为产业发展高度。开展交城皮商的调查研究，拍摄影像《重走皮商之路》，编撰出版《交城皮商》。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outlineLvl w:val="1"/>
        <w:rPr>
          <w:rFonts w:ascii="楷体" w:hAnsi="楷体" w:eastAsia="楷体" w:cs="楷体"/>
          <w:bCs/>
          <w:snapToGrid w:val="0"/>
          <w:color w:val="000000"/>
          <w:sz w:val="32"/>
          <w:szCs w:val="32"/>
        </w:rPr>
      </w:pPr>
      <w:bookmarkStart w:id="9" w:name="_Toc9681"/>
      <w:bookmarkStart w:id="10" w:name="_Toc32143"/>
      <w:bookmarkStart w:id="11" w:name="_Toc71213706"/>
      <w:bookmarkStart w:id="12" w:name="_Toc13545"/>
      <w:bookmarkStart w:id="13" w:name="_Toc477"/>
      <w:r>
        <w:rPr>
          <w:rFonts w:hint="eastAsia" w:ascii="楷体" w:hAnsi="楷体" w:eastAsia="楷体" w:cs="楷体"/>
          <w:bCs/>
          <w:snapToGrid w:val="0"/>
          <w:color w:val="000000"/>
          <w:sz w:val="32"/>
          <w:szCs w:val="32"/>
        </w:rPr>
        <w:t>第二节 提高社会文明程度</w:t>
      </w:r>
      <w:bookmarkEnd w:id="9"/>
      <w:bookmarkEnd w:id="10"/>
      <w:bookmarkEnd w:id="11"/>
      <w:bookmarkEnd w:id="12"/>
      <w:bookmarkEnd w:id="13"/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推动理想信念教育常态化制度化</w:t>
      </w:r>
      <w:r>
        <w:rPr>
          <w:rFonts w:hint="eastAsia" w:ascii="仿宋" w:hAnsi="仿宋" w:eastAsia="仿宋" w:cs="仿宋_GB2312"/>
          <w:bCs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推动形成适应新时代要求的思想观念、精神面貌、文明风尚、行为规范。深入开展习近平新时代中国特色社会主义思想学习教育，推进马克思主义理论研究和建设工程。推动理想信念教育常态化制度化。结合交城实际开展党史、新中国史、改革开放史、社会主义发展史学习教育，加强爱国主义、集体主义、社会主义宣传教育，建好用好爱国主义教育示范基地。编纂出版《中国共产党交城县历史》、《交城年鉴》2021、2022、2023、2024、2025卷，点校、出版清代光绪八年《交城县志》、启动《交城县志》第三轮编修工作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培育文明道德风尚亮点</w:t>
      </w:r>
      <w:r>
        <w:rPr>
          <w:rFonts w:hint="eastAsia" w:ascii="仿宋" w:hAnsi="仿宋" w:eastAsia="仿宋" w:cs="仿宋"/>
          <w:snapToGrid w:val="0"/>
          <w:color w:val="000000"/>
          <w:sz w:val="32"/>
          <w:szCs w:val="32"/>
        </w:rPr>
        <w:t>。推进新时代文明实践中心试点建设，培育一批典型。通过道德模范，社会主义精神文明十佳、好人好事、文明家庭以及志愿服务先进典型等评选活动，发挥模范带头作用。广泛开展理论宣讲、卫生健康等文明实践活动。抓好文明实践志愿服务。强化移风易俗，培育个人良好健康生活习惯。组织开展讲文明、讲科学、讲卫生、树新风等“三讲一树”活动，让文明健康成为时代风尚。</w:t>
      </w:r>
    </w:p>
    <w:p>
      <w:pPr>
        <w:pStyle w:val="3"/>
        <w:adjustRightInd w:val="0"/>
        <w:snapToGrid w:val="0"/>
        <w:spacing w:line="560" w:lineRule="exact"/>
        <w:ind w:left="0" w:leftChars="0" w:firstLine="640" w:firstLineChars="200"/>
        <w:rPr>
          <w:rFonts w:ascii="仿宋" w:hAnsi="仿宋" w:eastAsia="仿宋" w:cs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kern w:val="0"/>
          <w:sz w:val="32"/>
          <w:szCs w:val="32"/>
        </w:rPr>
        <w:t>开展基层文明创建工作</w:t>
      </w:r>
      <w:r>
        <w:rPr>
          <w:rFonts w:hint="eastAsia" w:ascii="仿宋" w:hAnsi="仿宋" w:eastAsia="仿宋" w:cs="仿宋_GB2312"/>
          <w:bCs/>
          <w:snapToGrid w:val="0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 w:cs="仿宋_GB2312"/>
          <w:snapToGrid w:val="0"/>
          <w:color w:val="000000"/>
          <w:kern w:val="0"/>
          <w:sz w:val="32"/>
          <w:szCs w:val="32"/>
        </w:rPr>
        <w:t>扎实开展群众性精神文明创建，引深文明乡镇、文明村、文明户评选，持续培育文明乡风、良好家风、淳朴民风。鼓励各行政、事业、企业主体成功创建省级文明单位、市级文明单位。开展“最美家庭”系列活动，促进家庭、家教、家风建设，涌现出一批全国、全省文明家庭。开展以劳动创造幸福为主题的宣传教育，弘扬劳模精神、劳动精神。健全志愿服务体系，推进志愿服务活动品牌化。发展积极健康的网络文化，营造清朗网络空间。</w:t>
      </w:r>
    </w:p>
    <w:p>
      <w:pPr>
        <w:pStyle w:val="3"/>
        <w:adjustRightInd w:val="0"/>
        <w:snapToGrid w:val="0"/>
        <w:spacing w:line="560" w:lineRule="exact"/>
        <w:ind w:left="0" w:leftChars="0" w:firstLine="640" w:firstLineChars="200"/>
        <w:rPr>
          <w:rFonts w:ascii="仿宋" w:hAnsi="仿宋" w:eastAsia="仿宋" w:cs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kern w:val="0"/>
          <w:sz w:val="32"/>
          <w:szCs w:val="32"/>
        </w:rPr>
        <w:t>弘扬诚信文化，推进诚信建设</w:t>
      </w:r>
      <w:r>
        <w:rPr>
          <w:rFonts w:hint="eastAsia" w:ascii="仿宋" w:hAnsi="仿宋" w:eastAsia="仿宋" w:cs="仿宋_GB2312"/>
          <w:snapToGrid w:val="0"/>
          <w:color w:val="000000"/>
          <w:kern w:val="0"/>
          <w:sz w:val="32"/>
          <w:szCs w:val="32"/>
        </w:rPr>
        <w:t>。加快建立覆盖全社会的征信体系。建立多部门、跨行业的守信联合激励和失信联合惩戒机制，促进社会诚信建设。</w:t>
      </w:r>
    </w:p>
    <w:p>
      <w:pPr>
        <w:pStyle w:val="3"/>
        <w:adjustRightInd w:val="0"/>
        <w:snapToGrid w:val="0"/>
        <w:spacing w:line="560" w:lineRule="exact"/>
        <w:ind w:left="0" w:leftChars="0" w:firstLine="640" w:firstLineChars="200"/>
        <w:rPr>
          <w:rFonts w:ascii="仿宋" w:hAnsi="仿宋" w:eastAsia="仿宋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kern w:val="0"/>
          <w:sz w:val="32"/>
          <w:szCs w:val="32"/>
        </w:rPr>
        <w:t>推进未成年人思想道德建设</w:t>
      </w:r>
      <w:r>
        <w:rPr>
          <w:rFonts w:hint="eastAsia" w:ascii="仿宋" w:hAnsi="仿宋" w:eastAsia="仿宋" w:cs="仿宋_GB2312"/>
          <w:snapToGrid w:val="0"/>
          <w:color w:val="000000"/>
          <w:kern w:val="0"/>
          <w:sz w:val="32"/>
          <w:szCs w:val="32"/>
        </w:rPr>
        <w:t>。以培育和践行社会主义核心价值观为主线，扎实抓好“我们的节日”主题教育、中华经典诵读、“学雷锋争做美德少年”等系列活动。重视加强阵地建设，拟建设乡村学校少年宫、社区家长学校，校外未成年人心理辅导站。深入开展网吧和流浪乞讨未成年人综合整治活动，广泛开展关爱特殊群体未成年人活动，优化社会文化环境。</w:t>
      </w:r>
    </w:p>
    <w:p>
      <w:pPr>
        <w:adjustRightInd w:val="0"/>
        <w:snapToGrid w:val="0"/>
        <w:spacing w:line="560" w:lineRule="exact"/>
        <w:jc w:val="center"/>
        <w:outlineLvl w:val="1"/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</w:pPr>
      <w:bookmarkStart w:id="14" w:name="_Toc6323"/>
      <w:bookmarkStart w:id="15" w:name="_Toc12044"/>
      <w:bookmarkStart w:id="16" w:name="_Toc11623"/>
      <w:bookmarkStart w:id="17" w:name="_Toc71213707"/>
      <w:bookmarkStart w:id="18" w:name="_Toc16136"/>
    </w:p>
    <w:p>
      <w:pPr>
        <w:adjustRightInd w:val="0"/>
        <w:snapToGrid w:val="0"/>
        <w:spacing w:line="560" w:lineRule="exact"/>
        <w:jc w:val="center"/>
        <w:outlineLvl w:val="1"/>
        <w:rPr>
          <w:rFonts w:ascii="楷体" w:hAnsi="楷体" w:eastAsia="楷体" w:cs="楷体"/>
          <w:bCs/>
          <w:snapToGrid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snapToGrid w:val="0"/>
          <w:color w:val="000000"/>
          <w:sz w:val="32"/>
          <w:szCs w:val="32"/>
        </w:rPr>
        <w:t>第三节 加强文化遗产传承保护</w:t>
      </w:r>
      <w:bookmarkEnd w:id="14"/>
      <w:bookmarkEnd w:id="15"/>
      <w:bookmarkEnd w:id="16"/>
      <w:bookmarkEnd w:id="17"/>
      <w:bookmarkEnd w:id="18"/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梳理我县国宝、省宝、市宝等文化资源，构建完整的文化资源谱系。大力实施“文明守望工程”，创建省级文物保护利用示范区，开展文物抢救性、数字性、修缮性、社会性保护，系统推进文物保护活化利用，编写《交城县文物志》。加强段村、磁窑古村等历史文化名村、古村落、古建筑保护利用，创建省级文物保护利用示范区。积极推进红色革命旧址修缮，加强红色档案保护、研究、利用，编撰出版《交城县革命遗址通览》，加强卦山庙会、交城鼓书等非物质文化遗产保护传承，推进非遗传承人群研培计划、乡村文化记忆工程和传统手工艺传承发展工程，建设非物质文化遗产挖掘保护及数据库。</w:t>
      </w:r>
    </w:p>
    <w:p>
      <w:pPr>
        <w:adjustRightInd w:val="0"/>
        <w:snapToGrid w:val="0"/>
        <w:spacing w:line="560" w:lineRule="exact"/>
        <w:jc w:val="center"/>
        <w:outlineLvl w:val="1"/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</w:pPr>
      <w:bookmarkStart w:id="19" w:name="_Toc3757"/>
      <w:bookmarkStart w:id="20" w:name="_Toc14036"/>
      <w:bookmarkStart w:id="21" w:name="_Toc8062"/>
      <w:bookmarkStart w:id="22" w:name="_Toc71213708"/>
      <w:bookmarkStart w:id="23" w:name="_Toc29361"/>
    </w:p>
    <w:p>
      <w:pPr>
        <w:adjustRightInd w:val="0"/>
        <w:snapToGrid w:val="0"/>
        <w:spacing w:line="560" w:lineRule="exact"/>
        <w:jc w:val="center"/>
        <w:outlineLvl w:val="1"/>
        <w:rPr>
          <w:rFonts w:ascii="楷体" w:hAnsi="楷体" w:eastAsia="楷体" w:cs="楷体"/>
          <w:bCs/>
          <w:snapToGrid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snapToGrid w:val="0"/>
          <w:color w:val="000000"/>
          <w:sz w:val="32"/>
          <w:szCs w:val="32"/>
        </w:rPr>
        <w:t xml:space="preserve">第四节 </w:t>
      </w:r>
      <w:bookmarkEnd w:id="19"/>
      <w:r>
        <w:rPr>
          <w:rFonts w:hint="eastAsia" w:ascii="楷体" w:hAnsi="楷体" w:eastAsia="楷体" w:cs="楷体"/>
          <w:bCs/>
          <w:snapToGrid w:val="0"/>
          <w:color w:val="000000"/>
          <w:sz w:val="32"/>
          <w:szCs w:val="32"/>
        </w:rPr>
        <w:t>繁荣发展文化事业</w:t>
      </w:r>
      <w:bookmarkEnd w:id="20"/>
      <w:bookmarkEnd w:id="21"/>
      <w:bookmarkEnd w:id="22"/>
      <w:bookmarkEnd w:id="23"/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健全城乡公共文化服务供给机制</w:t>
      </w:r>
      <w:r>
        <w:rPr>
          <w:rFonts w:hint="eastAsia" w:ascii="仿宋" w:hAnsi="仿宋" w:eastAsia="仿宋" w:cs="仿宋_GB2312"/>
          <w:bCs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全面发展文化艺术、广播电视事业，加强我县融媒体中心运营管理，不断提升公共文化服务效能。鼓励支持文艺创作，实施文艺作品质量提升工程，推出反映交城时代新气象、讴歌人民新创造的文艺精品。编写《山水交城》等一批文化作品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推动构建政府、市场、社会共同参与城乡公共文化服务体系建设格局。实施革命旧址修缮工程，推动红色资源高效利用、红色基因代代相传。规划建设一座高标准的红色革命纪念馆（基地），为全县党员干部、群众学生提供一处红色教育基地。优化县文化馆、图书馆和乡镇文化站等基础设施实施文化惠民工程，更好发挥图书馆、博物馆、美术馆、文化馆等场馆作用，开展群众性文化活动。实施宣传文化基础设施建设工程，补齐基本公共服务短板，满足人民群众公共文化服务需求。建设交城县新华书店连锁超市、交城文化活动广场智慧书屋，方志馆、燕居谦纪念馆，加快“三馆一场”（四馆工程）建设。实施新时代文化人才工程，培养和造就高端文化人才。建强乡村文化阵地，提高公共文化服务均等化水平。</w:t>
      </w:r>
    </w:p>
    <w:tbl>
      <w:tblPr>
        <w:tblStyle w:val="4"/>
        <w:tblpPr w:leftFromText="180" w:rightFromText="180" w:vertAnchor="text" w:horzAnchor="page" w:tblpX="1896" w:tblpY="362"/>
        <w:tblOverlap w:val="never"/>
        <w:tblW w:w="841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1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楷体"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bCs/>
                <w:snapToGrid w:val="0"/>
                <w:color w:val="000000"/>
                <w:sz w:val="32"/>
                <w:szCs w:val="32"/>
              </w:rPr>
              <w:t>专栏11-</w:t>
            </w:r>
            <w:r>
              <w:rPr>
                <w:rFonts w:ascii="仿宋" w:hAnsi="仿宋" w:eastAsia="仿宋" w:cs="楷体"/>
                <w:bCs/>
                <w:snapToGrid w:val="0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楷体"/>
                <w:bCs/>
                <w:snapToGrid w:val="0"/>
                <w:color w:val="000000"/>
                <w:sz w:val="32"/>
                <w:szCs w:val="32"/>
              </w:rPr>
              <w:t>“十四五”交城县文化建设项目（部分）</w:t>
            </w:r>
          </w:p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Times New Roman"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napToGrid w:val="0"/>
                <w:color w:val="000000"/>
                <w:sz w:val="32"/>
                <w:szCs w:val="32"/>
              </w:rPr>
              <w:t>1.三馆一场（四馆工程）。</w:t>
            </w:r>
          </w:p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Times New Roman"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napToGrid w:val="0"/>
                <w:color w:val="000000"/>
                <w:sz w:val="32"/>
                <w:szCs w:val="32"/>
              </w:rPr>
              <w:t>2.交城县新华书店、连锁超市、办公楼新建项目。</w:t>
            </w:r>
          </w:p>
        </w:tc>
      </w:tr>
    </w:tbl>
    <w:p>
      <w:pPr>
        <w:adjustRightInd w:val="0"/>
        <w:snapToGrid w:val="0"/>
        <w:spacing w:line="560" w:lineRule="exact"/>
        <w:jc w:val="center"/>
        <w:outlineLvl w:val="1"/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</w:pPr>
      <w:bookmarkStart w:id="24" w:name="_Toc4332"/>
      <w:bookmarkStart w:id="25" w:name="_Toc29172"/>
      <w:bookmarkStart w:id="26" w:name="_Toc71213709"/>
      <w:bookmarkStart w:id="27" w:name="_Toc9965"/>
      <w:bookmarkStart w:id="28" w:name="_Toc22369"/>
    </w:p>
    <w:p>
      <w:pPr>
        <w:adjustRightInd w:val="0"/>
        <w:snapToGrid w:val="0"/>
        <w:spacing w:line="560" w:lineRule="exact"/>
        <w:jc w:val="center"/>
        <w:outlineLvl w:val="1"/>
        <w:rPr>
          <w:rFonts w:ascii="楷体" w:hAnsi="楷体" w:eastAsia="楷体" w:cs="楷体"/>
          <w:bCs/>
          <w:snapToGrid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snapToGrid w:val="0"/>
          <w:color w:val="000000"/>
          <w:sz w:val="32"/>
          <w:szCs w:val="32"/>
        </w:rPr>
        <w:t>第五节 推进文旅深度融合</w:t>
      </w:r>
      <w:bookmarkEnd w:id="24"/>
      <w:bookmarkEnd w:id="25"/>
      <w:bookmarkEnd w:id="26"/>
      <w:bookmarkEnd w:id="27"/>
      <w:bookmarkEnd w:id="28"/>
    </w:p>
    <w:p>
      <w:pPr>
        <w:overflowPunct w:val="0"/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坚持以文塑旅、以旅彰文，推动文化和旅游各领域、多方位、全链条深度融合。依托滨河西路、祁离高速等交通基础设施，与太原、晋中等中部盆地城市群景区串联成精品文旅线路，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加快提升卦山、玄中寺景区品质，完善游客服务中心、旅游公路等景区基础设施。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培育“旅游+演艺”、“旅游+文创”等文旅融合新业态新模式。推动文艺精品进景区，升级完善“段村传统嫁娶文化”，打造更多原汁原味的文艺精品。排演《狐公鼓》、《斗牛虎》等民间曲艺。打造“千年古县、山水交城”文化旅游品牌。支持我县创建全域旅游示范县，“卦山+玄中寺+英雄广场”创建国家5A级景区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"/>
          <w:bCs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“旅游+生态”为特色</w:t>
      </w: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</w:rPr>
        <w:t>。推进庞泉沟国家森林公园，果老峰景区等提升改造成为山地旅游运动休闲旅游区。加快“快乐运动·山水交城”的建设步伐，重点打造“康养度假”、“休闲运动”、“文化</w:t>
      </w:r>
      <w:r>
        <w:rPr>
          <w:rFonts w:ascii="仿宋" w:hAnsi="仿宋" w:eastAsia="仿宋"/>
          <w:bCs/>
          <w:snapToGrid w:val="0"/>
          <w:color w:val="000000"/>
          <w:sz w:val="32"/>
          <w:szCs w:val="32"/>
        </w:rPr>
        <w:t>旅游”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</w:rPr>
        <w:t xml:space="preserve"> 三</w:t>
      </w:r>
      <w:r>
        <w:rPr>
          <w:rFonts w:ascii="仿宋" w:hAnsi="仿宋" w:eastAsia="仿宋"/>
          <w:bCs/>
          <w:snapToGrid w:val="0"/>
          <w:color w:val="000000"/>
          <w:sz w:val="32"/>
          <w:szCs w:val="32"/>
        </w:rPr>
        <w:t>条旅游</w:t>
      </w: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</w:rPr>
        <w:t>线路。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"/>
          <w:bCs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“旅游+康养”为亮点</w:t>
      </w: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</w:rPr>
        <w:t>。将医疗、气候、生态、康复、休闲等多种元素融入康养产业，发展康复疗养、旅居康养、休闲度假型“候鸟”康养等业态，打造集康养居住、康养配套、康养服务为一体的康养度假基地等综合开发项目，带动护理、餐饮、医药、生活用品、金融、旅游、教育等多产业的共同发展。实施“天宁镇五村联创建设”，开展国土绿化，墙体改造、老年活动中心等项目建设，打造五村联创城郊旅游康养综合项目。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高起点建设庞泉沟康养休闲度假区，</w:t>
      </w: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</w:rPr>
        <w:t>提质交城康养产业。培育以交城山森林康养中心、如金温泉康养等为主体的康养产业路线。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"/>
          <w:bCs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“旅游+体育”为趋势</w:t>
      </w: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</w:rPr>
        <w:t>。依托薰衣草庄园、庞泉沟峡谷等重点景区，利用山地、峡谷、水体等地形地貌及资源，建设房车营地、航空营地、户外拓展营地，扩大景区体育体验。发展山地运动、水上运动、户外拓展、户外露营、户外体育运动、定向运动、养生运动、极限运动、传统体育运动、徒步旅行、探险等户外康体养生产品，举办体育赛事，满足不同人群的体验性或竞技性需求，围绕果老峰打造交城特色体育小镇。打造具有地域特色的体育旅游活动，争取进入全国重点体育旅游节庆名录，申请相关政策和资金支持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"/>
          <w:bCs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“旅游+文化”为优势</w:t>
      </w: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</w:rPr>
        <w:t>。持续推进千年古县交城特有的红色文化、皮革文化、陶瓷文化、佛教文化、石器文化、冶铁文化等与旅游的融合力度，打造一批具有深厚文化底蕴的旅游景点。传承晋绥红色文化、深挖“坡底村”等红色经典资源，完善西社镇等红色文化旅游区，打造红色旅游“新亮点”。大力发展磁窑古村旅游、乡村田园文化旅游、古田里非遗文化产业园区、王山圆明寺旅游开发项目。发展文艺旅游，完善和改良“段村传统嫁娶文化主题项目”等民俗文化活动，争取国家非遗资金支持，挖掘保护非物质文化遗产并建设数据库。挖掘工业旅游资源，打造世界钙都夏家营工业区旅游景区。持续开展非物质文化遗产和红色教育进旅游景点活动，提升旅游知名度和文化影响力，形成特色鲜明的交城文化旅游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“旅游+文物”为底蕴</w:t>
      </w: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</w:rPr>
        <w:t>。加大力度保护千年古县遗留下来的历史文物，分类分级制定文物保护办法、落实文物保护措施，挖掘山水交城的灿烂文化底蕴。以交城边山、县城为中心，集中资源保护交城的文化起源地和文物聚集地，力争实现“三寺一体化建设、两遗址保护利用、一街区申报历史文化街区”，打造由玄中寺、天宁寺、王山圆明寺、瓦窑、磁窑、明清商业街构建的“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三寺两窑一街区</w:t>
      </w: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</w:rPr>
        <w:t>”文物保护示范区，深入推进文物领域“放管服效”改革，稳步推进对洪相至奈林边山、东关、东街、南街等不可移动文物的保护工程。修缮并公布交城县第一批抗战纪念设施、遗址，推进西社镇革命文物集中连片区域的整体保护利用，建设革命文物数据库。落实政府主体责任，建立文物安全长效机制，合理开发交城文物的文化价值、社会价值、经济价值，坚守文物底线和红线的基础。形成党委领导、政府负责、部门协同、社会参与的文物工作格局。加大文物价值传播推广途径，加大文物保护宣传力度，加大文物保护资金投入力度，加强文物保护管理队伍建设，完善革命文物保护传承体系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"/>
          <w:bCs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“旅游+农业”为回归</w:t>
      </w: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</w:rPr>
        <w:t>。与休闲农业相结合，通过发展绿色种植业、生态养殖业，开发适宜于特定人群、具有特定保健功能的生态健康食品，依托虹鳟鱼养殖基地、薰衣草庄园、庞泉酒庄，同时结合生态观光、农事采摘体验、食品加工体验、餐饮制作体验等活动，推动健康食品产业链的综合发展，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打造一批黄河人家民宿示范点，提高“山水交城”旅游品牌知名度，</w:t>
      </w: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</w:rPr>
        <w:t>助推乡村振兴。将农业农村发展与旅游产业的建立与推广相结合，形成“以农促旅、以旅兴农”的发展之路，成为农民致富新引擎。</w:t>
      </w:r>
    </w:p>
    <w:p>
      <w:pPr>
        <w:pStyle w:val="3"/>
        <w:adjustRightInd w:val="0"/>
        <w:snapToGrid w:val="0"/>
        <w:spacing w:line="560" w:lineRule="exact"/>
        <w:ind w:left="0" w:leftChars="0" w:firstLine="640" w:firstLineChars="200"/>
        <w:rPr>
          <w:rFonts w:ascii="仿宋" w:hAnsi="仿宋" w:eastAsia="仿宋" w:cs="仿宋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kern w:val="0"/>
          <w:sz w:val="32"/>
          <w:szCs w:val="32"/>
        </w:rPr>
        <w:t>旅游产业制度建设为基石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bCs/>
          <w:snapToGrid w:val="0"/>
          <w:color w:val="000000"/>
          <w:kern w:val="0"/>
          <w:sz w:val="32"/>
          <w:szCs w:val="32"/>
        </w:rPr>
        <w:t>在“有为政府+有效市场”的引领下，充分发挥政府职能作用，持续完善交城县旅游产业在投资、开发、管理、运营等方面相关制度、政策的建设。构建旅游产业政府追责机制，充分发挥政府在制度建设、行业监管、项目运营过程中的社会职责和公共服务能力，支持社会力量参与旅游开发。引入社会优质资源参与旅游领域，对市场潜力大、投资主体信誉好的旅游项目主体，给予税收、规费等方面的优惠待遇。构筑旅游企业奖惩机制，从项目建设、市场开发、资源保护等方面奖惩旅游资源开发及运营企业，促进交城旅游市场健康发展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"/>
          <w:bCs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旅游服务为目标</w:t>
      </w: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坚持高起点规划、一盘棋布局，整治无序开发、同质竞争等旅游乱象。塑造热情好客、文旅融合的对外形象。</w:t>
      </w: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</w:rPr>
        <w:t>推动旅游业集群化发展，积极拓展旅游景区、旅游酒店、旅行社、旅游车队、乡村旅游等产业链。培育、引进优质旅游服务公司，深度拓展境内外游客市场，提高旅游接待水平，提升旅游服务软实力。以旅游景点为载体，融合交城地方风俗特色，打造《狐公鼓》、《斗牛虎》、《忠臣不事二主》、《竭泽而渔》等旅游文化演出节目。切实完善旅游开发的基础设施建设，加大交通设施、停车场、游客中心、供热供气供水供电等管网的建设力度，改造院落开发民宿潜在资源，择优升级星级酒店，改善住宿餐饮接待水平，提高交城整体旅游服务水平。大力发展文旅创意产业，推动堆锦、琉璃咯嘣等特色文旅产品走向市场、走向全国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旅游信息化、智能化、智慧化为赋能</w:t>
      </w: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</w:rPr>
        <w:t>。建成与旅游城市相匹配的服务设施，</w:t>
      </w:r>
      <w:r>
        <w:rPr>
          <w:rFonts w:ascii="仿宋" w:hAnsi="仿宋" w:eastAsia="仿宋"/>
          <w:bCs/>
          <w:snapToGrid w:val="0"/>
          <w:color w:val="000000"/>
          <w:sz w:val="32"/>
          <w:szCs w:val="32"/>
        </w:rPr>
        <w:t>以5G和大</w:t>
      </w: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</w:rPr>
        <w:t>数据为支撑配套完善旅游信息服务中心，增强旅游信息获取、处理能力，提供优质的信息服务。提供不同购物体验，整合具有民俗特色的旅游商品，打造小商品品牌，建设现代化购物中心和民族旅游商品集中购物中心。完善通信、标识、厕所等设施，建立重点景区景点的医疗救助、安全防范、突发事件处理等快速应急系统，提高应急处理能力。加强人才储备和培训，完善导游解说系统，提高导游服务水平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"/>
          <w:bCs/>
          <w:snapToGrid w:val="0"/>
          <w:color w:val="000000"/>
          <w:sz w:val="32"/>
          <w:szCs w:val="32"/>
        </w:rPr>
      </w:pPr>
    </w:p>
    <w:tbl>
      <w:tblPr>
        <w:tblStyle w:val="4"/>
        <w:tblW w:w="85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0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楷体"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bCs/>
                <w:snapToGrid w:val="0"/>
                <w:color w:val="000000"/>
                <w:sz w:val="32"/>
                <w:szCs w:val="32"/>
              </w:rPr>
              <w:t>专栏11-</w:t>
            </w:r>
            <w:r>
              <w:rPr>
                <w:rFonts w:ascii="仿宋" w:hAnsi="仿宋" w:eastAsia="仿宋" w:cs="楷体"/>
                <w:bCs/>
                <w:snapToGrid w:val="0"/>
                <w:color w:val="00000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楷体"/>
                <w:bCs/>
                <w:snapToGrid w:val="0"/>
                <w:color w:val="000000"/>
                <w:sz w:val="32"/>
                <w:szCs w:val="32"/>
              </w:rPr>
              <w:t>：“十四五”交城县文化旅游项目（部分）</w:t>
            </w:r>
          </w:p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Times New Roman"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napToGrid w:val="0"/>
                <w:color w:val="000000"/>
                <w:sz w:val="32"/>
                <w:szCs w:val="32"/>
              </w:rPr>
              <w:t>1.庞泉沟景区标准化建设基础设施。</w:t>
            </w:r>
          </w:p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Times New Roman"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napToGrid w:val="0"/>
                <w:color w:val="000000"/>
                <w:sz w:val="32"/>
                <w:szCs w:val="32"/>
              </w:rPr>
              <w:t>2.文物旅游保护区内博物馆建设项目。</w:t>
            </w:r>
          </w:p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Times New Roman"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napToGrid w:val="0"/>
                <w:color w:val="000000"/>
                <w:sz w:val="32"/>
                <w:szCs w:val="32"/>
              </w:rPr>
              <w:t>3.山西果老峰景区旅游开发项目。</w:t>
            </w:r>
          </w:p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Times New Roman"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napToGrid w:val="0"/>
                <w:color w:val="000000"/>
                <w:sz w:val="32"/>
                <w:szCs w:val="32"/>
                <w:lang w:val="en-US"/>
              </w:rPr>
              <w:t>4</w:t>
            </w:r>
            <w:r>
              <w:rPr>
                <w:rFonts w:hint="eastAsia" w:ascii="仿宋" w:hAnsi="仿宋" w:eastAsia="仿宋" w:cs="Times New Roman"/>
                <w:snapToGrid w:val="0"/>
                <w:color w:val="000000"/>
                <w:sz w:val="32"/>
                <w:szCs w:val="32"/>
              </w:rPr>
              <w:t>.山西庞泉沟柏叶口景区旅游开发项目。</w:t>
            </w:r>
          </w:p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Times New Roman"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napToGrid w:val="0"/>
                <w:color w:val="000000"/>
                <w:sz w:val="32"/>
                <w:szCs w:val="32"/>
                <w:lang w:val="en-US"/>
              </w:rPr>
              <w:t>5</w:t>
            </w:r>
            <w:r>
              <w:rPr>
                <w:rFonts w:hint="eastAsia" w:ascii="仿宋" w:hAnsi="仿宋" w:eastAsia="仿宋" w:cs="Times New Roman"/>
                <w:snapToGrid w:val="0"/>
                <w:color w:val="000000"/>
                <w:sz w:val="32"/>
                <w:szCs w:val="32"/>
              </w:rPr>
              <w:t>.关帝山国家森林公园三座崖景区文化保护传承利用工程项目。</w:t>
            </w:r>
          </w:p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Times New Roman"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napToGrid w:val="0"/>
                <w:color w:val="000000"/>
                <w:sz w:val="32"/>
                <w:szCs w:val="32"/>
                <w:lang w:val="en-US"/>
              </w:rPr>
              <w:t>6</w:t>
            </w:r>
            <w:r>
              <w:rPr>
                <w:rFonts w:hint="eastAsia" w:ascii="仿宋" w:hAnsi="仿宋" w:eastAsia="仿宋" w:cs="Times New Roman"/>
                <w:snapToGrid w:val="0"/>
                <w:color w:val="000000"/>
                <w:sz w:val="32"/>
                <w:szCs w:val="32"/>
              </w:rPr>
              <w:t>.交城王山圆明寺旅游景区。</w:t>
            </w:r>
          </w:p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Times New Roman"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napToGrid w:val="0"/>
                <w:color w:val="000000"/>
                <w:sz w:val="32"/>
                <w:szCs w:val="32"/>
                <w:lang w:val="en-US"/>
              </w:rPr>
              <w:t>7</w:t>
            </w:r>
            <w:r>
              <w:rPr>
                <w:rFonts w:hint="eastAsia" w:ascii="仿宋" w:hAnsi="仿宋" w:eastAsia="仿宋" w:cs="Times New Roman"/>
                <w:snapToGrid w:val="0"/>
                <w:color w:val="000000"/>
                <w:sz w:val="32"/>
                <w:szCs w:val="32"/>
              </w:rPr>
              <w:t>.如金温泉二期康养项目。</w:t>
            </w:r>
          </w:p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Times New Roman"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napToGrid w:val="0"/>
                <w:color w:val="000000"/>
                <w:sz w:val="32"/>
                <w:szCs w:val="32"/>
                <w:lang w:val="en-US"/>
              </w:rPr>
              <w:t>8</w:t>
            </w:r>
            <w:r>
              <w:rPr>
                <w:rFonts w:hint="eastAsia" w:ascii="仿宋" w:hAnsi="仿宋" w:eastAsia="仿宋" w:cs="Times New Roman"/>
                <w:snapToGrid w:val="0"/>
                <w:color w:val="000000"/>
                <w:sz w:val="32"/>
                <w:szCs w:val="32"/>
              </w:rPr>
              <w:t>.田家山乡村文旅项目。</w:t>
            </w:r>
          </w:p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Times New Roman"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napToGrid w:val="0"/>
                <w:color w:val="000000"/>
                <w:sz w:val="32"/>
                <w:szCs w:val="32"/>
                <w:lang w:val="en-US"/>
              </w:rPr>
              <w:t>9</w:t>
            </w:r>
            <w:r>
              <w:rPr>
                <w:rFonts w:hint="eastAsia" w:ascii="仿宋" w:hAnsi="仿宋" w:eastAsia="仿宋" w:cs="Times New Roman"/>
                <w:snapToGrid w:val="0"/>
                <w:color w:val="000000"/>
                <w:sz w:val="32"/>
                <w:szCs w:val="32"/>
              </w:rPr>
              <w:t>.磁窑古村旅游开发项目。</w:t>
            </w:r>
          </w:p>
          <w:p>
            <w:pPr>
              <w:pStyle w:val="3"/>
              <w:adjustRightInd w:val="0"/>
              <w:snapToGrid w:val="0"/>
              <w:spacing w:line="560" w:lineRule="exact"/>
              <w:ind w:left="0" w:leftChars="0" w:firstLine="200"/>
              <w:rPr>
                <w:rFonts w:ascii="仿宋" w:hAnsi="仿宋" w:eastAsia="仿宋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napToGrid w:val="0"/>
                <w:color w:val="000000"/>
                <w:kern w:val="0"/>
                <w:sz w:val="32"/>
                <w:szCs w:val="32"/>
              </w:rPr>
              <w:t>10.千岁觉城康养文旅综合小镇项目。</w:t>
            </w:r>
          </w:p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Times New Roman"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napToGrid w:val="0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Times New Roman"/>
                <w:snapToGrid w:val="0"/>
                <w:color w:val="000000"/>
                <w:sz w:val="32"/>
                <w:szCs w:val="32"/>
                <w:lang w:val="en-US"/>
              </w:rPr>
              <w:t>1</w:t>
            </w:r>
            <w:r>
              <w:rPr>
                <w:rFonts w:hint="eastAsia" w:ascii="仿宋" w:hAnsi="仿宋" w:eastAsia="仿宋" w:cs="Times New Roman"/>
                <w:snapToGrid w:val="0"/>
                <w:color w:val="000000"/>
                <w:sz w:val="32"/>
                <w:szCs w:val="32"/>
              </w:rPr>
              <w:t>.交城县黄河人家农家乐打造项目。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/>
          <w:snapToGrid w:val="0"/>
          <w:color w:val="000000"/>
          <w:sz w:val="32"/>
          <w:szCs w:val="32"/>
        </w:rPr>
      </w:pPr>
      <w:r>
        <w:rPr>
          <w:rFonts w:ascii="仿宋" w:hAnsi="仿宋" w:eastAsia="仿宋"/>
          <w:snapToGrid w:val="0"/>
          <w:color w:val="000000"/>
          <w:sz w:val="32"/>
          <w:szCs w:val="32"/>
        </w:rPr>
        <w:t xml:space="preserve"> </w:t>
      </w:r>
    </w:p>
    <w:p>
      <w:bookmarkStart w:id="29" w:name="_GoBack"/>
      <w:bookmarkEnd w:id="2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A7AA3"/>
    <w:rsid w:val="622A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autoSpaceDE/>
      <w:autoSpaceDN/>
      <w:jc w:val="both"/>
      <w:outlineLvl w:val="0"/>
    </w:pPr>
    <w:rPr>
      <w:rFonts w:ascii="Arial" w:hAnsi="Arial" w:cs="Arial"/>
      <w:bCs/>
      <w:kern w:val="2"/>
      <w:sz w:val="21"/>
      <w:szCs w:val="32"/>
      <w:lang w:val="en-US" w:bidi="ar-SA"/>
    </w:rPr>
  </w:style>
  <w:style w:type="paragraph" w:styleId="3">
    <w:name w:val="table of authorities"/>
    <w:basedOn w:val="1"/>
    <w:next w:val="1"/>
    <w:qFormat/>
    <w:uiPriority w:val="0"/>
    <w:pPr>
      <w:autoSpaceDE/>
      <w:autoSpaceDN/>
      <w:spacing w:line="360" w:lineRule="auto"/>
      <w:ind w:left="420" w:leftChars="200"/>
      <w:jc w:val="both"/>
    </w:pPr>
    <w:rPr>
      <w:rFonts w:ascii="Calibri" w:hAnsi="Calibri" w:cs="黑体"/>
      <w:kern w:val="2"/>
      <w:sz w:val="28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2021-10-13T01:38:00Z</dcterms:created>
  <dc:creator>蜡笔小新</dc:creator>
  <cp:lastModifiedBy>蜡笔小新</cp:lastModifiedBy>
  <dcterms:modified xsi:type="dcterms:W3CDTF">2021-10-13T01:38:27Z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9D13986544E84493B27D01AC0C9F5C4C</vt:lpwstr>
  </property>
</Properties>
</file>