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outlineLvl w:val="0"/>
        <w:rPr>
          <w:rFonts w:ascii="黑体" w:hAnsi="黑体" w:eastAsia="黑体"/>
          <w:bCs/>
          <w:snapToGrid w:val="0"/>
          <w:color w:val="000000"/>
          <w:sz w:val="32"/>
          <w:szCs w:val="32"/>
        </w:rPr>
      </w:pPr>
      <w:bookmarkStart w:id="0" w:name="_Toc20591"/>
      <w:bookmarkStart w:id="1" w:name="_Toc4685"/>
      <w:bookmarkStart w:id="2" w:name="_Toc71213655"/>
      <w:bookmarkStart w:id="3" w:name="_Toc8847"/>
      <w:r>
        <w:rPr>
          <w:rFonts w:hint="eastAsia" w:ascii="黑体" w:hAnsi="黑体" w:eastAsia="黑体"/>
          <w:bCs/>
          <w:snapToGrid w:val="0"/>
          <w:color w:val="000000"/>
          <w:sz w:val="32"/>
          <w:szCs w:val="32"/>
        </w:rPr>
        <w:t>第二章 交城县“十四五”经济社会发展环境研判</w:t>
      </w:r>
      <w:bookmarkEnd w:id="0"/>
      <w:bookmarkEnd w:id="1"/>
      <w:bookmarkEnd w:id="2"/>
      <w:bookmarkEnd w:id="3"/>
    </w:p>
    <w:p>
      <w:pPr>
        <w:adjustRightInd w:val="0"/>
        <w:snapToGrid w:val="0"/>
        <w:spacing w:line="560" w:lineRule="exact"/>
        <w:jc w:val="center"/>
        <w:outlineLvl w:val="1"/>
        <w:rPr>
          <w:rFonts w:hint="eastAsia" w:ascii="楷体" w:hAnsi="楷体" w:eastAsia="楷体" w:cs="楷体"/>
          <w:bCs/>
          <w:snapToGrid w:val="0"/>
          <w:color w:val="000000"/>
          <w:sz w:val="32"/>
          <w:szCs w:val="32"/>
        </w:rPr>
      </w:pPr>
      <w:bookmarkStart w:id="4" w:name="_Toc28992"/>
      <w:bookmarkStart w:id="5" w:name="_Toc55320822"/>
      <w:bookmarkStart w:id="6" w:name="_Toc8364"/>
      <w:bookmarkStart w:id="7" w:name="_Toc2230"/>
      <w:bookmarkStart w:id="8" w:name="_Toc6133"/>
      <w:bookmarkStart w:id="9" w:name="_Toc57983973"/>
      <w:bookmarkStart w:id="10" w:name="_Toc71213656"/>
      <w:bookmarkStart w:id="11" w:name="_Toc61250684"/>
    </w:p>
    <w:p>
      <w:pPr>
        <w:adjustRightInd w:val="0"/>
        <w:snapToGrid w:val="0"/>
        <w:spacing w:line="560" w:lineRule="exact"/>
        <w:jc w:val="center"/>
        <w:outlineLvl w:val="1"/>
        <w:rPr>
          <w:rFonts w:ascii="楷体" w:hAnsi="楷体" w:eastAsia="楷体" w:cs="楷体"/>
          <w:bCs/>
          <w:snapToGrid w:val="0"/>
          <w:color w:val="000000"/>
          <w:sz w:val="32"/>
          <w:szCs w:val="32"/>
        </w:rPr>
      </w:pPr>
      <w:r>
        <w:rPr>
          <w:rFonts w:hint="eastAsia" w:ascii="楷体" w:hAnsi="楷体" w:eastAsia="楷体" w:cs="楷体"/>
          <w:bCs/>
          <w:snapToGrid w:val="0"/>
          <w:color w:val="000000"/>
          <w:sz w:val="32"/>
          <w:szCs w:val="32"/>
        </w:rPr>
        <w:t>第一节 “十四五”经济社会发展面临的机遇</w:t>
      </w:r>
      <w:bookmarkEnd w:id="4"/>
      <w:bookmarkEnd w:id="5"/>
      <w:bookmarkEnd w:id="6"/>
      <w:bookmarkEnd w:id="7"/>
      <w:bookmarkEnd w:id="8"/>
      <w:bookmarkEnd w:id="9"/>
      <w:bookmarkEnd w:id="10"/>
      <w:bookmarkEnd w:id="11"/>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新一轮产业革命正在催生新经济</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“十四五”期间我县科技发展面临四大趋势：一是移动互联网、智能终端、大数据、云计算、高端芯片等新一代信</w:t>
      </w:r>
      <w:bookmarkStart w:id="19" w:name="_GoBack"/>
      <w:bookmarkEnd w:id="19"/>
      <w:r>
        <w:rPr>
          <w:rFonts w:hint="eastAsia" w:ascii="仿宋" w:hAnsi="仿宋" w:eastAsia="仿宋" w:cs="仿宋"/>
          <w:snapToGrid w:val="0"/>
          <w:color w:val="000000"/>
          <w:sz w:val="32"/>
          <w:szCs w:val="32"/>
        </w:rPr>
        <w:t>息技术发展将带动众多产业变革和创新，二是围绕新能源、气候变化、空间开发的技术创新更加密集，三是绿色经济、低碳技术等新兴产业蓬勃兴起，四是生命科学、生物技术带动形成的健康产业、现代农业、生物能源、生物制造、环保等产业。随着新技术、新产业的发展，不同产业之间边界渐趋模糊，新兴产业的空间巨大广阔。</w:t>
      </w:r>
    </w:p>
    <w:p>
      <w:pPr>
        <w:pStyle w:val="3"/>
        <w:adjustRightInd w:val="0"/>
        <w:snapToGrid w:val="0"/>
        <w:spacing w:line="560" w:lineRule="exact"/>
        <w:ind w:left="0" w:leftChars="0" w:firstLine="640" w:firstLineChars="200"/>
        <w:rPr>
          <w:rFonts w:ascii="仿宋" w:hAnsi="仿宋" w:eastAsia="仿宋" w:cs="仿宋"/>
          <w:snapToGrid w:val="0"/>
          <w:color w:val="000000"/>
          <w:kern w:val="0"/>
          <w:sz w:val="32"/>
          <w:szCs w:val="32"/>
        </w:rPr>
      </w:pPr>
      <w:r>
        <w:rPr>
          <w:rFonts w:hint="eastAsia" w:ascii="仿宋" w:hAnsi="仿宋" w:eastAsia="仿宋" w:cs="楷体"/>
          <w:snapToGrid w:val="0"/>
          <w:color w:val="000000"/>
          <w:kern w:val="0"/>
          <w:sz w:val="32"/>
          <w:szCs w:val="32"/>
        </w:rPr>
        <w:t>“双循环”战略撬动经济新增长</w:t>
      </w:r>
      <w:r>
        <w:rPr>
          <w:rFonts w:hint="eastAsia" w:ascii="仿宋" w:hAnsi="仿宋" w:eastAsia="仿宋" w:cs="楷体"/>
          <w:bCs/>
          <w:snapToGrid w:val="0"/>
          <w:color w:val="000000"/>
          <w:kern w:val="0"/>
          <w:sz w:val="32"/>
          <w:szCs w:val="32"/>
        </w:rPr>
        <w:t>。</w:t>
      </w:r>
      <w:r>
        <w:rPr>
          <w:rFonts w:hint="eastAsia" w:ascii="仿宋" w:hAnsi="仿宋" w:eastAsia="仿宋" w:cs="仿宋"/>
          <w:snapToGrid w:val="0"/>
          <w:color w:val="000000"/>
          <w:kern w:val="0"/>
          <w:sz w:val="32"/>
          <w:szCs w:val="32"/>
        </w:rPr>
        <w:t>“双循环”是我国在新时期立足国内、兼顾国际视角下，实现经济高质量发展的重大战略布局。交城县紧紧依靠太原都市圈的发展机遇，加速城市化建设步伐，发挥好交通优势，打通太原向西开放的大通道；同时利用太原都市圈的辐射功能，积极吸引太原市的资金、技术、人才资源，大力发展大数据产业、光伏产业、高端白酒产业和现代服务业等转型项目；主动承接太原都市圈内产业转移，积极引进有实力的龙头和骨干企业，创新发展模式，促进新技术、新产品和新业态健康有序发展。坚持引进与培育相结合，发展壮大龙头企业，带动产业集群发展。</w:t>
      </w:r>
    </w:p>
    <w:p>
      <w:pPr>
        <w:pStyle w:val="3"/>
        <w:adjustRightInd w:val="0"/>
        <w:snapToGrid w:val="0"/>
        <w:spacing w:line="560" w:lineRule="exact"/>
        <w:ind w:left="0" w:leftChars="0" w:firstLine="640" w:firstLineChars="200"/>
        <w:rPr>
          <w:rFonts w:ascii="仿宋" w:hAnsi="仿宋" w:eastAsia="仿宋" w:cs="仿宋"/>
          <w:snapToGrid w:val="0"/>
          <w:color w:val="000000"/>
          <w:kern w:val="0"/>
          <w:sz w:val="32"/>
          <w:szCs w:val="32"/>
        </w:rPr>
      </w:pPr>
      <w:r>
        <w:rPr>
          <w:rFonts w:hint="eastAsia" w:ascii="仿宋" w:hAnsi="仿宋" w:eastAsia="仿宋" w:cs="楷体"/>
          <w:snapToGrid w:val="0"/>
          <w:color w:val="000000"/>
          <w:kern w:val="0"/>
          <w:sz w:val="32"/>
          <w:szCs w:val="32"/>
        </w:rPr>
        <w:t>资源型经济转型带来新机会</w:t>
      </w:r>
      <w:r>
        <w:rPr>
          <w:rFonts w:hint="eastAsia" w:ascii="仿宋" w:hAnsi="仿宋" w:eastAsia="仿宋" w:cs="楷体"/>
          <w:bCs/>
          <w:snapToGrid w:val="0"/>
          <w:color w:val="000000"/>
          <w:kern w:val="0"/>
          <w:sz w:val="32"/>
          <w:szCs w:val="32"/>
        </w:rPr>
        <w:t>。</w:t>
      </w:r>
      <w:r>
        <w:rPr>
          <w:rFonts w:hint="eastAsia" w:ascii="仿宋" w:hAnsi="仿宋" w:eastAsia="仿宋" w:cs="仿宋"/>
          <w:snapToGrid w:val="0"/>
          <w:color w:val="000000"/>
          <w:kern w:val="0"/>
          <w:sz w:val="32"/>
          <w:szCs w:val="32"/>
        </w:rPr>
        <w:t>建设国家资源型经济转型综合配套改革试验区是习近平总书记和党中央赋予山西的重大使命，也是山西实现高质量转型的历史机遇。</w:t>
      </w:r>
      <w:r>
        <w:rPr>
          <w:rFonts w:ascii="仿宋" w:hAnsi="仿宋" w:eastAsia="仿宋"/>
          <w:snapToGrid w:val="0"/>
          <w:color w:val="000000"/>
          <w:kern w:val="0"/>
          <w:sz w:val="32"/>
          <w:szCs w:val="32"/>
        </w:rPr>
        <w:t>2020年6</w:t>
      </w:r>
      <w:r>
        <w:rPr>
          <w:rFonts w:hint="eastAsia" w:ascii="仿宋" w:hAnsi="仿宋" w:eastAsia="仿宋" w:cs="仿宋"/>
          <w:snapToGrid w:val="0"/>
          <w:color w:val="000000"/>
          <w:kern w:val="0"/>
          <w:sz w:val="32"/>
          <w:szCs w:val="32"/>
        </w:rPr>
        <w:t>月，中共山西省委十一届十次会议上，新一届省委</w:t>
      </w:r>
      <w:r>
        <w:rPr>
          <w:rFonts w:ascii="仿宋" w:hAnsi="仿宋" w:eastAsia="仿宋"/>
          <w:snapToGrid w:val="0"/>
          <w:color w:val="000000"/>
          <w:kern w:val="0"/>
          <w:sz w:val="32"/>
          <w:szCs w:val="32"/>
        </w:rPr>
        <w:t>提出要深入学习贯彻习近平总书记视察山西重要讲话重要指示，坚持把转型发展作为经济工作和各项事业的纲，先行先试推动全面转型。要举全省之力，牢牢抓住未来5-10年的</w:t>
      </w:r>
      <w:r>
        <w:rPr>
          <w:rFonts w:hint="eastAsia" w:ascii="仿宋" w:hAnsi="仿宋" w:eastAsia="仿宋" w:cs="仿宋"/>
          <w:snapToGrid w:val="0"/>
          <w:color w:val="000000"/>
          <w:kern w:val="0"/>
          <w:sz w:val="32"/>
          <w:szCs w:val="32"/>
        </w:rPr>
        <w:t>转型窗口期、关键期，坚决打赢打好“在新基建、新技术、新材料、新装备、新产品、新业态”攻坚战、争夺战，在转型发展上率先蹚出一条新路来。</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高质量发展注入新活力</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党中央、国务院决策部署，坚持以提高发展质量和效益为中心，以推进供给侧结构性改革为主线，深入实施创新驱动发展战略，推动能源供给、消费、技术、体制革命和国际合作，打造能源革命排头兵，促进产业转型升级，扩大对内对外开放，改善生态环境质量，实现资源型经济转型实质性突破，将山西省建设成为创新创业活力充分释放、经济发展内生动力不断增强、新旧动能转换成效显著的资源型经济转型发展示范区，为其他资源型地区经济转型提供可复制、可推广的制度性经验。</w:t>
      </w:r>
    </w:p>
    <w:p>
      <w:pPr>
        <w:pStyle w:val="3"/>
        <w:adjustRightInd w:val="0"/>
        <w:snapToGrid w:val="0"/>
        <w:spacing w:line="560" w:lineRule="exact"/>
        <w:ind w:left="0" w:leftChars="0" w:firstLine="640" w:firstLineChars="200"/>
        <w:rPr>
          <w:rFonts w:ascii="仿宋" w:hAnsi="仿宋" w:eastAsia="仿宋"/>
          <w:snapToGrid w:val="0"/>
          <w:color w:val="000000"/>
          <w:kern w:val="0"/>
          <w:sz w:val="32"/>
          <w:szCs w:val="32"/>
        </w:rPr>
      </w:pPr>
      <w:r>
        <w:rPr>
          <w:rFonts w:hint="eastAsia" w:ascii="仿宋" w:hAnsi="仿宋" w:eastAsia="仿宋" w:cs="楷体"/>
          <w:snapToGrid w:val="0"/>
          <w:color w:val="000000"/>
          <w:kern w:val="0"/>
          <w:sz w:val="32"/>
          <w:szCs w:val="32"/>
        </w:rPr>
        <w:t>国家政策多重叠加释放红利</w:t>
      </w:r>
      <w:r>
        <w:rPr>
          <w:rFonts w:hint="eastAsia" w:ascii="仿宋" w:hAnsi="仿宋" w:eastAsia="仿宋" w:cs="楷体"/>
          <w:bCs/>
          <w:snapToGrid w:val="0"/>
          <w:color w:val="000000"/>
          <w:kern w:val="0"/>
          <w:sz w:val="32"/>
          <w:szCs w:val="32"/>
        </w:rPr>
        <w:t>。</w:t>
      </w:r>
      <w:r>
        <w:rPr>
          <w:rFonts w:hint="eastAsia" w:ascii="仿宋" w:hAnsi="仿宋" w:eastAsia="仿宋" w:cs="仿宋"/>
          <w:snapToGrid w:val="0"/>
          <w:color w:val="000000"/>
          <w:kern w:val="0"/>
          <w:sz w:val="32"/>
          <w:szCs w:val="32"/>
        </w:rPr>
        <w:t>中央和我省相继出台国企改革、金融改革、扩大消费、简政放权、“双创”、“互联网+”、脱贫攻坚等一系列政策，以及山西中部盆地城市群一体化发展纵深推进等多重利好政策叠加，有助于化解产能过剩，促进服务业、先进制造业发展，扶持小微企业成长，加快民生改善，为我县稳定基本发展面、促进产业迈向中高端及开启全面建设社会主义现代化国家的新征程提供持续利好的政策环境。再放眼经济大布局，国家“一带一路”、京津冀协同发展、环渤海地区合作发展等重大战略的实施，特别是《京津冀协同发展规划纲要》和《环渤海地区合作发展纲要》都把山西纳入其中，将山西从单纯的能源生产基地转变为辐射欧亚大陆的能源加工和集散中心，成为承东启西、连接南北区位优势和产业分工的纽带，这是山西发展的重大战略机遇。</w:t>
      </w:r>
      <w:r>
        <w:rPr>
          <w:rFonts w:hint="eastAsia" w:ascii="仿宋" w:hAnsi="仿宋" w:eastAsia="仿宋" w:cs="仿宋_GB2312"/>
          <w:snapToGrid w:val="0"/>
          <w:color w:val="000000"/>
          <w:kern w:val="0"/>
          <w:sz w:val="32"/>
          <w:szCs w:val="32"/>
        </w:rPr>
        <w:t>市委提出“建设‘五个吕梁’、打造‘九大基地’”的战略目标，为我县实现高质量发展、蹚出转型发展新路提供了广阔空间。</w:t>
      </w:r>
      <w:r>
        <w:rPr>
          <w:rFonts w:hint="eastAsia" w:ascii="仿宋" w:hAnsi="仿宋" w:eastAsia="仿宋" w:cs="仿宋"/>
          <w:snapToGrid w:val="0"/>
          <w:color w:val="000000"/>
          <w:kern w:val="0"/>
          <w:sz w:val="32"/>
          <w:szCs w:val="32"/>
        </w:rPr>
        <w:t>太原大都市区规划将我县纳入西部工业城镇带，为我县借势发展、融合发展、开放发展提供了难得的历史机遇和合作空间。</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黄河流域生态保护和高质量发展战略迎来环境治理新契机</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黄河流域生态保护和高质量发展上升为国家战略。生态环境部</w:t>
      </w:r>
      <w:r>
        <w:rPr>
          <w:rFonts w:ascii="仿宋" w:hAnsi="仿宋" w:eastAsia="仿宋"/>
          <w:snapToGrid w:val="0"/>
          <w:color w:val="000000"/>
          <w:sz w:val="32"/>
          <w:szCs w:val="32"/>
        </w:rPr>
        <w:t>2020年8月19日</w:t>
      </w:r>
      <w:r>
        <w:rPr>
          <w:rFonts w:hint="eastAsia" w:ascii="仿宋" w:hAnsi="仿宋" w:eastAsia="仿宋" w:cs="仿宋"/>
          <w:snapToGrid w:val="0"/>
          <w:color w:val="000000"/>
          <w:sz w:val="32"/>
          <w:szCs w:val="32"/>
        </w:rPr>
        <w:t>召开部党组（扩大）会议强调，黄河流域生态环境脆弱，水资源保障形势严峻，发展质量有待提高。要研究提出推进沿黄九省区“三线一单”编制，完善生态环境分区管控体系，开展生态保护红线勘界定标，以行业规划环评优化产业布局，促进黄河流域产业结构调整优化，大力推进高质量发展。山西位于黄河中游，是黄河重要的水源补给区和生态安全屏障。吕梁山黄土丘陵沟壑区是全国“两屏三带”生态安全格局中“黄土高原-川滇生态屏障”的重要组成部分，对黄河中下游生态安全具有重要影响，交城县地处汾河谷底片域，生态区位十分重要。</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区域协同发展迸发新动力</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作为太原都市圈的一员，交城可以与圈内其他中小城市展开错位竞争、协同发展，在空间上与相邻县市通过产业整合产生集聚效应，同时可以利用区位优势展开合作进行一体化发展。太原市都市圈内丰富的旅游资源为区域旅游协调发展提供了现实基础。</w:t>
      </w:r>
    </w:p>
    <w:p>
      <w:pPr>
        <w:adjustRightInd w:val="0"/>
        <w:snapToGrid w:val="0"/>
        <w:spacing w:line="560" w:lineRule="exact"/>
        <w:jc w:val="center"/>
        <w:outlineLvl w:val="1"/>
        <w:rPr>
          <w:rFonts w:hint="eastAsia" w:ascii="仿宋" w:hAnsi="仿宋" w:eastAsia="仿宋" w:cs="楷体"/>
          <w:bCs/>
          <w:snapToGrid w:val="0"/>
          <w:color w:val="000000"/>
          <w:sz w:val="32"/>
          <w:szCs w:val="32"/>
        </w:rPr>
      </w:pPr>
      <w:bookmarkStart w:id="12" w:name="_Toc61250685"/>
      <w:bookmarkStart w:id="13" w:name="_Toc57983974"/>
      <w:bookmarkStart w:id="14" w:name="_Toc28576"/>
      <w:bookmarkStart w:id="15" w:name="_Toc71213657"/>
      <w:bookmarkStart w:id="16" w:name="_Toc22731"/>
      <w:bookmarkStart w:id="17" w:name="_Toc20432"/>
      <w:bookmarkStart w:id="18" w:name="_Toc27187"/>
    </w:p>
    <w:p>
      <w:pPr>
        <w:adjustRightInd w:val="0"/>
        <w:snapToGrid w:val="0"/>
        <w:spacing w:line="560" w:lineRule="exact"/>
        <w:jc w:val="center"/>
        <w:outlineLvl w:val="1"/>
        <w:rPr>
          <w:rFonts w:ascii="楷体" w:hAnsi="楷体" w:eastAsia="楷体" w:cs="楷体"/>
          <w:bCs/>
          <w:snapToGrid w:val="0"/>
          <w:color w:val="000000"/>
          <w:sz w:val="32"/>
          <w:szCs w:val="32"/>
        </w:rPr>
      </w:pPr>
      <w:r>
        <w:rPr>
          <w:rFonts w:hint="eastAsia" w:ascii="楷体" w:hAnsi="楷体" w:eastAsia="楷体" w:cs="楷体"/>
          <w:bCs/>
          <w:snapToGrid w:val="0"/>
          <w:color w:val="000000"/>
          <w:sz w:val="32"/>
          <w:szCs w:val="32"/>
        </w:rPr>
        <w:t>第二节 “十四五”经济社会发展面临的挑战</w:t>
      </w:r>
      <w:bookmarkEnd w:id="12"/>
      <w:bookmarkEnd w:id="13"/>
      <w:bookmarkEnd w:id="14"/>
      <w:bookmarkEnd w:id="15"/>
      <w:bookmarkEnd w:id="16"/>
      <w:bookmarkEnd w:id="17"/>
      <w:bookmarkEnd w:id="18"/>
    </w:p>
    <w:p>
      <w:pPr>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楷体"/>
          <w:snapToGrid w:val="0"/>
          <w:color w:val="000000"/>
          <w:sz w:val="32"/>
          <w:szCs w:val="32"/>
        </w:rPr>
        <w:t>供给侧改革带来就业压力</w:t>
      </w:r>
      <w:r>
        <w:rPr>
          <w:rFonts w:hint="eastAsia" w:ascii="仿宋" w:hAnsi="仿宋" w:eastAsia="仿宋" w:cs="楷体"/>
          <w:bCs/>
          <w:snapToGrid w:val="0"/>
          <w:color w:val="000000"/>
          <w:sz w:val="32"/>
          <w:szCs w:val="32"/>
        </w:rPr>
        <w:t>。</w:t>
      </w:r>
      <w:r>
        <w:rPr>
          <w:rFonts w:hint="eastAsia" w:ascii="仿宋" w:hAnsi="仿宋" w:eastAsia="仿宋" w:cs="仿宋"/>
          <w:bCs/>
          <w:snapToGrid w:val="0"/>
          <w:color w:val="000000"/>
          <w:sz w:val="32"/>
          <w:szCs w:val="32"/>
        </w:rPr>
        <w:t>供给侧改革的一项主要内容为化解过剩产能和处置“僵尸企业”，我县的过剩产能主要集中在煤炭企业，这些企业吸纳了较多的就业人数。随着高能耗的煤炭企业被迫关闭，势必对我县就业市场产生较大的冲击，职工再就业或安置问题将成为政府面临的重要挑战。</w:t>
      </w:r>
    </w:p>
    <w:p>
      <w:pPr>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楷体"/>
          <w:snapToGrid w:val="0"/>
          <w:color w:val="000000"/>
          <w:sz w:val="32"/>
          <w:szCs w:val="32"/>
        </w:rPr>
        <w:t>经济转型任务艰巨繁重</w:t>
      </w:r>
      <w:r>
        <w:rPr>
          <w:rFonts w:hint="eastAsia" w:ascii="仿宋" w:hAnsi="仿宋" w:eastAsia="仿宋" w:cs="楷体"/>
          <w:bCs/>
          <w:snapToGrid w:val="0"/>
          <w:color w:val="000000"/>
          <w:sz w:val="32"/>
          <w:szCs w:val="32"/>
        </w:rPr>
        <w:t>。</w:t>
      </w:r>
      <w:r>
        <w:rPr>
          <w:rFonts w:hint="eastAsia" w:ascii="仿宋" w:hAnsi="仿宋" w:eastAsia="仿宋" w:cs="仿宋"/>
          <w:bCs/>
          <w:snapToGrid w:val="0"/>
          <w:color w:val="000000"/>
          <w:sz w:val="32"/>
          <w:szCs w:val="32"/>
        </w:rPr>
        <w:t>面临既要“转”又要“赶”的双重压力，一产特色化虽然规模成长，但特而不优，农业品牌化、标准化、产业化水平仍然不高；二产虽有多元化发展的优势，但产业多数位于资源型加工业的初端，缺乏具有市场竞争力的核心技术和产业关联性的关键技术，产业抵御市场风险能力差；三产中旅游开发势头强劲，但旅游的整体资源优势仍未转化成产业优势和经济优势。县域经济总量不大，发展后劲不足，新兴产业体量不大，财政收支矛盾突出，重点税源结构单一，刚性支出逐年增加，可用财力紧张。</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生态环境压力依然较大</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十三五”时期是交城县生态环境保护的“攻坚期”，生态环境保护事业经历了改革发展的关键转折。“十四五”时期生态环境保护将走出环境库兹涅茨曲线峰值期，但继续提升生态环境质量的边际成本会上升。此外，平川边山一带和山区矿区由于煤炭、铁矿等资源长期开采，生态环境破坏严重，占县域面积</w:t>
      </w:r>
      <w:r>
        <w:rPr>
          <w:rFonts w:ascii="仿宋" w:hAnsi="仿宋" w:eastAsia="仿宋"/>
          <w:snapToGrid w:val="0"/>
          <w:color w:val="000000"/>
          <w:sz w:val="32"/>
          <w:szCs w:val="32"/>
        </w:rPr>
        <w:t>7.8%</w:t>
      </w:r>
      <w:r>
        <w:rPr>
          <w:rFonts w:hint="eastAsia" w:ascii="仿宋" w:hAnsi="仿宋" w:eastAsia="仿宋" w:cs="仿宋"/>
          <w:snapToGrid w:val="0"/>
          <w:color w:val="000000"/>
          <w:sz w:val="32"/>
          <w:szCs w:val="32"/>
        </w:rPr>
        <w:t>的平川由于人口大量集聚和工业生产集中分布，致使区域性生态环境污染严重，地下水超采造成大面积漏斗，污染物介质从以水、大气为主向水、大气和土壤共存转变，各类环境问题将变得更加复杂和不确定。</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区域竞争压力依然存在</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招商引资作为现阶段我县推动经济快速发展的主要手段，受到相关行业产能严重过剩和周边县市激烈竞争的双重限制。在太原市都市圈中，中小城市之间的产业同构情况比较严重，交城县处于太原都市圈内清徐-交城-文水重工业带上，与都市圈内其他中小城市存在一定竞争关系。</w:t>
      </w: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r>
        <w:rPr>
          <w:rFonts w:hint="eastAsia" w:ascii="仿宋" w:hAnsi="仿宋" w:eastAsia="仿宋" w:cs="仿宋"/>
          <w:snapToGrid w:val="0"/>
          <w:color w:val="000000"/>
          <w:sz w:val="32"/>
          <w:szCs w:val="32"/>
        </w:rPr>
        <w:t>综合判断，“十四五”时期我县经济和社会发展虽面临诸多挑战，但得益于外部长期向好的发展局面，仍处于大有可为的机遇时期。交城县上下必须准确把握机遇、保持战略定力、突出问题导向、瞄准“短板”和难点，适应和引领新常态，加快推进改革创新、全力推动转型升级，培育发展新动能和竞争新优势，奋力实现经济社会发展的历史性跨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F725A"/>
    <w:rsid w:val="4CEF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autoSpaceDE/>
      <w:autoSpaceDN/>
      <w:jc w:val="both"/>
      <w:outlineLvl w:val="0"/>
    </w:pPr>
    <w:rPr>
      <w:rFonts w:ascii="Arial" w:hAnsi="Arial" w:cs="Arial"/>
      <w:bCs/>
      <w:kern w:val="2"/>
      <w:sz w:val="21"/>
      <w:szCs w:val="32"/>
      <w:lang w:val="en-US" w:bidi="ar-SA"/>
    </w:rPr>
  </w:style>
  <w:style w:type="paragraph" w:styleId="3">
    <w:name w:val="table of authorities"/>
    <w:basedOn w:val="1"/>
    <w:next w:val="1"/>
    <w:qFormat/>
    <w:uiPriority w:val="0"/>
    <w:pPr>
      <w:autoSpaceDE/>
      <w:autoSpaceDN/>
      <w:spacing w:line="360" w:lineRule="auto"/>
      <w:ind w:left="420" w:leftChars="200"/>
      <w:jc w:val="both"/>
    </w:pPr>
    <w:rPr>
      <w:rFonts w:ascii="Calibri" w:hAnsi="Calibri" w:cs="黑体"/>
      <w:kern w:val="2"/>
      <w:sz w:val="28"/>
      <w:lang w:val="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2021-10-13T01:26:00Z</dcterms:created>
  <dc:creator>蜡笔小新</dc:creator>
  <cp:lastModifiedBy>蜡笔小新</cp:lastModifiedBy>
  <dcterms:modified xsi:type="dcterms:W3CDTF">2021-10-13T01:27:08Z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F0F42FA5096140DDAE14201EBC29A4EA</vt:lpwstr>
  </property>
</Properties>
</file>