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04A99">
      <w:pPr>
        <w:pStyle w:val="3"/>
        <w:adjustRightInd w:val="0"/>
        <w:snapToGrid w:val="0"/>
        <w:spacing w:line="560" w:lineRule="exact"/>
        <w:ind w:left="0" w:leftChars="0"/>
        <w:jc w:val="center"/>
        <w:rPr>
          <w:rFonts w:hint="eastAsia" w:ascii="华文中宋" w:hAnsi="华文中宋" w:eastAsia="华文中宋"/>
          <w:b/>
          <w:snapToGrid w:val="0"/>
          <w:color w:val="000000"/>
          <w:sz w:val="36"/>
          <w:szCs w:val="36"/>
        </w:rPr>
      </w:pPr>
      <w:bookmarkStart w:id="0" w:name="_Toc27646"/>
      <w:bookmarkStart w:id="1" w:name="_Toc6692"/>
      <w:bookmarkStart w:id="2" w:name="_Toc61250671"/>
      <w:bookmarkStart w:id="3" w:name="_Toc4766"/>
      <w:bookmarkStart w:id="4" w:name="_Toc71213652"/>
      <w:r>
        <w:rPr>
          <w:rFonts w:hint="eastAsia" w:ascii="华文中宋" w:hAnsi="华文中宋" w:eastAsia="华文中宋"/>
          <w:b/>
          <w:snapToGrid w:val="0"/>
          <w:color w:val="000000"/>
          <w:sz w:val="36"/>
          <w:szCs w:val="36"/>
        </w:rPr>
        <w:t>交城县国民经济和社会发展第十四个五年规划</w:t>
      </w:r>
    </w:p>
    <w:p w14:paraId="20C7B462">
      <w:pPr>
        <w:pStyle w:val="3"/>
        <w:adjustRightInd w:val="0"/>
        <w:snapToGrid w:val="0"/>
        <w:spacing w:line="560" w:lineRule="exact"/>
        <w:ind w:left="0" w:leftChars="0"/>
        <w:jc w:val="center"/>
        <w:rPr>
          <w:rFonts w:ascii="华文中宋" w:hAnsi="华文中宋" w:eastAsia="华文中宋"/>
          <w:b/>
          <w:snapToGrid w:val="0"/>
          <w:color w:val="000000"/>
          <w:sz w:val="36"/>
          <w:szCs w:val="36"/>
        </w:rPr>
      </w:pPr>
      <w:r>
        <w:rPr>
          <w:rFonts w:hint="eastAsia" w:ascii="华文中宋" w:hAnsi="华文中宋" w:eastAsia="华文中宋"/>
          <w:b/>
          <w:snapToGrid w:val="0"/>
          <w:color w:val="000000"/>
          <w:sz w:val="36"/>
          <w:szCs w:val="36"/>
        </w:rPr>
        <w:t>和2035年远景目标纲要</w:t>
      </w:r>
    </w:p>
    <w:p w14:paraId="11F863C4">
      <w:pPr>
        <w:adjustRightInd w:val="0"/>
        <w:snapToGrid w:val="0"/>
        <w:spacing w:line="560" w:lineRule="exact"/>
        <w:jc w:val="center"/>
        <w:outlineLvl w:val="0"/>
        <w:rPr>
          <w:rFonts w:ascii="仿宋" w:hAnsi="仿宋" w:eastAsia="仿宋" w:cs="华文中宋"/>
          <w:snapToGrid w:val="0"/>
          <w:color w:val="000000"/>
          <w:sz w:val="32"/>
          <w:szCs w:val="32"/>
          <w:lang w:val="en-US"/>
        </w:rPr>
      </w:pPr>
    </w:p>
    <w:p w14:paraId="649B7D2D">
      <w:pPr>
        <w:adjustRightInd w:val="0"/>
        <w:snapToGrid w:val="0"/>
        <w:spacing w:line="560" w:lineRule="exact"/>
        <w:ind w:firstLine="640" w:firstLineChars="200"/>
        <w:jc w:val="both"/>
        <w:outlineLvl w:val="0"/>
        <w:rPr>
          <w:rFonts w:hint="eastAsia" w:ascii="仿宋" w:hAnsi="仿宋" w:eastAsia="仿宋" w:cs="仿宋"/>
          <w:snapToGrid w:val="0"/>
          <w:color w:val="000000"/>
          <w:sz w:val="32"/>
          <w:szCs w:val="32"/>
          <w:lang w:val="en-US" w:bidi="ar-SA"/>
        </w:rPr>
      </w:pPr>
      <w:r>
        <w:rPr>
          <w:rFonts w:hint="eastAsia" w:ascii="仿宋" w:hAnsi="仿宋" w:eastAsia="仿宋" w:cs="仿宋"/>
          <w:snapToGrid w:val="0"/>
          <w:color w:val="000000"/>
          <w:sz w:val="32"/>
          <w:szCs w:val="32"/>
          <w:lang w:val="en-US" w:bidi="ar-SA"/>
        </w:rPr>
        <w:t>交城县国民经济和社会发展第十四个五年规划和2035年远景目标纲要，根据《中共交城县委关于制定国民经济和社会发展第十四个五年规划和二〇三五年远景目标的建议》编制，主要明确我县未来五年转型出雏形的宏伟目标、主要任务和重大举措，展望2035年远景目标，是党委领导经济社会发展、政府履行职责的重要依据，是引导规范市场主体的重要参考，是全县人民共同的行动纲领。</w:t>
      </w:r>
    </w:p>
    <w:p w14:paraId="2F57A30A">
      <w:pPr>
        <w:adjustRightInd w:val="0"/>
        <w:snapToGrid w:val="0"/>
        <w:spacing w:line="560" w:lineRule="exact"/>
        <w:ind w:firstLine="640" w:firstLineChars="200"/>
        <w:jc w:val="both"/>
        <w:outlineLvl w:val="0"/>
        <w:rPr>
          <w:rFonts w:ascii="仿宋" w:hAnsi="仿宋" w:eastAsia="仿宋" w:cs="仿宋"/>
          <w:snapToGrid w:val="0"/>
          <w:color w:val="000000"/>
          <w:sz w:val="32"/>
          <w:szCs w:val="32"/>
          <w:lang w:val="en-US" w:bidi="ar-SA"/>
        </w:rPr>
      </w:pPr>
    </w:p>
    <w:p w14:paraId="4D8A1CD9">
      <w:pPr>
        <w:adjustRightInd w:val="0"/>
        <w:snapToGrid w:val="0"/>
        <w:spacing w:line="560" w:lineRule="exact"/>
        <w:jc w:val="center"/>
        <w:outlineLvl w:val="0"/>
        <w:rPr>
          <w:rFonts w:ascii="黑体" w:hAnsi="黑体" w:eastAsia="黑体"/>
          <w:snapToGrid w:val="0"/>
          <w:color w:val="000000"/>
          <w:sz w:val="32"/>
          <w:szCs w:val="32"/>
        </w:rPr>
      </w:pPr>
      <w:r>
        <w:rPr>
          <w:rFonts w:hint="eastAsia" w:ascii="黑体" w:hAnsi="黑体" w:eastAsia="黑体"/>
          <w:snapToGrid w:val="0"/>
          <w:color w:val="000000"/>
          <w:sz w:val="32"/>
          <w:szCs w:val="32"/>
        </w:rPr>
        <w:t>第一章 交城县“十三五”经济社会发展评估</w:t>
      </w:r>
      <w:bookmarkEnd w:id="0"/>
      <w:bookmarkEnd w:id="1"/>
      <w:bookmarkEnd w:id="2"/>
      <w:bookmarkEnd w:id="3"/>
      <w:bookmarkEnd w:id="4"/>
    </w:p>
    <w:p w14:paraId="7C1A45FB">
      <w:pPr>
        <w:adjustRightInd w:val="0"/>
        <w:snapToGrid w:val="0"/>
        <w:spacing w:line="560" w:lineRule="exact"/>
        <w:jc w:val="center"/>
        <w:outlineLvl w:val="1"/>
        <w:rPr>
          <w:rFonts w:hint="eastAsia" w:ascii="楷体" w:hAnsi="楷体" w:eastAsia="楷体" w:cs="楷体"/>
          <w:bCs/>
          <w:snapToGrid w:val="0"/>
          <w:color w:val="000000"/>
          <w:sz w:val="32"/>
          <w:szCs w:val="32"/>
        </w:rPr>
      </w:pPr>
      <w:bookmarkStart w:id="5" w:name="_Toc9869"/>
      <w:bookmarkStart w:id="6" w:name="_Toc7058"/>
      <w:bookmarkStart w:id="7" w:name="_Toc71213653"/>
      <w:bookmarkStart w:id="8" w:name="_Toc61250672"/>
      <w:bookmarkStart w:id="9" w:name="_Toc10002"/>
      <w:bookmarkStart w:id="10" w:name="_Toc23226"/>
      <w:bookmarkStart w:id="11" w:name="_Toc57983970"/>
    </w:p>
    <w:p w14:paraId="234191A3">
      <w:pPr>
        <w:adjustRightInd w:val="0"/>
        <w:snapToGrid w:val="0"/>
        <w:spacing w:line="560" w:lineRule="exact"/>
        <w:jc w:val="center"/>
        <w:outlineLvl w:val="1"/>
        <w:rPr>
          <w:rFonts w:ascii="楷体" w:hAnsi="楷体" w:eastAsia="楷体" w:cs="楷体"/>
          <w:bCs/>
          <w:snapToGrid w:val="0"/>
          <w:color w:val="000000"/>
          <w:sz w:val="32"/>
          <w:szCs w:val="32"/>
        </w:rPr>
      </w:pPr>
      <w:r>
        <w:rPr>
          <w:rFonts w:hint="eastAsia" w:ascii="楷体" w:hAnsi="楷体" w:eastAsia="楷体" w:cs="楷体"/>
          <w:bCs/>
          <w:snapToGrid w:val="0"/>
          <w:color w:val="000000"/>
          <w:sz w:val="32"/>
          <w:szCs w:val="32"/>
        </w:rPr>
        <w:t>第一节 “十三五”经济社会发展成就</w:t>
      </w:r>
      <w:bookmarkEnd w:id="5"/>
      <w:bookmarkEnd w:id="6"/>
      <w:bookmarkEnd w:id="7"/>
      <w:bookmarkEnd w:id="8"/>
      <w:bookmarkEnd w:id="9"/>
      <w:bookmarkEnd w:id="10"/>
      <w:bookmarkEnd w:id="11"/>
    </w:p>
    <w:p w14:paraId="2498DB5C">
      <w:pPr>
        <w:pStyle w:val="3"/>
        <w:adjustRightInd w:val="0"/>
        <w:snapToGrid w:val="0"/>
        <w:spacing w:line="560" w:lineRule="exact"/>
        <w:ind w:left="0" w:leftChars="0" w:firstLine="640" w:firstLineChars="200"/>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十三五”时期，全县上下坚持以习近平新时代中国特色社会主义思想为指导，全面贯彻落实科学发展观和党的十九大精神，深入贯彻习近平总书记视察山西重要讲话重要指示，认真落实省委、市委决策部署，坚定不移贯彻新发展理念，着力推动高质量转型发展，面对经济增长下行压力和市场持续疲软的不利形势，迎难而上，积极应对，决战决胜脱贫攻坚，全面加快转型发展，持续推进“六城同创”，统筹推进疫情防控和经济社会发展，全县各项事业发展取得了历史性成就。</w:t>
      </w:r>
    </w:p>
    <w:p w14:paraId="6B275CC0">
      <w:pPr>
        <w:adjustRightInd w:val="0"/>
        <w:snapToGrid w:val="0"/>
        <w:spacing w:line="560" w:lineRule="exact"/>
        <w:ind w:firstLine="640" w:firstLineChars="200"/>
        <w:jc w:val="both"/>
        <w:outlineLvl w:val="2"/>
        <w:rPr>
          <w:rFonts w:ascii="仿宋" w:hAnsi="仿宋" w:eastAsia="仿宋" w:cs="仿宋_GB2312"/>
          <w:bCs/>
          <w:snapToGrid w:val="0"/>
          <w:color w:val="000000"/>
          <w:sz w:val="32"/>
          <w:szCs w:val="32"/>
        </w:rPr>
      </w:pPr>
      <w:r>
        <w:rPr>
          <w:rFonts w:hint="eastAsia" w:ascii="仿宋" w:hAnsi="仿宋" w:eastAsia="仿宋"/>
          <w:bCs/>
          <w:snapToGrid w:val="0"/>
          <w:color w:val="000000"/>
          <w:sz w:val="32"/>
          <w:szCs w:val="32"/>
        </w:rPr>
        <w:t>（一）</w:t>
      </w:r>
      <w:r>
        <w:rPr>
          <w:rFonts w:hint="eastAsia" w:ascii="仿宋" w:hAnsi="仿宋" w:eastAsia="仿宋" w:cs="仿宋_GB2312"/>
          <w:bCs/>
          <w:snapToGrid w:val="0"/>
          <w:color w:val="000000"/>
          <w:sz w:val="32"/>
          <w:szCs w:val="32"/>
        </w:rPr>
        <w:t>脱贫攻坚取得决定性胜利</w:t>
      </w:r>
    </w:p>
    <w:p w14:paraId="7C763F74">
      <w:pPr>
        <w:adjustRightInd w:val="0"/>
        <w:snapToGrid w:val="0"/>
        <w:spacing w:line="560" w:lineRule="exact"/>
        <w:ind w:firstLine="640" w:firstLineChars="200"/>
        <w:jc w:val="both"/>
        <w:rPr>
          <w:rFonts w:ascii="仿宋" w:hAnsi="仿宋" w:eastAsia="仿宋" w:cs="Times New Roman"/>
          <w:snapToGrid w:val="0"/>
          <w:color w:val="000000"/>
          <w:sz w:val="32"/>
          <w:szCs w:val="32"/>
        </w:rPr>
      </w:pPr>
      <w:r>
        <w:rPr>
          <w:rFonts w:hint="eastAsia" w:ascii="仿宋" w:hAnsi="仿宋" w:eastAsia="仿宋" w:cs="仿宋"/>
          <w:snapToGrid w:val="0"/>
          <w:color w:val="000000"/>
          <w:sz w:val="32"/>
          <w:szCs w:val="32"/>
        </w:rPr>
        <w:t>“十三五”</w:t>
      </w:r>
      <w:r>
        <w:rPr>
          <w:rFonts w:hint="eastAsia" w:ascii="仿宋" w:hAnsi="仿宋" w:eastAsia="仿宋"/>
          <w:snapToGrid w:val="0"/>
          <w:color w:val="000000"/>
          <w:sz w:val="32"/>
          <w:szCs w:val="32"/>
        </w:rPr>
        <w:t>期间</w:t>
      </w:r>
      <w:r>
        <w:rPr>
          <w:rFonts w:hint="eastAsia" w:ascii="仿宋" w:hAnsi="仿宋" w:eastAsia="仿宋" w:cs="仿宋"/>
          <w:snapToGrid w:val="0"/>
          <w:color w:val="000000"/>
          <w:sz w:val="32"/>
          <w:szCs w:val="32"/>
        </w:rPr>
        <w:t>，全县以脱贫攻坚统揽经济社会发展全局，倾全县之力</w:t>
      </w:r>
      <w:r>
        <w:rPr>
          <w:rFonts w:hint="eastAsia" w:ascii="仿宋" w:hAnsi="仿宋" w:eastAsia="仿宋" w:cs="仿宋_GB2312"/>
          <w:snapToGrid w:val="0"/>
          <w:color w:val="000000"/>
          <w:sz w:val="32"/>
          <w:szCs w:val="32"/>
        </w:rPr>
        <w:t>打好精准脱贫攻坚战，</w:t>
      </w:r>
      <w:r>
        <w:rPr>
          <w:rFonts w:ascii="仿宋" w:hAnsi="仿宋" w:eastAsia="仿宋" w:cs="Times New Roman"/>
          <w:snapToGrid w:val="0"/>
          <w:color w:val="000000"/>
          <w:sz w:val="32"/>
          <w:szCs w:val="32"/>
        </w:rPr>
        <w:t>五年累计投入11.92亿元，发展扶贫产业146个，小额扶贫贷款累计27836.2万元，带动贫困户5733户； 2.8万贫困人口全部脱贫，67个贫困村全部摘帽，历史性消除了绝对贫困。</w:t>
      </w:r>
    </w:p>
    <w:p w14:paraId="69EB57F0">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产业扶贫扎实推进</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坚持“五有五覆盖”产业扶贫思路，2</w:t>
      </w:r>
      <w:r>
        <w:rPr>
          <w:rFonts w:ascii="仿宋" w:hAnsi="仿宋" w:eastAsia="仿宋" w:cs="仿宋"/>
          <w:snapToGrid w:val="0"/>
          <w:color w:val="000000"/>
          <w:sz w:val="32"/>
          <w:szCs w:val="32"/>
        </w:rPr>
        <w:t>019年</w:t>
      </w:r>
      <w:r>
        <w:rPr>
          <w:rFonts w:hint="eastAsia" w:ascii="仿宋" w:hAnsi="仿宋" w:eastAsia="仿宋" w:cs="仿宋"/>
          <w:snapToGrid w:val="0"/>
          <w:color w:val="000000"/>
          <w:sz w:val="32"/>
          <w:szCs w:val="32"/>
        </w:rPr>
        <w:t>统筹整合涉农资金</w:t>
      </w:r>
      <w:r>
        <w:rPr>
          <w:rFonts w:hint="eastAsia" w:ascii="仿宋" w:hAnsi="仿宋" w:eastAsia="仿宋"/>
          <w:snapToGrid w:val="0"/>
          <w:color w:val="000000"/>
          <w:sz w:val="32"/>
          <w:szCs w:val="32"/>
        </w:rPr>
        <w:t>1.64</w:t>
      </w:r>
      <w:r>
        <w:rPr>
          <w:rFonts w:hint="eastAsia" w:ascii="仿宋" w:hAnsi="仿宋" w:eastAsia="仿宋" w:cs="仿宋"/>
          <w:snapToGrid w:val="0"/>
          <w:color w:val="000000"/>
          <w:sz w:val="32"/>
          <w:szCs w:val="32"/>
        </w:rPr>
        <w:t>亿元，农商行、邮储银行等银行发放小额信贷资金</w:t>
      </w:r>
      <w:r>
        <w:rPr>
          <w:rFonts w:ascii="仿宋" w:hAnsi="仿宋" w:eastAsia="仿宋"/>
          <w:snapToGrid w:val="0"/>
          <w:color w:val="000000"/>
          <w:sz w:val="32"/>
          <w:szCs w:val="32"/>
        </w:rPr>
        <w:t>2.78</w:t>
      </w:r>
      <w:r>
        <w:rPr>
          <w:rFonts w:hint="eastAsia" w:ascii="仿宋" w:hAnsi="仿宋" w:eastAsia="仿宋" w:cs="仿宋"/>
          <w:snapToGrid w:val="0"/>
          <w:color w:val="000000"/>
          <w:sz w:val="32"/>
          <w:szCs w:val="32"/>
        </w:rPr>
        <w:t>亿元；培育了老农民、鑫源鑫、天骄、嘉荣等一批省市级农业龙头企业；创新实施“</w:t>
      </w:r>
      <w:r>
        <w:rPr>
          <w:rFonts w:hint="eastAsia" w:ascii="仿宋" w:hAnsi="仿宋" w:eastAsia="仿宋"/>
          <w:snapToGrid w:val="0"/>
          <w:color w:val="000000"/>
          <w:sz w:val="32"/>
          <w:szCs w:val="32"/>
        </w:rPr>
        <w:t>6133</w:t>
      </w:r>
      <w:r>
        <w:rPr>
          <w:rFonts w:hint="eastAsia" w:ascii="仿宋" w:hAnsi="仿宋" w:eastAsia="仿宋" w:cs="仿宋"/>
          <w:snapToGrid w:val="0"/>
          <w:color w:val="000000"/>
          <w:sz w:val="32"/>
          <w:szCs w:val="32"/>
        </w:rPr>
        <w:t>”工程，形成“政府+龙头企业+村集体+合作社+贫困户+农户”的稳定利益联结体；重点发展“畜、游、果、蔬、菌、药”六大产业；落实推进“一乡一园区、一村一基地”的农业园区建设构想；构建了“1+</w:t>
      </w:r>
      <w:r>
        <w:rPr>
          <w:rFonts w:ascii="仿宋" w:hAnsi="仿宋" w:eastAsia="仿宋" w:cs="仿宋"/>
          <w:snapToGrid w:val="0"/>
          <w:color w:val="000000"/>
          <w:sz w:val="32"/>
          <w:szCs w:val="32"/>
        </w:rPr>
        <w:t>3</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10</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60</w:t>
      </w:r>
      <w:r>
        <w:rPr>
          <w:rFonts w:hint="eastAsia" w:ascii="仿宋" w:hAnsi="仿宋" w:eastAsia="仿宋" w:cs="仿宋"/>
          <w:snapToGrid w:val="0"/>
          <w:color w:val="000000"/>
          <w:sz w:val="32"/>
          <w:szCs w:val="32"/>
        </w:rPr>
        <w:t>”电商扶贫网络，形成了县乡村三级电商扶贫体系；创建了“交城山”、“褐小美”两个地域公用品牌，各类农业专业合作社达到</w:t>
      </w:r>
      <w:r>
        <w:rPr>
          <w:rFonts w:hint="eastAsia" w:ascii="仿宋" w:hAnsi="仿宋" w:eastAsia="仿宋"/>
          <w:snapToGrid w:val="0"/>
          <w:color w:val="000000"/>
          <w:sz w:val="32"/>
          <w:szCs w:val="32"/>
        </w:rPr>
        <w:t>434</w:t>
      </w:r>
      <w:r>
        <w:rPr>
          <w:rFonts w:hint="eastAsia" w:ascii="仿宋" w:hAnsi="仿宋" w:eastAsia="仿宋" w:cs="仿宋"/>
          <w:snapToGrid w:val="0"/>
          <w:color w:val="000000"/>
          <w:sz w:val="32"/>
          <w:szCs w:val="32"/>
        </w:rPr>
        <w:t>个</w:t>
      </w:r>
      <w:r>
        <w:rPr>
          <w:rFonts w:hint="eastAsia" w:ascii="仿宋" w:hAnsi="仿宋" w:eastAsia="仿宋"/>
          <w:snapToGrid w:val="0"/>
          <w:color w:val="000000"/>
          <w:sz w:val="32"/>
          <w:szCs w:val="32"/>
        </w:rPr>
        <w:t>，150</w:t>
      </w:r>
      <w:r>
        <w:rPr>
          <w:rFonts w:hint="eastAsia" w:ascii="仿宋" w:hAnsi="仿宋" w:eastAsia="仿宋" w:cs="仿宋"/>
          <w:snapToGrid w:val="0"/>
          <w:color w:val="000000"/>
          <w:sz w:val="32"/>
          <w:szCs w:val="32"/>
        </w:rPr>
        <w:t>个行政村集体经济全部破零，发展产业项目</w:t>
      </w:r>
      <w:r>
        <w:rPr>
          <w:rFonts w:hint="eastAsia" w:ascii="仿宋" w:hAnsi="仿宋" w:eastAsia="仿宋"/>
          <w:snapToGrid w:val="0"/>
          <w:color w:val="000000"/>
          <w:sz w:val="32"/>
          <w:szCs w:val="32"/>
        </w:rPr>
        <w:t>310</w:t>
      </w:r>
      <w:r>
        <w:rPr>
          <w:rFonts w:hint="eastAsia" w:ascii="仿宋" w:hAnsi="仿宋" w:eastAsia="仿宋" w:cs="仿宋"/>
          <w:snapToGrid w:val="0"/>
          <w:color w:val="000000"/>
          <w:sz w:val="32"/>
          <w:szCs w:val="32"/>
        </w:rPr>
        <w:t>个，扶贫产业根基坚实稳固。</w:t>
      </w:r>
    </w:p>
    <w:p w14:paraId="3BEFCC42">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易地搬迁全市领先</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在充分考虑搬迁群众意愿的基础上，综合兼顾、因地制宜、因乡因村因人施策，围绕“挪穷窝与换穷业并举、安居与乐业并重、搬迁与脱贫同步”总目标，创造“六个一”工作法和“</w:t>
      </w:r>
      <w:r>
        <w:rPr>
          <w:rFonts w:hint="eastAsia" w:ascii="仿宋" w:hAnsi="仿宋" w:eastAsia="仿宋"/>
          <w:snapToGrid w:val="0"/>
          <w:color w:val="000000"/>
          <w:sz w:val="32"/>
          <w:szCs w:val="32"/>
        </w:rPr>
        <w:t>1379</w:t>
      </w:r>
      <w:r>
        <w:rPr>
          <w:rFonts w:hint="eastAsia" w:ascii="仿宋" w:hAnsi="仿宋" w:eastAsia="仿宋" w:cs="仿宋"/>
          <w:snapToGrid w:val="0"/>
          <w:color w:val="000000"/>
          <w:sz w:val="32"/>
          <w:szCs w:val="32"/>
        </w:rPr>
        <w:t>”工作法，坚持采用“县城集中安置、中心镇整乡安置、整村搬迁安置、分散安置”四种安置方式，全面完成2</w:t>
      </w:r>
      <w:r>
        <w:rPr>
          <w:rFonts w:ascii="仿宋" w:hAnsi="仿宋" w:eastAsia="仿宋" w:cs="仿宋"/>
          <w:snapToGrid w:val="0"/>
          <w:color w:val="000000"/>
          <w:sz w:val="32"/>
          <w:szCs w:val="32"/>
        </w:rPr>
        <w:t>028户</w:t>
      </w:r>
      <w:r>
        <w:rPr>
          <w:rFonts w:hint="eastAsia" w:ascii="仿宋" w:hAnsi="仿宋" w:eastAsia="仿宋" w:cs="仿宋"/>
          <w:snapToGrid w:val="0"/>
          <w:color w:val="000000"/>
          <w:sz w:val="32"/>
          <w:szCs w:val="32"/>
        </w:rPr>
        <w:t>5</w:t>
      </w:r>
      <w:r>
        <w:rPr>
          <w:rFonts w:ascii="仿宋" w:hAnsi="仿宋" w:eastAsia="仿宋" w:cs="仿宋"/>
          <w:snapToGrid w:val="0"/>
          <w:color w:val="000000"/>
          <w:sz w:val="32"/>
          <w:szCs w:val="32"/>
        </w:rPr>
        <w:t>096人搬迁任务</w:t>
      </w:r>
      <w:r>
        <w:rPr>
          <w:rFonts w:hint="eastAsia" w:ascii="仿宋" w:hAnsi="仿宋" w:eastAsia="仿宋" w:cs="仿宋"/>
          <w:snapToGrid w:val="0"/>
          <w:color w:val="000000"/>
          <w:sz w:val="32"/>
          <w:szCs w:val="32"/>
        </w:rPr>
        <w:t>；在拆旧复垦方面，</w:t>
      </w:r>
      <w:r>
        <w:rPr>
          <w:rFonts w:hint="eastAsia" w:ascii="仿宋" w:hAnsi="仿宋" w:eastAsia="仿宋"/>
          <w:snapToGrid w:val="0"/>
          <w:color w:val="000000"/>
          <w:sz w:val="32"/>
          <w:szCs w:val="32"/>
        </w:rPr>
        <w:t>2018</w:t>
      </w:r>
      <w:r>
        <w:rPr>
          <w:rFonts w:hint="eastAsia" w:ascii="仿宋" w:hAnsi="仿宋" w:eastAsia="仿宋" w:cs="仿宋"/>
          <w:snapToGrid w:val="0"/>
          <w:color w:val="000000"/>
          <w:sz w:val="32"/>
          <w:szCs w:val="32"/>
        </w:rPr>
        <w:t>年开始摸索试点拆旧工作，并总结了“</w:t>
      </w:r>
      <w:r>
        <w:rPr>
          <w:rFonts w:hint="eastAsia" w:ascii="仿宋" w:hAnsi="仿宋" w:eastAsia="仿宋"/>
          <w:snapToGrid w:val="0"/>
          <w:color w:val="000000"/>
          <w:sz w:val="32"/>
          <w:szCs w:val="32"/>
        </w:rPr>
        <w:t>1379</w:t>
      </w:r>
      <w:r>
        <w:rPr>
          <w:rFonts w:hint="eastAsia" w:ascii="仿宋" w:hAnsi="仿宋" w:eastAsia="仿宋" w:cs="仿宋"/>
          <w:snapToGrid w:val="0"/>
          <w:color w:val="000000"/>
          <w:sz w:val="32"/>
          <w:szCs w:val="32"/>
        </w:rPr>
        <w:t>”工作法，完成拆除1</w:t>
      </w:r>
      <w:r>
        <w:rPr>
          <w:rFonts w:ascii="仿宋" w:hAnsi="仿宋" w:eastAsia="仿宋" w:cs="仿宋"/>
          <w:snapToGrid w:val="0"/>
          <w:color w:val="000000"/>
          <w:sz w:val="32"/>
          <w:szCs w:val="32"/>
        </w:rPr>
        <w:t>693户</w:t>
      </w:r>
      <w:r>
        <w:rPr>
          <w:rFonts w:hint="eastAsia" w:ascii="仿宋" w:hAnsi="仿宋" w:eastAsia="仿宋" w:cs="仿宋"/>
          <w:snapToGrid w:val="0"/>
          <w:color w:val="000000"/>
          <w:sz w:val="32"/>
          <w:szCs w:val="32"/>
        </w:rPr>
        <w:t>，拆除完成率和</w:t>
      </w:r>
      <w:r>
        <w:rPr>
          <w:rFonts w:ascii="仿宋" w:hAnsi="仿宋" w:eastAsia="仿宋" w:cs="仿宋"/>
          <w:snapToGrid w:val="0"/>
          <w:color w:val="000000"/>
          <w:sz w:val="32"/>
          <w:szCs w:val="32"/>
        </w:rPr>
        <w:t>复垦复绿完成率均为</w:t>
      </w:r>
      <w:r>
        <w:rPr>
          <w:rFonts w:hint="eastAsia" w:ascii="仿宋" w:hAnsi="仿宋" w:eastAsia="仿宋" w:cs="仿宋"/>
          <w:snapToGrid w:val="0"/>
          <w:color w:val="000000"/>
          <w:sz w:val="32"/>
          <w:szCs w:val="32"/>
        </w:rPr>
        <w:t>1</w:t>
      </w:r>
      <w:r>
        <w:rPr>
          <w:rFonts w:ascii="仿宋" w:hAnsi="仿宋" w:eastAsia="仿宋" w:cs="仿宋"/>
          <w:snapToGrid w:val="0"/>
          <w:color w:val="000000"/>
          <w:sz w:val="32"/>
          <w:szCs w:val="32"/>
        </w:rPr>
        <w:t>00</w:t>
      </w:r>
      <w:r>
        <w:rPr>
          <w:rFonts w:hint="eastAsia" w:ascii="仿宋" w:hAnsi="仿宋" w:eastAsia="仿宋" w:cs="仿宋"/>
          <w:snapToGrid w:val="0"/>
          <w:color w:val="000000"/>
          <w:sz w:val="32"/>
          <w:szCs w:val="32"/>
        </w:rPr>
        <w:t>%，得到国务院</w:t>
      </w:r>
      <w:r>
        <w:rPr>
          <w:rFonts w:ascii="仿宋" w:hAnsi="仿宋" w:eastAsia="仿宋" w:cs="仿宋"/>
          <w:snapToGrid w:val="0"/>
          <w:color w:val="000000"/>
          <w:sz w:val="32"/>
          <w:szCs w:val="32"/>
        </w:rPr>
        <w:t>副总理汪洋同志的高度肯定</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并</w:t>
      </w:r>
      <w:r>
        <w:rPr>
          <w:rFonts w:hint="eastAsia" w:ascii="仿宋" w:hAnsi="仿宋" w:eastAsia="仿宋" w:cs="仿宋"/>
          <w:snapToGrid w:val="0"/>
          <w:color w:val="000000"/>
          <w:sz w:val="32"/>
          <w:szCs w:val="32"/>
        </w:rPr>
        <w:t>代表全省参加国家扶贫日论坛演讲，“</w:t>
      </w:r>
      <w:r>
        <w:rPr>
          <w:rFonts w:hint="eastAsia" w:ascii="仿宋" w:hAnsi="仿宋" w:eastAsia="仿宋"/>
          <w:snapToGrid w:val="0"/>
          <w:color w:val="000000"/>
          <w:sz w:val="32"/>
          <w:szCs w:val="32"/>
        </w:rPr>
        <w:t>1379</w:t>
      </w:r>
      <w:r>
        <w:rPr>
          <w:rFonts w:hint="eastAsia" w:ascii="仿宋" w:hAnsi="仿宋" w:eastAsia="仿宋" w:cs="仿宋"/>
          <w:snapToGrid w:val="0"/>
          <w:color w:val="000000"/>
          <w:sz w:val="32"/>
          <w:szCs w:val="32"/>
        </w:rPr>
        <w:t>”工作法被列为国务院易地扶贫搬迁典型案例。</w:t>
      </w:r>
    </w:p>
    <w:p w14:paraId="4DB79BD1">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生态扶贫增绿增收</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“十三五”期间，我县大力推进退耕还林奖补、造林绿化务工、森林管护就业、经济林增效和林产业增收，2</w:t>
      </w:r>
      <w:r>
        <w:rPr>
          <w:rFonts w:ascii="仿宋" w:hAnsi="仿宋" w:eastAsia="仿宋" w:cs="仿宋"/>
          <w:snapToGrid w:val="0"/>
          <w:color w:val="000000"/>
          <w:sz w:val="32"/>
          <w:szCs w:val="32"/>
        </w:rPr>
        <w:t>016年以来</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累计完成营造林面积</w:t>
      </w:r>
      <w:r>
        <w:rPr>
          <w:rFonts w:hint="eastAsia" w:ascii="仿宋" w:hAnsi="仿宋" w:eastAsia="仿宋" w:cs="仿宋"/>
          <w:snapToGrid w:val="0"/>
          <w:color w:val="000000"/>
          <w:sz w:val="32"/>
          <w:szCs w:val="32"/>
        </w:rPr>
        <w:t>1</w:t>
      </w:r>
      <w:r>
        <w:rPr>
          <w:rFonts w:ascii="仿宋" w:hAnsi="仿宋" w:eastAsia="仿宋" w:cs="仿宋"/>
          <w:snapToGrid w:val="0"/>
          <w:color w:val="000000"/>
          <w:sz w:val="32"/>
          <w:szCs w:val="32"/>
        </w:rPr>
        <w:t>.8万亩</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退耕还林</w:t>
      </w:r>
      <w:r>
        <w:rPr>
          <w:rFonts w:hint="eastAsia" w:ascii="仿宋" w:hAnsi="仿宋" w:eastAsia="仿宋" w:cs="仿宋"/>
          <w:snapToGrid w:val="0"/>
          <w:color w:val="000000"/>
          <w:sz w:val="32"/>
          <w:szCs w:val="32"/>
        </w:rPr>
        <w:t>0</w:t>
      </w:r>
      <w:r>
        <w:rPr>
          <w:rFonts w:ascii="仿宋" w:hAnsi="仿宋" w:eastAsia="仿宋" w:cs="仿宋"/>
          <w:snapToGrid w:val="0"/>
          <w:color w:val="000000"/>
          <w:sz w:val="32"/>
          <w:szCs w:val="32"/>
        </w:rPr>
        <w:t>.79万亩</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经济林提质增效</w:t>
      </w:r>
      <w:r>
        <w:rPr>
          <w:rFonts w:hint="eastAsia" w:ascii="仿宋" w:hAnsi="仿宋" w:eastAsia="仿宋" w:cs="仿宋"/>
          <w:snapToGrid w:val="0"/>
          <w:color w:val="000000"/>
          <w:sz w:val="32"/>
          <w:szCs w:val="32"/>
        </w:rPr>
        <w:t>1</w:t>
      </w:r>
      <w:r>
        <w:rPr>
          <w:rFonts w:ascii="仿宋" w:hAnsi="仿宋" w:eastAsia="仿宋" w:cs="仿宋"/>
          <w:snapToGrid w:val="0"/>
          <w:color w:val="000000"/>
          <w:sz w:val="32"/>
          <w:szCs w:val="32"/>
        </w:rPr>
        <w:t>.75万亩</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组建</w:t>
      </w:r>
      <w:r>
        <w:rPr>
          <w:rFonts w:hint="eastAsia" w:ascii="仿宋" w:hAnsi="仿宋" w:eastAsia="仿宋" w:cs="仿宋"/>
          <w:snapToGrid w:val="0"/>
          <w:color w:val="000000"/>
          <w:sz w:val="32"/>
          <w:szCs w:val="32"/>
        </w:rPr>
        <w:t>2</w:t>
      </w:r>
      <w:r>
        <w:rPr>
          <w:rFonts w:ascii="仿宋" w:hAnsi="仿宋" w:eastAsia="仿宋" w:cs="仿宋"/>
          <w:snapToGrid w:val="0"/>
          <w:color w:val="000000"/>
          <w:sz w:val="32"/>
          <w:szCs w:val="32"/>
        </w:rPr>
        <w:t>8个造林专业合作社承揽绿化工程</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带动</w:t>
      </w:r>
      <w:r>
        <w:rPr>
          <w:rFonts w:hint="eastAsia" w:ascii="仿宋" w:hAnsi="仿宋" w:eastAsia="仿宋" w:cs="仿宋"/>
          <w:snapToGrid w:val="0"/>
          <w:color w:val="000000"/>
          <w:sz w:val="32"/>
          <w:szCs w:val="32"/>
        </w:rPr>
        <w:t>4</w:t>
      </w:r>
      <w:r>
        <w:rPr>
          <w:rFonts w:ascii="仿宋" w:hAnsi="仿宋" w:eastAsia="仿宋" w:cs="仿宋"/>
          <w:snapToGrid w:val="0"/>
          <w:color w:val="000000"/>
          <w:sz w:val="32"/>
          <w:szCs w:val="32"/>
        </w:rPr>
        <w:t>22名贫困户人口人均增收</w:t>
      </w:r>
      <w:r>
        <w:rPr>
          <w:rFonts w:hint="eastAsia" w:ascii="仿宋" w:hAnsi="仿宋" w:eastAsia="仿宋" w:cs="仿宋"/>
          <w:snapToGrid w:val="0"/>
          <w:color w:val="000000"/>
          <w:sz w:val="32"/>
          <w:szCs w:val="32"/>
        </w:rPr>
        <w:t>7</w:t>
      </w:r>
      <w:r>
        <w:rPr>
          <w:rFonts w:ascii="仿宋" w:hAnsi="仿宋" w:eastAsia="仿宋" w:cs="仿宋"/>
          <w:snapToGrid w:val="0"/>
          <w:color w:val="000000"/>
          <w:sz w:val="32"/>
          <w:szCs w:val="32"/>
        </w:rPr>
        <w:t>936元</w:t>
      </w:r>
      <w:r>
        <w:rPr>
          <w:rFonts w:hint="eastAsia" w:ascii="仿宋" w:hAnsi="仿宋" w:eastAsia="仿宋" w:cs="仿宋"/>
          <w:snapToGrid w:val="0"/>
          <w:color w:val="000000"/>
          <w:sz w:val="32"/>
          <w:szCs w:val="32"/>
        </w:rPr>
        <w:t>。</w:t>
      </w:r>
    </w:p>
    <w:p w14:paraId="5E23FC55">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就业扶贫带动增收</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2</w:t>
      </w:r>
      <w:r>
        <w:rPr>
          <w:rFonts w:ascii="仿宋" w:hAnsi="仿宋" w:eastAsia="仿宋" w:cs="仿宋"/>
          <w:snapToGrid w:val="0"/>
          <w:color w:val="000000"/>
          <w:sz w:val="32"/>
          <w:szCs w:val="32"/>
        </w:rPr>
        <w:t>016年以来</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我县精准落实就业扶贫政策</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打造了</w:t>
      </w:r>
      <w:r>
        <w:rPr>
          <w:rFonts w:hint="eastAsia" w:ascii="仿宋" w:hAnsi="仿宋" w:eastAsia="仿宋" w:cs="仿宋"/>
          <w:snapToGrid w:val="0"/>
          <w:color w:val="000000"/>
          <w:sz w:val="32"/>
          <w:szCs w:val="32"/>
        </w:rPr>
        <w:t>“交城山技工”品牌，累计培训人数7</w:t>
      </w:r>
      <w:r>
        <w:rPr>
          <w:rFonts w:ascii="仿宋" w:hAnsi="仿宋" w:eastAsia="仿宋" w:cs="仿宋"/>
          <w:snapToGrid w:val="0"/>
          <w:color w:val="000000"/>
          <w:sz w:val="32"/>
          <w:szCs w:val="32"/>
        </w:rPr>
        <w:t>847人</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积极开展</w:t>
      </w:r>
      <w:r>
        <w:rPr>
          <w:rFonts w:hint="eastAsia" w:ascii="仿宋" w:hAnsi="仿宋" w:eastAsia="仿宋" w:cs="仿宋"/>
          <w:snapToGrid w:val="0"/>
          <w:color w:val="000000"/>
          <w:sz w:val="32"/>
          <w:szCs w:val="32"/>
        </w:rPr>
        <w:t>“吕梁山护工”培训，累计培训3</w:t>
      </w:r>
      <w:r>
        <w:rPr>
          <w:rFonts w:ascii="仿宋" w:hAnsi="仿宋" w:eastAsia="仿宋" w:cs="仿宋"/>
          <w:snapToGrid w:val="0"/>
          <w:color w:val="000000"/>
          <w:sz w:val="32"/>
          <w:szCs w:val="32"/>
        </w:rPr>
        <w:t>324人</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其中贫困劳动力</w:t>
      </w:r>
      <w:r>
        <w:rPr>
          <w:rFonts w:hint="eastAsia" w:ascii="仿宋" w:hAnsi="仿宋" w:eastAsia="仿宋" w:cs="仿宋"/>
          <w:snapToGrid w:val="0"/>
          <w:color w:val="000000"/>
          <w:sz w:val="32"/>
          <w:szCs w:val="32"/>
        </w:rPr>
        <w:t>1</w:t>
      </w:r>
      <w:r>
        <w:rPr>
          <w:rFonts w:ascii="仿宋" w:hAnsi="仿宋" w:eastAsia="仿宋" w:cs="仿宋"/>
          <w:snapToGrid w:val="0"/>
          <w:color w:val="000000"/>
          <w:sz w:val="32"/>
          <w:szCs w:val="32"/>
        </w:rPr>
        <w:t>101人</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开展支付带头人培训</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紧扣能力培训</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孵化创业</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带动增收</w:t>
      </w:r>
      <w:r>
        <w:rPr>
          <w:rFonts w:hint="eastAsia" w:ascii="仿宋" w:hAnsi="仿宋" w:eastAsia="仿宋" w:cs="仿宋"/>
          <w:snapToGrid w:val="0"/>
          <w:color w:val="000000"/>
          <w:sz w:val="32"/>
          <w:szCs w:val="32"/>
        </w:rPr>
        <w:t>“三大环节”，累计组织全县贫困村中符合条件的2</w:t>
      </w:r>
      <w:r>
        <w:rPr>
          <w:rFonts w:ascii="仿宋" w:hAnsi="仿宋" w:eastAsia="仿宋" w:cs="仿宋"/>
          <w:snapToGrid w:val="0"/>
          <w:color w:val="000000"/>
          <w:sz w:val="32"/>
          <w:szCs w:val="32"/>
        </w:rPr>
        <w:t>44人参加各类专业技术培训</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参训人员自主创业</w:t>
      </w:r>
      <w:r>
        <w:rPr>
          <w:rFonts w:hint="eastAsia" w:ascii="仿宋" w:hAnsi="仿宋" w:eastAsia="仿宋" w:cs="仿宋"/>
          <w:snapToGrid w:val="0"/>
          <w:color w:val="000000"/>
          <w:sz w:val="32"/>
          <w:szCs w:val="32"/>
        </w:rPr>
        <w:t>3</w:t>
      </w:r>
      <w:r>
        <w:rPr>
          <w:rFonts w:ascii="仿宋" w:hAnsi="仿宋" w:eastAsia="仿宋" w:cs="仿宋"/>
          <w:snapToGrid w:val="0"/>
          <w:color w:val="000000"/>
          <w:sz w:val="32"/>
          <w:szCs w:val="32"/>
        </w:rPr>
        <w:t>6个项目</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带动贫困人口</w:t>
      </w:r>
      <w:r>
        <w:rPr>
          <w:rFonts w:hint="eastAsia" w:ascii="仿宋" w:hAnsi="仿宋" w:eastAsia="仿宋" w:cs="仿宋"/>
          <w:snapToGrid w:val="0"/>
          <w:color w:val="000000"/>
          <w:sz w:val="32"/>
          <w:szCs w:val="32"/>
        </w:rPr>
        <w:t>1</w:t>
      </w:r>
      <w:r>
        <w:rPr>
          <w:rFonts w:ascii="仿宋" w:hAnsi="仿宋" w:eastAsia="仿宋" w:cs="仿宋"/>
          <w:snapToGrid w:val="0"/>
          <w:color w:val="000000"/>
          <w:sz w:val="32"/>
          <w:szCs w:val="32"/>
        </w:rPr>
        <w:t>078人</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组织电商培训</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引导贫困户用手机进行简单创业</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累计培训</w:t>
      </w:r>
      <w:r>
        <w:rPr>
          <w:rFonts w:hint="eastAsia" w:ascii="仿宋" w:hAnsi="仿宋" w:eastAsia="仿宋" w:cs="仿宋"/>
          <w:snapToGrid w:val="0"/>
          <w:color w:val="000000"/>
          <w:sz w:val="32"/>
          <w:szCs w:val="32"/>
        </w:rPr>
        <w:t>2</w:t>
      </w:r>
      <w:r>
        <w:rPr>
          <w:rFonts w:ascii="仿宋" w:hAnsi="仿宋" w:eastAsia="仿宋" w:cs="仿宋"/>
          <w:snapToGrid w:val="0"/>
          <w:color w:val="000000"/>
          <w:sz w:val="32"/>
          <w:szCs w:val="32"/>
        </w:rPr>
        <w:t>126人</w:t>
      </w:r>
      <w:r>
        <w:rPr>
          <w:rFonts w:hint="eastAsia" w:ascii="仿宋" w:hAnsi="仿宋" w:eastAsia="仿宋" w:cs="仿宋"/>
          <w:snapToGrid w:val="0"/>
          <w:color w:val="000000"/>
          <w:sz w:val="32"/>
          <w:szCs w:val="32"/>
        </w:rPr>
        <w:t>。</w:t>
      </w:r>
    </w:p>
    <w:p w14:paraId="35CB355F">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楷体"/>
          <w:snapToGrid w:val="0"/>
          <w:color w:val="000000"/>
          <w:sz w:val="32"/>
          <w:szCs w:val="32"/>
        </w:rPr>
        <w:t>政策扶贫保障落实</w:t>
      </w:r>
      <w:r>
        <w:rPr>
          <w:rFonts w:hint="eastAsia" w:ascii="仿宋" w:hAnsi="仿宋" w:eastAsia="仿宋" w:cs="楷体"/>
          <w:bCs/>
          <w:snapToGrid w:val="0"/>
          <w:color w:val="000000"/>
          <w:sz w:val="32"/>
          <w:szCs w:val="32"/>
        </w:rPr>
        <w:t>。</w:t>
      </w:r>
      <w:r>
        <w:rPr>
          <w:rFonts w:hint="eastAsia" w:ascii="仿宋" w:hAnsi="仿宋" w:eastAsia="仿宋"/>
          <w:snapToGrid w:val="0"/>
          <w:color w:val="000000"/>
          <w:sz w:val="32"/>
          <w:szCs w:val="32"/>
        </w:rPr>
        <w:t>“十三五”期间，我县在健康保障、教育扶贫、兜底扶贫等方面全面落实扶贫政策。贫困户健康扶贫“双签约”率达到1</w:t>
      </w:r>
      <w:r>
        <w:rPr>
          <w:rFonts w:ascii="仿宋" w:hAnsi="仿宋" w:eastAsia="仿宋"/>
          <w:snapToGrid w:val="0"/>
          <w:color w:val="000000"/>
          <w:sz w:val="32"/>
          <w:szCs w:val="32"/>
        </w:rPr>
        <w:t>00</w:t>
      </w:r>
      <w:r>
        <w:rPr>
          <w:rFonts w:hint="eastAsia" w:ascii="仿宋" w:hAnsi="仿宋" w:eastAsia="仿宋"/>
          <w:snapToGrid w:val="0"/>
          <w:color w:val="000000"/>
          <w:sz w:val="32"/>
          <w:szCs w:val="32"/>
        </w:rPr>
        <w:t>%；</w:t>
      </w:r>
      <w:r>
        <w:rPr>
          <w:rFonts w:ascii="仿宋" w:hAnsi="仿宋" w:eastAsia="仿宋"/>
          <w:snapToGrid w:val="0"/>
          <w:color w:val="000000"/>
          <w:sz w:val="32"/>
          <w:szCs w:val="32"/>
        </w:rPr>
        <w:t>严格</w:t>
      </w:r>
      <w:r>
        <w:rPr>
          <w:rFonts w:hint="eastAsia" w:ascii="仿宋" w:hAnsi="仿宋" w:eastAsia="仿宋"/>
          <w:snapToGrid w:val="0"/>
          <w:color w:val="000000"/>
          <w:sz w:val="32"/>
          <w:szCs w:val="32"/>
        </w:rPr>
        <w:t>“1</w:t>
      </w:r>
      <w:r>
        <w:rPr>
          <w:rFonts w:ascii="仿宋" w:hAnsi="仿宋" w:eastAsia="仿宋"/>
          <w:snapToGrid w:val="0"/>
          <w:color w:val="000000"/>
          <w:sz w:val="32"/>
          <w:szCs w:val="32"/>
        </w:rPr>
        <w:t>36</w:t>
      </w:r>
      <w:r>
        <w:rPr>
          <w:rFonts w:hint="eastAsia" w:ascii="仿宋" w:hAnsi="仿宋" w:eastAsia="仿宋"/>
          <w:snapToGrid w:val="0"/>
          <w:color w:val="000000"/>
          <w:sz w:val="32"/>
          <w:szCs w:val="32"/>
        </w:rPr>
        <w:t>”兜底保障，完成县域内外住院“一站式”结算工作；提高贫困人口慢病保障水平，省定3</w:t>
      </w:r>
      <w:r>
        <w:rPr>
          <w:rFonts w:ascii="仿宋" w:hAnsi="仿宋" w:eastAsia="仿宋"/>
          <w:snapToGrid w:val="0"/>
          <w:color w:val="000000"/>
          <w:sz w:val="32"/>
          <w:szCs w:val="32"/>
        </w:rPr>
        <w:t>5种慢病报销比例由原定</w:t>
      </w:r>
      <w:r>
        <w:rPr>
          <w:rFonts w:hint="eastAsia" w:ascii="仿宋" w:hAnsi="仿宋" w:eastAsia="仿宋"/>
          <w:snapToGrid w:val="0"/>
          <w:color w:val="000000"/>
          <w:sz w:val="32"/>
          <w:szCs w:val="32"/>
        </w:rPr>
        <w:t>6</w:t>
      </w:r>
      <w:r>
        <w:rPr>
          <w:rFonts w:ascii="仿宋" w:hAnsi="仿宋" w:eastAsia="仿宋"/>
          <w:snapToGrid w:val="0"/>
          <w:color w:val="000000"/>
          <w:sz w:val="32"/>
          <w:szCs w:val="32"/>
        </w:rPr>
        <w:t>0</w:t>
      </w:r>
      <w:r>
        <w:rPr>
          <w:rFonts w:hint="eastAsia" w:ascii="仿宋" w:hAnsi="仿宋" w:eastAsia="仿宋"/>
          <w:snapToGrid w:val="0"/>
          <w:color w:val="000000"/>
          <w:sz w:val="32"/>
          <w:szCs w:val="32"/>
        </w:rPr>
        <w:t>%</w:t>
      </w:r>
      <w:r>
        <w:rPr>
          <w:rFonts w:ascii="仿宋" w:hAnsi="仿宋" w:eastAsia="仿宋"/>
          <w:snapToGrid w:val="0"/>
          <w:color w:val="000000"/>
          <w:sz w:val="32"/>
          <w:szCs w:val="32"/>
        </w:rPr>
        <w:t>提高到</w:t>
      </w:r>
      <w:r>
        <w:rPr>
          <w:rFonts w:hint="eastAsia" w:ascii="仿宋" w:hAnsi="仿宋" w:eastAsia="仿宋"/>
          <w:snapToGrid w:val="0"/>
          <w:color w:val="000000"/>
          <w:sz w:val="32"/>
          <w:szCs w:val="32"/>
        </w:rPr>
        <w:t>1</w:t>
      </w:r>
      <w:r>
        <w:rPr>
          <w:rFonts w:ascii="仿宋" w:hAnsi="仿宋" w:eastAsia="仿宋"/>
          <w:snapToGrid w:val="0"/>
          <w:color w:val="000000"/>
          <w:sz w:val="32"/>
          <w:szCs w:val="32"/>
        </w:rPr>
        <w:t>00</w:t>
      </w:r>
      <w:r>
        <w:rPr>
          <w:rFonts w:hint="eastAsia" w:ascii="仿宋" w:hAnsi="仿宋" w:eastAsia="仿宋"/>
          <w:snapToGrid w:val="0"/>
          <w:color w:val="000000"/>
          <w:sz w:val="32"/>
          <w:szCs w:val="32"/>
        </w:rPr>
        <w:t>%。</w:t>
      </w:r>
      <w:r>
        <w:rPr>
          <w:rFonts w:ascii="仿宋" w:hAnsi="仿宋" w:eastAsia="仿宋"/>
          <w:snapToGrid w:val="0"/>
          <w:color w:val="000000"/>
          <w:sz w:val="32"/>
          <w:szCs w:val="32"/>
        </w:rPr>
        <w:t>建立</w:t>
      </w:r>
      <w:r>
        <w:rPr>
          <w:rFonts w:hint="eastAsia" w:ascii="仿宋" w:hAnsi="仿宋" w:eastAsia="仿宋"/>
          <w:snapToGrid w:val="0"/>
          <w:color w:val="000000"/>
          <w:sz w:val="32"/>
          <w:szCs w:val="32"/>
        </w:rPr>
        <w:t>“一证一卡一档”资助体系，统筹落实各项教育扶贫政策。</w:t>
      </w:r>
      <w:r>
        <w:rPr>
          <w:rFonts w:hint="eastAsia" w:ascii="仿宋" w:hAnsi="仿宋" w:eastAsia="仿宋" w:cs="仿宋"/>
          <w:snapToGrid w:val="0"/>
          <w:color w:val="000000"/>
          <w:sz w:val="32"/>
          <w:szCs w:val="32"/>
        </w:rPr>
        <w:t>全面衔接扶贫标准和低保政策，</w:t>
      </w:r>
      <w:r>
        <w:rPr>
          <w:rFonts w:ascii="仿宋" w:hAnsi="仿宋" w:eastAsia="仿宋" w:cs="仿宋"/>
          <w:snapToGrid w:val="0"/>
          <w:color w:val="000000"/>
          <w:sz w:val="32"/>
          <w:szCs w:val="32"/>
        </w:rPr>
        <w:t>实现了应扶尽扶</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应保尽保</w:t>
      </w:r>
      <w:r>
        <w:rPr>
          <w:rFonts w:hint="eastAsia" w:ascii="仿宋" w:hAnsi="仿宋" w:eastAsia="仿宋" w:cs="仿宋"/>
          <w:snapToGrid w:val="0"/>
          <w:color w:val="000000"/>
          <w:sz w:val="32"/>
          <w:szCs w:val="32"/>
        </w:rPr>
        <w:t>。</w:t>
      </w:r>
    </w:p>
    <w:p w14:paraId="6034CCDF">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A41AAB7">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ascii="仿宋" w:hAnsi="仿宋" w:eastAsia="仿宋"/>
          <w:color w:val="000000"/>
          <w:sz w:val="32"/>
          <w:szCs w:val="32"/>
        </w:rPr>
        <w:pict>
          <v:shape id="Object 3" o:spid="_x0000_s1026" o:spt="75" type="#_x0000_t75" style="position:absolute;left:0pt;margin-left:42.75pt;margin-top:13.5pt;height:216.75pt;width:360.75pt;mso-wrap-distance-bottom:0pt;mso-wrap-distance-left:9pt;mso-wrap-distance-right:9pt;mso-wrap-distance-top:0pt;z-index:251659264;mso-width-relative:page;mso-height-relative:page;" o:ole="t" filled="f" o:preferrelative="t" stroked="f" coordsize="21600,21600">
            <v:path/>
            <v:fill on="f" alignshape="1" focussize="0,0"/>
            <v:stroke on="f"/>
            <v:imagedata r:id="rId5" o:title=""/>
            <o:lock v:ext="edit" aspectratio="f"/>
            <w10:wrap type="square"/>
          </v:shape>
          <o:OLEObject Type="Embed" ProgID="" ShapeID="Object 3" DrawAspect="Content" ObjectID="_1468075725" r:id="rId4">
            <o:LockedField>false</o:LockedField>
          </o:OLEObject>
        </w:pict>
      </w:r>
    </w:p>
    <w:p w14:paraId="22EDB63D">
      <w:pPr>
        <w:adjustRightInd w:val="0"/>
        <w:snapToGrid w:val="0"/>
        <w:spacing w:line="560" w:lineRule="exact"/>
        <w:ind w:firstLine="640" w:firstLineChars="200"/>
        <w:jc w:val="both"/>
        <w:rPr>
          <w:rFonts w:ascii="仿宋" w:hAnsi="仿宋" w:eastAsia="仿宋" w:cs="仿宋"/>
          <w:snapToGrid w:val="0"/>
          <w:color w:val="000000"/>
          <w:sz w:val="32"/>
          <w:szCs w:val="32"/>
        </w:rPr>
      </w:pPr>
    </w:p>
    <w:p w14:paraId="59F5ED40">
      <w:pPr>
        <w:adjustRightInd w:val="0"/>
        <w:snapToGrid w:val="0"/>
        <w:spacing w:line="560" w:lineRule="exact"/>
        <w:jc w:val="center"/>
        <w:rPr>
          <w:rFonts w:ascii="仿宋" w:hAnsi="仿宋" w:eastAsia="仿宋"/>
          <w:snapToGrid w:val="0"/>
          <w:color w:val="000000"/>
          <w:sz w:val="32"/>
          <w:szCs w:val="32"/>
        </w:rPr>
      </w:pPr>
    </w:p>
    <w:p w14:paraId="431F1C8E">
      <w:pPr>
        <w:adjustRightInd w:val="0"/>
        <w:snapToGrid w:val="0"/>
        <w:spacing w:line="560" w:lineRule="exact"/>
        <w:jc w:val="center"/>
        <w:rPr>
          <w:rFonts w:hint="eastAsia" w:ascii="仿宋" w:hAnsi="仿宋" w:eastAsia="仿宋"/>
          <w:snapToGrid w:val="0"/>
          <w:color w:val="000000"/>
          <w:sz w:val="32"/>
          <w:szCs w:val="32"/>
        </w:rPr>
      </w:pPr>
    </w:p>
    <w:p w14:paraId="4579C999">
      <w:pPr>
        <w:adjustRightInd w:val="0"/>
        <w:snapToGrid w:val="0"/>
        <w:spacing w:line="560" w:lineRule="exact"/>
        <w:jc w:val="center"/>
        <w:rPr>
          <w:rFonts w:hint="eastAsia" w:ascii="仿宋" w:hAnsi="仿宋" w:eastAsia="仿宋"/>
          <w:snapToGrid w:val="0"/>
          <w:color w:val="000000"/>
          <w:sz w:val="32"/>
          <w:szCs w:val="32"/>
        </w:rPr>
      </w:pPr>
    </w:p>
    <w:p w14:paraId="38A79E3E">
      <w:pPr>
        <w:adjustRightInd w:val="0"/>
        <w:snapToGrid w:val="0"/>
        <w:spacing w:line="560" w:lineRule="exact"/>
        <w:jc w:val="center"/>
        <w:rPr>
          <w:rFonts w:hint="eastAsia" w:ascii="仿宋" w:hAnsi="仿宋" w:eastAsia="仿宋"/>
          <w:snapToGrid w:val="0"/>
          <w:color w:val="000000"/>
          <w:sz w:val="32"/>
          <w:szCs w:val="32"/>
        </w:rPr>
      </w:pPr>
    </w:p>
    <w:p w14:paraId="7DB3BF9A">
      <w:pPr>
        <w:adjustRightInd w:val="0"/>
        <w:snapToGrid w:val="0"/>
        <w:spacing w:line="560" w:lineRule="exact"/>
        <w:jc w:val="center"/>
        <w:rPr>
          <w:rFonts w:hint="eastAsia" w:ascii="仿宋" w:hAnsi="仿宋" w:eastAsia="仿宋"/>
          <w:snapToGrid w:val="0"/>
          <w:color w:val="000000"/>
          <w:sz w:val="32"/>
          <w:szCs w:val="32"/>
        </w:rPr>
      </w:pPr>
    </w:p>
    <w:p w14:paraId="03A6D3AD">
      <w:pPr>
        <w:adjustRightInd w:val="0"/>
        <w:snapToGrid w:val="0"/>
        <w:spacing w:line="560" w:lineRule="exact"/>
        <w:jc w:val="center"/>
        <w:rPr>
          <w:rFonts w:hint="eastAsia" w:ascii="仿宋" w:hAnsi="仿宋" w:eastAsia="仿宋"/>
          <w:snapToGrid w:val="0"/>
          <w:color w:val="000000"/>
          <w:sz w:val="32"/>
          <w:szCs w:val="32"/>
        </w:rPr>
      </w:pPr>
    </w:p>
    <w:p w14:paraId="0966BCD7">
      <w:pPr>
        <w:adjustRightInd w:val="0"/>
        <w:snapToGrid w:val="0"/>
        <w:spacing w:line="560" w:lineRule="exact"/>
        <w:jc w:val="center"/>
        <w:rPr>
          <w:rFonts w:hint="eastAsia" w:ascii="仿宋" w:hAnsi="仿宋" w:eastAsia="仿宋"/>
          <w:snapToGrid w:val="0"/>
          <w:color w:val="000000"/>
          <w:sz w:val="32"/>
          <w:szCs w:val="32"/>
        </w:rPr>
      </w:pPr>
    </w:p>
    <w:p w14:paraId="672EB303">
      <w:pPr>
        <w:adjustRightInd w:val="0"/>
        <w:snapToGrid w:val="0"/>
        <w:spacing w:line="560" w:lineRule="exact"/>
        <w:jc w:val="center"/>
        <w:rPr>
          <w:rFonts w:hint="eastAsia" w:ascii="仿宋" w:hAnsi="仿宋" w:eastAsia="仿宋"/>
          <w:snapToGrid w:val="0"/>
          <w:color w:val="000000"/>
          <w:sz w:val="32"/>
          <w:szCs w:val="32"/>
        </w:rPr>
      </w:pPr>
      <w:r>
        <w:rPr>
          <w:rFonts w:hint="eastAsia" w:ascii="仿宋" w:hAnsi="仿宋" w:eastAsia="仿宋"/>
          <w:snapToGrid w:val="0"/>
          <w:color w:val="000000"/>
          <w:sz w:val="32"/>
          <w:szCs w:val="32"/>
        </w:rPr>
        <w:t>图1</w:t>
      </w:r>
    </w:p>
    <w:p w14:paraId="49D7A8F2">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交城县2016-2019年减贫人数和退贫村数</w:t>
      </w:r>
    </w:p>
    <w:p w14:paraId="63CB6E31">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资料来源：交城县扶贫办年度工作总结</w:t>
      </w:r>
    </w:p>
    <w:p w14:paraId="05675E50">
      <w:pPr>
        <w:adjustRightInd w:val="0"/>
        <w:snapToGrid w:val="0"/>
        <w:spacing w:line="560" w:lineRule="exact"/>
        <w:ind w:firstLine="640" w:firstLineChars="200"/>
        <w:jc w:val="both"/>
        <w:outlineLvl w:val="2"/>
        <w:rPr>
          <w:rFonts w:ascii="仿宋" w:hAnsi="仿宋" w:eastAsia="仿宋"/>
          <w:bCs/>
          <w:snapToGrid w:val="0"/>
          <w:color w:val="000000"/>
          <w:sz w:val="32"/>
          <w:szCs w:val="32"/>
        </w:rPr>
      </w:pPr>
      <w:bookmarkStart w:id="12" w:name="_Toc61250675"/>
      <w:bookmarkStart w:id="13" w:name="_Toc15178"/>
      <w:bookmarkStart w:id="14" w:name="_Toc22796"/>
      <w:bookmarkStart w:id="15" w:name="_Toc59802952"/>
      <w:bookmarkStart w:id="16" w:name="_Toc59805213"/>
      <w:bookmarkStart w:id="17" w:name="_Toc60040296"/>
      <w:bookmarkStart w:id="18" w:name="_Toc30388"/>
      <w:bookmarkStart w:id="19" w:name="_Toc15148"/>
      <w:r>
        <w:rPr>
          <w:rFonts w:hint="eastAsia" w:ascii="仿宋" w:hAnsi="仿宋" w:eastAsia="仿宋"/>
          <w:bCs/>
          <w:snapToGrid w:val="0"/>
          <w:color w:val="000000"/>
          <w:sz w:val="32"/>
          <w:szCs w:val="32"/>
        </w:rPr>
        <w:t>（二）转型发展</w:t>
      </w:r>
      <w:bookmarkEnd w:id="12"/>
      <w:bookmarkEnd w:id="13"/>
      <w:bookmarkEnd w:id="14"/>
      <w:bookmarkEnd w:id="15"/>
      <w:bookmarkEnd w:id="16"/>
      <w:bookmarkEnd w:id="17"/>
      <w:bookmarkEnd w:id="18"/>
      <w:bookmarkEnd w:id="19"/>
      <w:r>
        <w:rPr>
          <w:rFonts w:hint="eastAsia" w:ascii="仿宋" w:hAnsi="仿宋" w:eastAsia="仿宋"/>
          <w:bCs/>
          <w:snapToGrid w:val="0"/>
          <w:color w:val="000000"/>
          <w:sz w:val="32"/>
          <w:szCs w:val="32"/>
        </w:rPr>
        <w:t>迈出坚实步伐</w:t>
      </w:r>
    </w:p>
    <w:p w14:paraId="7DDBD598">
      <w:pPr>
        <w:pStyle w:val="3"/>
        <w:adjustRightInd w:val="0"/>
        <w:snapToGrid w:val="0"/>
        <w:spacing w:line="560" w:lineRule="exact"/>
        <w:ind w:left="0" w:leftChars="0" w:firstLine="640" w:firstLineChars="200"/>
        <w:rPr>
          <w:rFonts w:ascii="仿宋" w:hAnsi="仿宋" w:eastAsia="仿宋" w:cs="仿宋"/>
          <w:snapToGrid w:val="0"/>
          <w:color w:val="000000"/>
          <w:kern w:val="0"/>
          <w:sz w:val="32"/>
          <w:szCs w:val="32"/>
        </w:rPr>
      </w:pPr>
      <w:r>
        <w:rPr>
          <w:rFonts w:hint="eastAsia" w:ascii="仿宋" w:hAnsi="仿宋" w:eastAsia="仿宋" w:cs="楷体"/>
          <w:snapToGrid w:val="0"/>
          <w:color w:val="000000"/>
          <w:kern w:val="0"/>
          <w:sz w:val="32"/>
          <w:szCs w:val="32"/>
        </w:rPr>
        <w:t>工业经济持续向好</w:t>
      </w:r>
      <w:r>
        <w:rPr>
          <w:rFonts w:hint="eastAsia" w:ascii="仿宋" w:hAnsi="仿宋" w:eastAsia="仿宋" w:cs="楷体"/>
          <w:bCs/>
          <w:snapToGrid w:val="0"/>
          <w:color w:val="000000"/>
          <w:kern w:val="0"/>
          <w:sz w:val="32"/>
          <w:szCs w:val="32"/>
        </w:rPr>
        <w:t>。</w:t>
      </w:r>
      <w:r>
        <w:rPr>
          <w:rFonts w:hint="eastAsia" w:ascii="仿宋" w:hAnsi="仿宋" w:eastAsia="仿宋" w:cs="仿宋"/>
          <w:snapToGrid w:val="0"/>
          <w:color w:val="000000"/>
          <w:kern w:val="0"/>
          <w:sz w:val="32"/>
          <w:szCs w:val="32"/>
        </w:rPr>
        <w:t>坚持“一大三新”工业转型方向，以创建国家级全域旅游示范县为目标，以统筹城乡扶贫开发政策为抓手，使得现代农业和文旅产业得到很大发展，三次产业结构由</w:t>
      </w:r>
      <w:r>
        <w:rPr>
          <w:rFonts w:ascii="仿宋" w:hAnsi="仿宋" w:eastAsia="仿宋" w:cs="仿宋"/>
          <w:snapToGrid w:val="0"/>
          <w:color w:val="000000"/>
          <w:kern w:val="0"/>
          <w:sz w:val="32"/>
          <w:szCs w:val="32"/>
        </w:rPr>
        <w:t>4.2:82.6:13.2调整为4.4:64.4:31.2</w:t>
      </w:r>
      <w:r>
        <w:rPr>
          <w:rFonts w:hint="eastAsia" w:ascii="仿宋" w:hAnsi="仿宋" w:eastAsia="仿宋" w:cs="仿宋"/>
          <w:snapToGrid w:val="0"/>
          <w:color w:val="000000"/>
          <w:kern w:val="0"/>
          <w:sz w:val="32"/>
          <w:szCs w:val="32"/>
        </w:rPr>
        <w:t>，实现了由原来以二产为主到三次产业协同发展的转变，县域经济结构更加合理。投资、消费、出口占GDP的比重分别达到58%、30%、12%。地区生产总值连跨三个十亿元台阶，2020年达到84.9亿元，年均增长9.9%，高于全省4.4个百分点、全市4.5个百分点；一般</w:t>
      </w:r>
      <w:r>
        <w:rPr>
          <w:rFonts w:hint="eastAsia" w:ascii="仿宋" w:hAnsi="仿宋" w:eastAsia="仿宋" w:cs="仿宋_GB2312"/>
          <w:snapToGrid w:val="0"/>
          <w:color w:val="000000"/>
          <w:kern w:val="0"/>
          <w:sz w:val="32"/>
          <w:szCs w:val="32"/>
        </w:rPr>
        <w:t>预算收入稳定增长，2020年完成6.6亿元，年均增速9.6%。五年实施工业转型项目117个，东锦肥业绿色新材料、利虎集团太阳能特种玻璃等42个项目建成投产，规模以上工业企业净增15户，战略性新兴产业增加值占比达到8%。出台支持民营经济发展“20条”，五年累计减税降费8.9亿元。</w:t>
      </w:r>
      <w:r>
        <w:rPr>
          <w:rFonts w:hint="eastAsia" w:ascii="仿宋" w:hAnsi="仿宋" w:eastAsia="仿宋" w:cs="仿宋"/>
          <w:snapToGrid w:val="0"/>
          <w:color w:val="000000"/>
          <w:kern w:val="0"/>
          <w:sz w:val="32"/>
          <w:szCs w:val="32"/>
        </w:rPr>
        <w:t>中交网通大数据项目成功落地；山西交城中西部数据中心主体封顶；中鼎云铸公共服务平台项目建成；中晶环保新型建材、典石晨晶复合环保壁纸、义望铁合金废渣循环矿棉材料等新材料项目陆续投产；金兰化工储热熔盐项目、鑫升机械省内首家煤改电设备制造项目先后投产，湘电风能会立横尖项目开工建设，开启了交城新能源革命新实践；义望铁合金微晶石材项目、利虎特种玻璃生产线、东锦肥业绿色新材料、三喜化工硝酸盐、德莱奥化工永固紫项目建成；宏特超高功率石墨电极实现复产，润锦化工焦炉煤气综合利用、新元太酚醛树脂项目顺利推进；华鑫肥业、红星化工等一批新化工项目陆续投产，“一大三新”产业蓬勃发展。</w:t>
      </w:r>
    </w:p>
    <w:p w14:paraId="556A0772">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农业经济稳步发展</w:t>
      </w:r>
      <w:r>
        <w:rPr>
          <w:rFonts w:hint="eastAsia" w:ascii="仿宋" w:hAnsi="仿宋" w:eastAsia="仿宋" w:cs="楷体"/>
          <w:bCs/>
          <w:snapToGrid w:val="0"/>
          <w:color w:val="000000"/>
          <w:sz w:val="32"/>
          <w:szCs w:val="32"/>
        </w:rPr>
        <w:t>。</w:t>
      </w:r>
      <w:r>
        <w:rPr>
          <w:rFonts w:hint="eastAsia" w:ascii="仿宋" w:hAnsi="仿宋" w:eastAsia="仿宋" w:cs="仿宋_GB2312"/>
          <w:snapToGrid w:val="0"/>
          <w:color w:val="000000"/>
          <w:sz w:val="32"/>
          <w:szCs w:val="32"/>
        </w:rPr>
        <w:t>“畜、果、蔬、菌、药、蜂”六大特色</w:t>
      </w:r>
      <w:r>
        <w:rPr>
          <w:rFonts w:hint="eastAsia" w:ascii="仿宋" w:hAnsi="仿宋" w:eastAsia="仿宋" w:cs="仿宋_GB2312"/>
          <w:snapToGrid w:val="0"/>
          <w:color w:val="000000"/>
          <w:sz w:val="32"/>
          <w:szCs w:val="32"/>
          <w:shd w:val="clear" w:color="auto" w:fill="FFFFFF"/>
        </w:rPr>
        <w:t>农业</w:t>
      </w:r>
      <w:r>
        <w:rPr>
          <w:rFonts w:hint="eastAsia" w:ascii="仿宋" w:hAnsi="仿宋" w:eastAsia="仿宋" w:cs="仿宋_GB2312"/>
          <w:snapToGrid w:val="0"/>
          <w:color w:val="000000"/>
          <w:sz w:val="32"/>
          <w:szCs w:val="32"/>
        </w:rPr>
        <w:t>产业稳步壮大，农产品加工业销售收入达到3.7亿元。</w:t>
      </w:r>
      <w:r>
        <w:rPr>
          <w:rFonts w:hint="eastAsia" w:ascii="仿宋" w:hAnsi="仿宋" w:eastAsia="仿宋" w:cs="仿宋"/>
          <w:snapToGrid w:val="0"/>
          <w:color w:val="000000"/>
          <w:sz w:val="32"/>
          <w:szCs w:val="32"/>
        </w:rPr>
        <w:t>“一乡一园区、一村一基地”初见成效，</w:t>
      </w:r>
      <w:r>
        <w:rPr>
          <w:rFonts w:hint="eastAsia" w:ascii="仿宋" w:hAnsi="仿宋" w:eastAsia="仿宋"/>
          <w:snapToGrid w:val="0"/>
          <w:color w:val="000000"/>
          <w:sz w:val="32"/>
          <w:szCs w:val="32"/>
        </w:rPr>
        <w:t>7</w:t>
      </w:r>
      <w:r>
        <w:rPr>
          <w:rFonts w:hint="eastAsia" w:ascii="仿宋" w:hAnsi="仿宋" w:eastAsia="仿宋" w:cs="仿宋"/>
          <w:snapToGrid w:val="0"/>
          <w:color w:val="000000"/>
          <w:sz w:val="32"/>
          <w:szCs w:val="32"/>
        </w:rPr>
        <w:t>个乡级园区、</w:t>
      </w:r>
      <w:r>
        <w:rPr>
          <w:rFonts w:hint="eastAsia" w:ascii="仿宋" w:hAnsi="仿宋" w:eastAsia="仿宋"/>
          <w:snapToGrid w:val="0"/>
          <w:color w:val="000000"/>
          <w:sz w:val="32"/>
          <w:szCs w:val="32"/>
        </w:rPr>
        <w:t>30</w:t>
      </w:r>
      <w:r>
        <w:rPr>
          <w:rFonts w:hint="eastAsia" w:ascii="仿宋" w:hAnsi="仿宋" w:eastAsia="仿宋" w:cs="仿宋"/>
          <w:snapToGrid w:val="0"/>
          <w:color w:val="000000"/>
          <w:sz w:val="32"/>
          <w:szCs w:val="32"/>
        </w:rPr>
        <w:t>个村级示范基地开工建设。培育省级、市级龙头企业</w:t>
      </w:r>
      <w:r>
        <w:rPr>
          <w:rFonts w:ascii="仿宋" w:hAnsi="仿宋" w:eastAsia="仿宋"/>
          <w:snapToGrid w:val="0"/>
          <w:color w:val="000000"/>
          <w:sz w:val="32"/>
          <w:szCs w:val="32"/>
        </w:rPr>
        <w:t>9</w:t>
      </w:r>
      <w:r>
        <w:rPr>
          <w:rFonts w:hint="eastAsia" w:ascii="仿宋" w:hAnsi="仿宋" w:eastAsia="仿宋" w:cs="仿宋"/>
          <w:snapToGrid w:val="0"/>
          <w:color w:val="000000"/>
          <w:sz w:val="32"/>
          <w:szCs w:val="32"/>
        </w:rPr>
        <w:t>户，新增“三品一标” 认证产品</w:t>
      </w:r>
      <w:r>
        <w:rPr>
          <w:rFonts w:hint="eastAsia" w:ascii="仿宋" w:hAnsi="仿宋" w:eastAsia="仿宋"/>
          <w:snapToGrid w:val="0"/>
          <w:color w:val="000000"/>
          <w:sz w:val="32"/>
          <w:szCs w:val="32"/>
        </w:rPr>
        <w:t>5</w:t>
      </w:r>
      <w:r>
        <w:rPr>
          <w:rFonts w:hint="eastAsia" w:ascii="仿宋" w:hAnsi="仿宋" w:eastAsia="仿宋" w:cs="仿宋"/>
          <w:snapToGrid w:val="0"/>
          <w:color w:val="000000"/>
          <w:sz w:val="32"/>
          <w:szCs w:val="32"/>
        </w:rPr>
        <w:t>个，农产品电商销售额达</w:t>
      </w:r>
      <w:r>
        <w:rPr>
          <w:rFonts w:hint="eastAsia" w:ascii="仿宋" w:hAnsi="仿宋" w:eastAsia="仿宋"/>
          <w:snapToGrid w:val="0"/>
          <w:color w:val="000000"/>
          <w:sz w:val="32"/>
          <w:szCs w:val="32"/>
        </w:rPr>
        <w:t>9000</w:t>
      </w:r>
      <w:r>
        <w:rPr>
          <w:rFonts w:hint="eastAsia" w:ascii="仿宋" w:hAnsi="仿宋" w:eastAsia="仿宋" w:cs="仿宋"/>
          <w:snapToGrid w:val="0"/>
          <w:color w:val="000000"/>
          <w:sz w:val="32"/>
          <w:szCs w:val="32"/>
        </w:rPr>
        <w:t>余万元，有效促进农业增效、农民增收。</w:t>
      </w:r>
    </w:p>
    <w:p w14:paraId="2920F217">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旅游发展成效明显</w:t>
      </w:r>
      <w:r>
        <w:rPr>
          <w:rFonts w:hint="eastAsia" w:ascii="仿宋" w:hAnsi="仿宋" w:eastAsia="仿宋" w:cs="楷体"/>
          <w:bCs/>
          <w:snapToGrid w:val="0"/>
          <w:color w:val="000000"/>
          <w:sz w:val="32"/>
          <w:szCs w:val="32"/>
        </w:rPr>
        <w:t>。</w:t>
      </w:r>
      <w:r>
        <w:rPr>
          <w:rFonts w:hint="eastAsia" w:ascii="仿宋" w:hAnsi="仿宋" w:eastAsia="仿宋" w:cs="仿宋_GB2312"/>
          <w:snapToGrid w:val="0"/>
          <w:color w:val="000000"/>
          <w:sz w:val="32"/>
          <w:szCs w:val="32"/>
        </w:rPr>
        <w:t>加快发展全域旅游，开发“褐小美”系列文旅产品，国家全域旅游示范县创建通过初验。</w:t>
      </w:r>
      <w:r>
        <w:rPr>
          <w:rFonts w:hint="eastAsia" w:ascii="仿宋" w:hAnsi="仿宋" w:eastAsia="仿宋" w:cs="仿宋"/>
          <w:snapToGrid w:val="0"/>
          <w:color w:val="000000"/>
          <w:sz w:val="32"/>
          <w:szCs w:val="32"/>
        </w:rPr>
        <w:t>举办了“大美交城·古韵磁窑”文化旅游节等</w:t>
      </w:r>
      <w:r>
        <w:rPr>
          <w:rFonts w:hint="eastAsia" w:ascii="仿宋" w:hAnsi="仿宋" w:eastAsia="仿宋"/>
          <w:snapToGrid w:val="0"/>
          <w:color w:val="000000"/>
          <w:sz w:val="32"/>
          <w:szCs w:val="32"/>
        </w:rPr>
        <w:t>16</w:t>
      </w:r>
      <w:r>
        <w:rPr>
          <w:rFonts w:hint="eastAsia" w:ascii="仿宋" w:hAnsi="仿宋" w:eastAsia="仿宋" w:cs="仿宋"/>
          <w:snapToGrid w:val="0"/>
          <w:color w:val="000000"/>
          <w:sz w:val="32"/>
          <w:szCs w:val="32"/>
        </w:rPr>
        <w:t>项宣传推介活动，旅游带动效应明显。</w:t>
      </w:r>
    </w:p>
    <w:p w14:paraId="273B3644">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（三）重点领域改革纵深推进</w:t>
      </w:r>
    </w:p>
    <w:p w14:paraId="1F9ADC1C">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科技创新深入实施，五年培育高新技术企业1</w:t>
      </w:r>
      <w:r>
        <w:rPr>
          <w:rFonts w:ascii="仿宋" w:hAnsi="仿宋" w:eastAsia="仿宋" w:cs="仿宋"/>
          <w:snapToGrid w:val="0"/>
          <w:color w:val="000000"/>
          <w:sz w:val="32"/>
          <w:szCs w:val="32"/>
        </w:rPr>
        <w:t>8户</w:t>
      </w:r>
      <w:r>
        <w:rPr>
          <w:rFonts w:hint="eastAsia" w:ascii="仿宋" w:hAnsi="仿宋" w:eastAsia="仿宋" w:cs="仿宋"/>
          <w:snapToGrid w:val="0"/>
          <w:color w:val="000000"/>
          <w:sz w:val="32"/>
          <w:szCs w:val="32"/>
        </w:rPr>
        <w:t>，成为全国首批、全省首家“创新型县”。开发区“三化三制”改革取得实质性进展，</w:t>
      </w:r>
      <w:r>
        <w:rPr>
          <w:rFonts w:hint="eastAsia" w:ascii="仿宋" w:hAnsi="仿宋" w:eastAsia="仿宋" w:cs="仿宋_GB2312"/>
          <w:snapToGrid w:val="0"/>
          <w:color w:val="000000"/>
          <w:sz w:val="32"/>
          <w:szCs w:val="32"/>
        </w:rPr>
        <w:t>新增市场主体</w:t>
      </w:r>
      <w:r>
        <w:rPr>
          <w:rFonts w:ascii="仿宋" w:hAnsi="仿宋" w:eastAsia="仿宋"/>
          <w:snapToGrid w:val="0"/>
          <w:color w:val="000000"/>
          <w:sz w:val="32"/>
          <w:szCs w:val="32"/>
        </w:rPr>
        <w:t>1.2万</w:t>
      </w:r>
      <w:r>
        <w:rPr>
          <w:rFonts w:hint="eastAsia" w:ascii="仿宋" w:hAnsi="仿宋" w:eastAsia="仿宋" w:cs="仿宋_GB2312"/>
          <w:snapToGrid w:val="0"/>
          <w:color w:val="000000"/>
          <w:sz w:val="32"/>
          <w:szCs w:val="32"/>
        </w:rPr>
        <w:t>个，市场活力显著增强，</w:t>
      </w:r>
      <w:r>
        <w:rPr>
          <w:rFonts w:hint="eastAsia" w:ascii="仿宋" w:hAnsi="仿宋" w:eastAsia="仿宋" w:cs="仿宋"/>
          <w:snapToGrid w:val="0"/>
          <w:color w:val="000000"/>
          <w:sz w:val="32"/>
          <w:szCs w:val="32"/>
        </w:rPr>
        <w:t>入选“三市两园”综合能源服务系统试点。县乡医疗机构一体化改革经验被中央改革办报道推广。党政机构改革、行政村撤并圆满完成。</w:t>
      </w:r>
    </w:p>
    <w:p w14:paraId="5FDFDB6D">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培育省级、市级企业技术中心</w:t>
      </w:r>
      <w:r>
        <w:rPr>
          <w:rFonts w:hint="eastAsia" w:ascii="仿宋" w:hAnsi="仿宋" w:eastAsia="仿宋"/>
          <w:snapToGrid w:val="0"/>
          <w:color w:val="000000"/>
          <w:sz w:val="32"/>
          <w:szCs w:val="32"/>
        </w:rPr>
        <w:t>19</w:t>
      </w:r>
      <w:r>
        <w:rPr>
          <w:rFonts w:hint="eastAsia" w:ascii="仿宋" w:hAnsi="仿宋" w:eastAsia="仿宋" w:cs="仿宋"/>
          <w:snapToGrid w:val="0"/>
          <w:color w:val="000000"/>
          <w:sz w:val="32"/>
          <w:szCs w:val="32"/>
        </w:rPr>
        <w:t>户，“专精特新”企业</w:t>
      </w:r>
      <w:r>
        <w:rPr>
          <w:rFonts w:hint="eastAsia" w:ascii="仿宋" w:hAnsi="仿宋" w:eastAsia="仿宋"/>
          <w:snapToGrid w:val="0"/>
          <w:color w:val="000000"/>
          <w:sz w:val="32"/>
          <w:szCs w:val="32"/>
        </w:rPr>
        <w:t>18</w:t>
      </w:r>
      <w:r>
        <w:rPr>
          <w:rFonts w:hint="eastAsia" w:ascii="仿宋" w:hAnsi="仿宋" w:eastAsia="仿宋" w:cs="仿宋"/>
          <w:snapToGrid w:val="0"/>
          <w:color w:val="000000"/>
          <w:sz w:val="32"/>
          <w:szCs w:val="32"/>
        </w:rPr>
        <w:t>户，科技型中小企业</w:t>
      </w:r>
      <w:r>
        <w:rPr>
          <w:rFonts w:hint="eastAsia" w:ascii="仿宋" w:hAnsi="仿宋" w:eastAsia="仿宋"/>
          <w:snapToGrid w:val="0"/>
          <w:color w:val="000000"/>
          <w:sz w:val="32"/>
          <w:szCs w:val="32"/>
        </w:rPr>
        <w:t>20</w:t>
      </w:r>
      <w:r>
        <w:rPr>
          <w:rFonts w:hint="eastAsia" w:ascii="仿宋" w:hAnsi="仿宋" w:eastAsia="仿宋" w:cs="仿宋"/>
          <w:snapToGrid w:val="0"/>
          <w:color w:val="000000"/>
          <w:sz w:val="32"/>
          <w:szCs w:val="32"/>
        </w:rPr>
        <w:t>户，高新技术企业</w:t>
      </w:r>
      <w:r>
        <w:rPr>
          <w:rFonts w:hint="eastAsia" w:ascii="仿宋" w:hAnsi="仿宋" w:eastAsia="仿宋"/>
          <w:snapToGrid w:val="0"/>
          <w:color w:val="000000"/>
          <w:sz w:val="32"/>
          <w:szCs w:val="32"/>
        </w:rPr>
        <w:t>22</w:t>
      </w:r>
      <w:r>
        <w:rPr>
          <w:rFonts w:hint="eastAsia" w:ascii="仿宋" w:hAnsi="仿宋" w:eastAsia="仿宋" w:cs="仿宋"/>
          <w:snapToGrid w:val="0"/>
          <w:color w:val="000000"/>
          <w:sz w:val="32"/>
          <w:szCs w:val="32"/>
        </w:rPr>
        <w:t>户，新增小微企业入规</w:t>
      </w:r>
      <w:r>
        <w:rPr>
          <w:rFonts w:hint="eastAsia" w:ascii="仿宋" w:hAnsi="仿宋" w:eastAsia="仿宋"/>
          <w:snapToGrid w:val="0"/>
          <w:color w:val="000000"/>
          <w:sz w:val="32"/>
          <w:szCs w:val="32"/>
        </w:rPr>
        <w:t>55</w:t>
      </w:r>
      <w:r>
        <w:rPr>
          <w:rFonts w:hint="eastAsia" w:ascii="仿宋" w:hAnsi="仿宋" w:eastAsia="仿宋" w:cs="仿宋"/>
          <w:snapToGrid w:val="0"/>
          <w:color w:val="000000"/>
          <w:sz w:val="32"/>
          <w:szCs w:val="32"/>
        </w:rPr>
        <w:t>户。有效发明技术专利</w:t>
      </w:r>
      <w:r>
        <w:rPr>
          <w:rFonts w:hint="eastAsia" w:ascii="仿宋" w:hAnsi="仿宋" w:eastAsia="仿宋"/>
          <w:snapToGrid w:val="0"/>
          <w:color w:val="000000"/>
          <w:sz w:val="32"/>
          <w:szCs w:val="32"/>
        </w:rPr>
        <w:t>51</w:t>
      </w:r>
      <w:r>
        <w:rPr>
          <w:rFonts w:hint="eastAsia" w:ascii="仿宋" w:hAnsi="仿宋" w:eastAsia="仿宋" w:cs="仿宋"/>
          <w:snapToGrid w:val="0"/>
          <w:color w:val="000000"/>
          <w:sz w:val="32"/>
          <w:szCs w:val="32"/>
        </w:rPr>
        <w:t>件；全县各行业投入科学研究与试验发展（R&amp;D）经费投入位居全省第六、吕梁第一，受到省政府通报表扬（2017年）；2019年我县被科技部授予全国创新型建设县。引才引智成果突出，政府融资创新推进，社会福利养护院、交城山旅游大通道项目分别入选国家级和省级PPP示范项目库,有效破解了县域基础设施建设融资难问题。</w:t>
      </w:r>
    </w:p>
    <w:p w14:paraId="68C49202">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（四）生态文明建设成效显著</w:t>
      </w:r>
    </w:p>
    <w:p w14:paraId="2C10DE3B">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ascii="仿宋" w:hAnsi="仿宋" w:eastAsia="仿宋"/>
          <w:snapToGrid w:val="0"/>
          <w:color w:val="000000"/>
          <w:sz w:val="32"/>
          <w:szCs w:val="32"/>
        </w:rPr>
        <w:t xml:space="preserve">  </w:t>
      </w:r>
      <w:r>
        <w:rPr>
          <w:rFonts w:hint="eastAsia" w:ascii="仿宋" w:hAnsi="仿宋" w:eastAsia="仿宋" w:cs="仿宋"/>
          <w:snapToGrid w:val="0"/>
          <w:color w:val="000000"/>
          <w:sz w:val="32"/>
          <w:szCs w:val="32"/>
        </w:rPr>
        <w:t>“两河治理”、污染防治工作得到省市肯定，通过了省级园林县城省级专家综合评估。文教卫生等民生工程得到优先发展，社会保障体系得以完善。</w:t>
      </w:r>
    </w:p>
    <w:p w14:paraId="1D170284">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十三五”期间，交城县坚持绿色发展理念，紧密围绕“十三五”生态环境保护规划确定的战略目标和发展任务，按照每年制定的污染防治攻坚实施方案等文件要求，积极开展环境治理和生态保护工作。政府在节能环保领域的投资逐步增加，一般公共服务年支出从</w:t>
      </w:r>
      <w:r>
        <w:rPr>
          <w:rFonts w:hint="eastAsia" w:ascii="仿宋" w:hAnsi="仿宋" w:eastAsia="仿宋"/>
          <w:snapToGrid w:val="0"/>
          <w:color w:val="000000"/>
          <w:sz w:val="32"/>
          <w:szCs w:val="32"/>
        </w:rPr>
        <w:t>2016</w:t>
      </w:r>
      <w:r>
        <w:rPr>
          <w:rFonts w:hint="eastAsia" w:ascii="仿宋" w:hAnsi="仿宋" w:eastAsia="仿宋" w:cs="仿宋"/>
          <w:snapToGrid w:val="0"/>
          <w:color w:val="000000"/>
          <w:sz w:val="32"/>
          <w:szCs w:val="32"/>
        </w:rPr>
        <w:t>年的</w:t>
      </w:r>
      <w:r>
        <w:rPr>
          <w:rFonts w:ascii="仿宋" w:hAnsi="仿宋" w:eastAsia="仿宋"/>
          <w:snapToGrid w:val="0"/>
          <w:color w:val="000000"/>
          <w:sz w:val="32"/>
          <w:szCs w:val="32"/>
        </w:rPr>
        <w:t>2769</w:t>
      </w:r>
      <w:r>
        <w:rPr>
          <w:rFonts w:hint="eastAsia" w:ascii="仿宋" w:hAnsi="仿宋" w:eastAsia="仿宋" w:cs="仿宋"/>
          <w:snapToGrid w:val="0"/>
          <w:color w:val="000000"/>
          <w:sz w:val="32"/>
          <w:szCs w:val="32"/>
        </w:rPr>
        <w:t>万元增加到2</w:t>
      </w:r>
      <w:r>
        <w:rPr>
          <w:rFonts w:hint="eastAsia" w:ascii="仿宋" w:hAnsi="仿宋" w:eastAsia="仿宋"/>
          <w:snapToGrid w:val="0"/>
          <w:color w:val="000000"/>
          <w:sz w:val="32"/>
          <w:szCs w:val="32"/>
        </w:rPr>
        <w:t>019</w:t>
      </w:r>
      <w:r>
        <w:rPr>
          <w:rFonts w:hint="eastAsia" w:ascii="仿宋" w:hAnsi="仿宋" w:eastAsia="仿宋" w:cs="仿宋"/>
          <w:snapToGrid w:val="0"/>
          <w:color w:val="000000"/>
          <w:sz w:val="32"/>
          <w:szCs w:val="32"/>
        </w:rPr>
        <w:t>年的8376万元，年均增长率</w:t>
      </w:r>
      <w:r>
        <w:rPr>
          <w:rFonts w:ascii="仿宋" w:hAnsi="仿宋" w:eastAsia="仿宋"/>
          <w:snapToGrid w:val="0"/>
          <w:color w:val="000000"/>
          <w:sz w:val="32"/>
          <w:szCs w:val="32"/>
        </w:rPr>
        <w:t>44.6%</w:t>
      </w:r>
      <w:r>
        <w:rPr>
          <w:rFonts w:hint="eastAsia" w:ascii="仿宋" w:hAnsi="仿宋" w:eastAsia="仿宋" w:cs="仿宋"/>
          <w:snapToGrid w:val="0"/>
          <w:color w:val="000000"/>
          <w:sz w:val="32"/>
          <w:szCs w:val="32"/>
        </w:rPr>
        <w:t>，具体见图</w:t>
      </w:r>
      <w:r>
        <w:rPr>
          <w:rFonts w:ascii="仿宋" w:hAnsi="仿宋" w:eastAsia="仿宋"/>
          <w:snapToGrid w:val="0"/>
          <w:color w:val="000000"/>
          <w:sz w:val="32"/>
          <w:szCs w:val="32"/>
        </w:rPr>
        <w:t>2</w:t>
      </w:r>
      <w:r>
        <w:rPr>
          <w:rFonts w:hint="eastAsia" w:ascii="仿宋" w:hAnsi="仿宋" w:eastAsia="仿宋" w:cs="仿宋"/>
          <w:snapToGrid w:val="0"/>
          <w:color w:val="000000"/>
          <w:sz w:val="32"/>
          <w:szCs w:val="32"/>
        </w:rPr>
        <w:t>。在蓝天、碧水和净土等多个领域迈出了坚实的步伐，整体来说在环境保护中取得了明显成效。</w:t>
      </w:r>
    </w:p>
    <w:p w14:paraId="09D40122">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楷体"/>
          <w:snapToGrid w:val="0"/>
          <w:color w:val="000000"/>
          <w:sz w:val="32"/>
          <w:szCs w:val="32"/>
        </w:rPr>
        <w:t>基础设施升级改造</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北环路改造工程、沙河西街延伸工程建成通车，龙门供水工程、旮旯水电站、世行贷款节水灌溉项目、小型农田水利重点县项目完工；“一拆三清一改”整治工作成效显著。省级园林县城通过了省级专家综合评估。全年完成造林</w:t>
      </w:r>
      <w:r>
        <w:rPr>
          <w:rFonts w:ascii="仿宋" w:hAnsi="仿宋" w:eastAsia="仿宋"/>
          <w:snapToGrid w:val="0"/>
          <w:color w:val="000000"/>
          <w:sz w:val="32"/>
          <w:szCs w:val="32"/>
        </w:rPr>
        <w:t>2.89</w:t>
      </w:r>
      <w:r>
        <w:rPr>
          <w:rFonts w:hint="eastAsia" w:ascii="仿宋" w:hAnsi="仿宋" w:eastAsia="仿宋" w:cs="仿宋"/>
          <w:snapToGrid w:val="0"/>
          <w:color w:val="000000"/>
          <w:sz w:val="32"/>
          <w:szCs w:val="32"/>
        </w:rPr>
        <w:t>万亩，建成</w:t>
      </w:r>
      <w:r>
        <w:rPr>
          <w:rFonts w:hint="eastAsia" w:ascii="仿宋" w:hAnsi="仿宋" w:eastAsia="仿宋"/>
          <w:snapToGrid w:val="0"/>
          <w:color w:val="000000"/>
          <w:sz w:val="32"/>
          <w:szCs w:val="32"/>
        </w:rPr>
        <w:t>7</w:t>
      </w:r>
      <w:r>
        <w:rPr>
          <w:rFonts w:hint="eastAsia" w:ascii="仿宋" w:hAnsi="仿宋" w:eastAsia="仿宋" w:cs="仿宋"/>
          <w:snapToGrid w:val="0"/>
          <w:color w:val="000000"/>
          <w:sz w:val="32"/>
          <w:szCs w:val="32"/>
        </w:rPr>
        <w:t>个城市小游园，新增绿地面积</w:t>
      </w:r>
      <w:r>
        <w:rPr>
          <w:rFonts w:hint="eastAsia" w:ascii="仿宋" w:hAnsi="仿宋" w:eastAsia="仿宋"/>
          <w:snapToGrid w:val="0"/>
          <w:color w:val="000000"/>
          <w:sz w:val="32"/>
          <w:szCs w:val="32"/>
        </w:rPr>
        <w:t>7</w:t>
      </w:r>
      <w:r>
        <w:rPr>
          <w:rFonts w:hint="eastAsia" w:ascii="仿宋" w:hAnsi="仿宋" w:eastAsia="仿宋" w:cs="仿宋"/>
          <w:snapToGrid w:val="0"/>
          <w:color w:val="000000"/>
          <w:sz w:val="32"/>
          <w:szCs w:val="32"/>
        </w:rPr>
        <w:t>万平米，城市绿地率达到</w:t>
      </w:r>
      <w:r>
        <w:rPr>
          <w:rFonts w:hint="eastAsia" w:ascii="仿宋" w:hAnsi="仿宋" w:eastAsia="仿宋"/>
          <w:snapToGrid w:val="0"/>
          <w:color w:val="000000"/>
          <w:sz w:val="32"/>
          <w:szCs w:val="32"/>
        </w:rPr>
        <w:t>34.5</w:t>
      </w:r>
      <w:r>
        <w:rPr>
          <w:rFonts w:hint="eastAsia" w:ascii="仿宋" w:hAnsi="仿宋" w:eastAsia="仿宋" w:cs="仿宋"/>
          <w:snapToGrid w:val="0"/>
          <w:color w:val="000000"/>
          <w:sz w:val="32"/>
          <w:szCs w:val="32"/>
        </w:rPr>
        <w:t>%。“</w:t>
      </w:r>
      <w:r>
        <w:rPr>
          <w:rFonts w:ascii="仿宋" w:hAnsi="仿宋" w:eastAsia="仿宋"/>
          <w:snapToGrid w:val="0"/>
          <w:color w:val="000000"/>
          <w:sz w:val="32"/>
          <w:szCs w:val="32"/>
        </w:rPr>
        <w:t>1+7</w:t>
      </w:r>
      <w:r>
        <w:rPr>
          <w:rFonts w:hint="eastAsia" w:ascii="仿宋" w:hAnsi="仿宋" w:eastAsia="仿宋" w:cs="仿宋"/>
          <w:snapToGrid w:val="0"/>
          <w:color w:val="000000"/>
          <w:sz w:val="32"/>
          <w:szCs w:val="32"/>
        </w:rPr>
        <w:t>”环保百日攻坚行动成效明显，“两河治理”稳定推进。沙河东街棚户区道路工程、城东污水管网建设一期等</w:t>
      </w:r>
      <w:r>
        <w:rPr>
          <w:rFonts w:ascii="仿宋" w:hAnsi="仿宋" w:eastAsia="仿宋"/>
          <w:snapToGrid w:val="0"/>
          <w:color w:val="000000"/>
          <w:sz w:val="32"/>
          <w:szCs w:val="32"/>
        </w:rPr>
        <w:t>5</w:t>
      </w:r>
      <w:r>
        <w:rPr>
          <w:rFonts w:hint="eastAsia" w:ascii="仿宋" w:hAnsi="仿宋" w:eastAsia="仿宋" w:cs="仿宋"/>
          <w:snapToGrid w:val="0"/>
          <w:color w:val="000000"/>
          <w:sz w:val="32"/>
          <w:szCs w:val="32"/>
        </w:rPr>
        <w:t>项工程开工建设，公共服务能力持续提升。</w:t>
      </w:r>
    </w:p>
    <w:p w14:paraId="31E39BDE">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ascii="仿宋" w:hAnsi="仿宋" w:eastAsia="仿宋"/>
          <w:color w:val="000000"/>
          <w:sz w:val="32"/>
          <w:szCs w:val="32"/>
        </w:rPr>
        <w:pict>
          <v:shape id="Object 4" o:spid="_x0000_s1027" o:spt="75" type="#_x0000_t75" style="position:absolute;left:0pt;margin-left:48pt;margin-top:9.5pt;height:210pt;width:348pt;mso-wrap-distance-left:9pt;mso-wrap-distance-right:9pt;z-index:251660288;mso-width-relative:page;mso-height-relative:page;" o:ole="t" filled="f" o:preferrelative="t" stroked="f" coordsize="21600,21600" wrapcoords="21592 -2 0 0 0 21600 21592 21602 8 21602 21600 21600 21600 0 8 -2 21592 -2">
            <v:path/>
            <v:fill on="f" alignshape="1" focussize="0,0"/>
            <v:stroke on="f"/>
            <v:imagedata r:id="rId7" o:title=""/>
            <o:lock v:ext="edit" aspectratio="f"/>
            <w10:wrap type="tight"/>
          </v:shape>
          <o:OLEObject Type="Embed" ProgID="" ShapeID="Object 4" DrawAspect="Content" ObjectID="_1468075726" r:id="rId6">
            <o:LockedField>false</o:LockedField>
          </o:OLEObject>
        </w:pict>
      </w:r>
    </w:p>
    <w:p w14:paraId="18E0AF1C">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00381FD5">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0FC2498">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613A9447">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02CA6925">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24F5F7A">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39123D36">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图2 交城县2016-2019年在节能环保领域一般公共服务支出</w:t>
      </w:r>
    </w:p>
    <w:p w14:paraId="22717E18">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资料来源：交城县财政局预算执行情况与预算草案</w:t>
      </w:r>
    </w:p>
    <w:p w14:paraId="054866EC">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空气质量明显提升</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“十三五”期间，全县城区空气质量二级以上天数、森林覆盖率基本保持稳定，大气环境质量相对较好，自然保护区基础设施建设得到完善，在“十四五”时期仍有较大的进步空间，具体如图</w:t>
      </w:r>
      <w:r>
        <w:rPr>
          <w:rFonts w:hint="eastAsia" w:ascii="仿宋" w:hAnsi="仿宋" w:eastAsia="仿宋"/>
          <w:snapToGrid w:val="0"/>
          <w:color w:val="000000"/>
          <w:sz w:val="32"/>
          <w:szCs w:val="32"/>
        </w:rPr>
        <w:t>3</w:t>
      </w:r>
      <w:r>
        <w:rPr>
          <w:rFonts w:hint="eastAsia" w:ascii="仿宋" w:hAnsi="仿宋" w:eastAsia="仿宋" w:cs="仿宋"/>
          <w:snapToGrid w:val="0"/>
          <w:color w:val="000000"/>
          <w:sz w:val="32"/>
          <w:szCs w:val="32"/>
        </w:rPr>
        <w:t>所示。</w:t>
      </w:r>
    </w:p>
    <w:p w14:paraId="151C290A">
      <w:pPr>
        <w:adjustRightInd w:val="0"/>
        <w:snapToGrid w:val="0"/>
        <w:spacing w:line="560" w:lineRule="exact"/>
        <w:ind w:firstLine="640" w:firstLineChars="200"/>
        <w:jc w:val="both"/>
        <w:rPr>
          <w:rFonts w:hint="eastAsia" w:ascii="仿宋" w:hAnsi="仿宋" w:eastAsia="仿宋" w:cs="仿宋"/>
          <w:bCs/>
          <w:snapToGrid w:val="0"/>
          <w:color w:val="000000"/>
          <w:sz w:val="32"/>
          <w:szCs w:val="32"/>
        </w:rPr>
      </w:pPr>
      <w:r>
        <w:rPr>
          <w:rFonts w:hint="eastAsia" w:ascii="仿宋" w:hAnsi="仿宋" w:eastAsia="仿宋" w:cs="楷体"/>
          <w:snapToGrid w:val="0"/>
          <w:color w:val="000000"/>
          <w:sz w:val="32"/>
          <w:szCs w:val="32"/>
        </w:rPr>
        <w:t>污染物排放量明显下降</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华鑫煤焦化、美锦煤化工等企业对环保设施进行改造升级，SO</w:t>
      </w:r>
      <w:r>
        <w:rPr>
          <w:rFonts w:hint="eastAsia" w:ascii="仿宋" w:hAnsi="仿宋" w:eastAsia="仿宋" w:cs="仿宋"/>
          <w:snapToGrid w:val="0"/>
          <w:color w:val="000000"/>
          <w:sz w:val="32"/>
          <w:szCs w:val="32"/>
          <w:vertAlign w:val="subscript"/>
        </w:rPr>
        <w:t>2</w:t>
      </w:r>
      <w:r>
        <w:rPr>
          <w:rFonts w:hint="eastAsia" w:ascii="仿宋" w:hAnsi="仿宋" w:eastAsia="仿宋" w:cs="仿宋"/>
          <w:snapToGrid w:val="0"/>
          <w:color w:val="000000"/>
          <w:sz w:val="32"/>
          <w:szCs w:val="32"/>
        </w:rPr>
        <w:t>超标排放数据在线检测系统显示企业污染物排放数据明显下降，达到相关的排放标准。安装高效除尘、脱硫设施，确保污染物达到排放标准，削弱燃煤设施对大气的污染程度。</w:t>
      </w:r>
      <w:r>
        <w:rPr>
          <w:rFonts w:hint="eastAsia" w:ascii="仿宋" w:hAnsi="仿宋" w:eastAsia="仿宋" w:cs="仿宋"/>
          <w:bCs/>
          <w:snapToGrid w:val="0"/>
          <w:color w:val="000000"/>
          <w:sz w:val="32"/>
          <w:szCs w:val="32"/>
        </w:rPr>
        <w:t>出台印发《工业企业VOCs排放管控的通知》，对重点企业开展VOCs排放管控治理方案。</w:t>
      </w:r>
    </w:p>
    <w:p w14:paraId="45AD1C1B">
      <w:pPr>
        <w:adjustRightInd w:val="0"/>
        <w:snapToGrid w:val="0"/>
        <w:spacing w:line="560" w:lineRule="exact"/>
        <w:ind w:firstLine="640" w:firstLineChars="200"/>
        <w:jc w:val="both"/>
        <w:rPr>
          <w:rFonts w:hint="eastAsia" w:ascii="仿宋" w:hAnsi="仿宋" w:eastAsia="仿宋" w:cs="仿宋"/>
          <w:bCs/>
          <w:snapToGrid w:val="0"/>
          <w:color w:val="000000"/>
          <w:sz w:val="32"/>
          <w:szCs w:val="32"/>
        </w:rPr>
      </w:pPr>
      <w:r>
        <w:rPr>
          <w:rFonts w:ascii="仿宋" w:hAnsi="仿宋" w:eastAsia="仿宋"/>
          <w:color w:val="000000"/>
          <w:sz w:val="32"/>
          <w:szCs w:val="32"/>
        </w:rPr>
        <w:pict>
          <v:shape id="Object 5" o:spid="_x0000_s1028" o:spt="75" type="#_x0000_t75" style="position:absolute;left:0pt;margin-left:44pt;margin-top:24pt;height:171.75pt;width:355.5pt;mso-wrap-distance-left:9pt;mso-wrap-distance-right:9pt;z-index:251661312;mso-width-relative:page;mso-height-relative:page;" o:ole="t" filled="f" o:preferrelative="t" stroked="f" coordsize="21600,21600" wrapcoords="21592 -2 0 0 0 21600 21592 21602 8 21602 21600 21600 21600 0 8 -2 21592 -2">
            <v:path/>
            <v:fill on="f" alignshape="1" focussize="0,0"/>
            <v:stroke on="f"/>
            <v:imagedata r:id="rId9" o:title=""/>
            <o:lock v:ext="edit" aspectratio="f"/>
            <w10:wrap type="tight"/>
          </v:shape>
          <o:OLEObject Type="Embed" ProgID="" ShapeID="Object 5" DrawAspect="Content" ObjectID="_1468075727" r:id="rId8">
            <o:LockedField>false</o:LockedField>
          </o:OLEObject>
        </w:pict>
      </w:r>
    </w:p>
    <w:p w14:paraId="1D6BD68D">
      <w:pPr>
        <w:adjustRightInd w:val="0"/>
        <w:snapToGrid w:val="0"/>
        <w:spacing w:line="560" w:lineRule="exact"/>
        <w:ind w:firstLine="640" w:firstLineChars="200"/>
        <w:jc w:val="both"/>
        <w:rPr>
          <w:rFonts w:hint="eastAsia" w:ascii="仿宋" w:hAnsi="仿宋" w:eastAsia="仿宋" w:cs="仿宋"/>
          <w:bCs/>
          <w:snapToGrid w:val="0"/>
          <w:color w:val="000000"/>
          <w:sz w:val="32"/>
          <w:szCs w:val="32"/>
        </w:rPr>
      </w:pPr>
    </w:p>
    <w:p w14:paraId="1CB37E90">
      <w:pPr>
        <w:adjustRightInd w:val="0"/>
        <w:snapToGrid w:val="0"/>
        <w:spacing w:line="560" w:lineRule="exact"/>
        <w:ind w:firstLine="640" w:firstLineChars="200"/>
        <w:jc w:val="both"/>
        <w:rPr>
          <w:rFonts w:hint="eastAsia" w:ascii="仿宋" w:hAnsi="仿宋" w:eastAsia="仿宋" w:cs="仿宋"/>
          <w:bCs/>
          <w:snapToGrid w:val="0"/>
          <w:color w:val="000000"/>
          <w:sz w:val="32"/>
          <w:szCs w:val="32"/>
        </w:rPr>
      </w:pPr>
    </w:p>
    <w:p w14:paraId="4EB0B287">
      <w:pPr>
        <w:adjustRightInd w:val="0"/>
        <w:snapToGrid w:val="0"/>
        <w:spacing w:line="560" w:lineRule="exact"/>
        <w:ind w:firstLine="640" w:firstLineChars="200"/>
        <w:jc w:val="both"/>
        <w:rPr>
          <w:rFonts w:hint="eastAsia" w:ascii="仿宋" w:hAnsi="仿宋" w:eastAsia="仿宋" w:cs="仿宋"/>
          <w:bCs/>
          <w:snapToGrid w:val="0"/>
          <w:color w:val="000000"/>
          <w:sz w:val="32"/>
          <w:szCs w:val="32"/>
        </w:rPr>
      </w:pPr>
    </w:p>
    <w:p w14:paraId="45953DC8">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6A85A82">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9AC9699">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92D3944">
      <w:pPr>
        <w:adjustRightInd w:val="0"/>
        <w:snapToGrid w:val="0"/>
        <w:spacing w:line="560" w:lineRule="exact"/>
        <w:jc w:val="center"/>
        <w:rPr>
          <w:rFonts w:ascii="仿宋" w:hAnsi="仿宋" w:eastAsia="仿宋" w:cs="仿宋"/>
          <w:snapToGrid w:val="0"/>
          <w:color w:val="000000"/>
          <w:sz w:val="32"/>
          <w:szCs w:val="32"/>
        </w:rPr>
      </w:pPr>
    </w:p>
    <w:p w14:paraId="6449AB60">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图3 交城县2016-2019年大气环境二级以上天数</w:t>
      </w:r>
    </w:p>
    <w:p w14:paraId="4EC7F5E0">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资料来源：交城县国民经济和社会发展统计公报</w:t>
      </w:r>
    </w:p>
    <w:p w14:paraId="189F2615">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排放改造有序推进</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截止到2020年上半年，城区集中供热率达到</w:t>
      </w:r>
      <w:r>
        <w:rPr>
          <w:rFonts w:ascii="仿宋" w:hAnsi="仿宋" w:eastAsia="仿宋"/>
          <w:snapToGrid w:val="0"/>
          <w:color w:val="000000"/>
          <w:sz w:val="32"/>
          <w:szCs w:val="32"/>
        </w:rPr>
        <w:t>90%</w:t>
      </w:r>
      <w:r>
        <w:rPr>
          <w:rFonts w:hint="eastAsia" w:ascii="仿宋" w:hAnsi="仿宋" w:eastAsia="仿宋" w:cs="仿宋"/>
          <w:snapToGrid w:val="0"/>
          <w:color w:val="000000"/>
          <w:sz w:val="32"/>
          <w:szCs w:val="32"/>
        </w:rPr>
        <w:t>以上，淘汰燃煤锅炉</w:t>
      </w:r>
      <w:r>
        <w:rPr>
          <w:rFonts w:ascii="仿宋" w:hAnsi="仿宋" w:eastAsia="仿宋"/>
          <w:snapToGrid w:val="0"/>
          <w:color w:val="000000"/>
          <w:sz w:val="32"/>
          <w:szCs w:val="32"/>
        </w:rPr>
        <w:t>175</w:t>
      </w:r>
      <w:r>
        <w:rPr>
          <w:rFonts w:hint="eastAsia" w:ascii="仿宋" w:hAnsi="仿宋" w:eastAsia="仿宋" w:cs="仿宋"/>
          <w:snapToGrid w:val="0"/>
          <w:color w:val="000000"/>
          <w:sz w:val="32"/>
          <w:szCs w:val="32"/>
        </w:rPr>
        <w:t>余台,对剩余的</w:t>
      </w:r>
      <w:r>
        <w:rPr>
          <w:rFonts w:ascii="仿宋" w:hAnsi="仿宋" w:eastAsia="仿宋"/>
          <w:snapToGrid w:val="0"/>
          <w:color w:val="000000"/>
          <w:sz w:val="32"/>
          <w:szCs w:val="32"/>
        </w:rPr>
        <w:t>27</w:t>
      </w:r>
      <w:r>
        <w:rPr>
          <w:rFonts w:hint="eastAsia" w:ascii="仿宋" w:hAnsi="仿宋" w:eastAsia="仿宋" w:cs="仿宋"/>
          <w:snapToGrid w:val="0"/>
          <w:color w:val="000000"/>
          <w:sz w:val="32"/>
          <w:szCs w:val="32"/>
        </w:rPr>
        <w:t>台燃煤锅炉进行超低排放改造，燃煤锅炉采用清洁燃料，用生物质锅炉和空气能锅炉替代燃煤锅炉；划定全县禁煤区，对散煤销售、运输、抽检加强监管力度。</w:t>
      </w:r>
    </w:p>
    <w:p w14:paraId="5CE646C4">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扬尘污染防治投资力度增加</w:t>
      </w:r>
      <w:r>
        <w:rPr>
          <w:rFonts w:hint="eastAsia" w:ascii="仿宋" w:hAnsi="仿宋" w:eastAsia="仿宋" w:cs="楷体"/>
          <w:bCs/>
          <w:snapToGrid w:val="0"/>
          <w:color w:val="000000"/>
          <w:sz w:val="32"/>
          <w:szCs w:val="32"/>
        </w:rPr>
        <w:t>。</w:t>
      </w:r>
      <w:r>
        <w:rPr>
          <w:rFonts w:hint="eastAsia" w:ascii="仿宋" w:hAnsi="仿宋" w:eastAsia="仿宋" w:cs="仿宋"/>
          <w:bCs/>
          <w:snapToGrid w:val="0"/>
          <w:color w:val="000000"/>
          <w:sz w:val="32"/>
          <w:szCs w:val="32"/>
        </w:rPr>
        <w:t>交城县出台了《全面降尘攻坚行动方案》，对县城街道、建筑工地等采取抑尘措施；制定《重点行业错峰生产实施方案》，在秋冬季对钢铁、建材、焦化、铸造、有色、化工等重点行业涉气企业实施错峰生产。修订了《交城县重污染天气应急预案》，完善了环境空气质量监测、预测、预报、预警工作机制。</w:t>
      </w:r>
      <w:r>
        <w:rPr>
          <w:rFonts w:ascii="仿宋" w:hAnsi="仿宋" w:eastAsia="仿宋"/>
          <w:snapToGrid w:val="0"/>
          <w:color w:val="000000"/>
          <w:sz w:val="32"/>
          <w:szCs w:val="32"/>
        </w:rPr>
        <w:t>2019年1-11</w:t>
      </w:r>
      <w:r>
        <w:rPr>
          <w:rFonts w:hint="eastAsia" w:ascii="仿宋" w:hAnsi="仿宋" w:eastAsia="仿宋" w:cs="仿宋"/>
          <w:snapToGrid w:val="0"/>
          <w:color w:val="000000"/>
          <w:sz w:val="32"/>
          <w:szCs w:val="32"/>
        </w:rPr>
        <w:t>月份优良天数</w:t>
      </w:r>
      <w:r>
        <w:rPr>
          <w:rFonts w:ascii="仿宋" w:hAnsi="仿宋" w:eastAsia="仿宋"/>
          <w:snapToGrid w:val="0"/>
          <w:color w:val="000000"/>
          <w:sz w:val="32"/>
          <w:szCs w:val="32"/>
        </w:rPr>
        <w:t>180天，2020</w:t>
      </w:r>
      <w:r>
        <w:rPr>
          <w:rFonts w:hint="eastAsia" w:ascii="仿宋" w:hAnsi="仿宋" w:eastAsia="仿宋" w:cs="仿宋"/>
          <w:snapToGrid w:val="0"/>
          <w:color w:val="000000"/>
          <w:sz w:val="32"/>
          <w:szCs w:val="32"/>
        </w:rPr>
        <w:t>年上半年全县空气质量综合指数</w:t>
      </w:r>
      <w:r>
        <w:rPr>
          <w:rFonts w:ascii="仿宋" w:hAnsi="仿宋" w:eastAsia="仿宋"/>
          <w:snapToGrid w:val="0"/>
          <w:color w:val="000000"/>
          <w:sz w:val="32"/>
          <w:szCs w:val="32"/>
        </w:rPr>
        <w:t>6.89，同比下降12%</w:t>
      </w:r>
      <w:r>
        <w:rPr>
          <w:rFonts w:hint="eastAsia" w:ascii="仿宋" w:hAnsi="仿宋" w:eastAsia="仿宋" w:cs="仿宋"/>
          <w:snapToGrid w:val="0"/>
          <w:color w:val="000000"/>
          <w:sz w:val="32"/>
          <w:szCs w:val="32"/>
        </w:rPr>
        <w:t>，六项污染物大部分呈现下降趋势，有</w:t>
      </w:r>
      <w:r>
        <w:rPr>
          <w:rFonts w:ascii="仿宋" w:hAnsi="仿宋" w:eastAsia="仿宋"/>
          <w:snapToGrid w:val="0"/>
          <w:color w:val="000000"/>
          <w:sz w:val="32"/>
          <w:szCs w:val="32"/>
        </w:rPr>
        <w:t>1-2</w:t>
      </w:r>
      <w:r>
        <w:rPr>
          <w:rFonts w:hint="eastAsia" w:ascii="仿宋" w:hAnsi="仿宋" w:eastAsia="仿宋" w:cs="仿宋"/>
          <w:snapToGrid w:val="0"/>
          <w:color w:val="000000"/>
          <w:sz w:val="32"/>
          <w:szCs w:val="32"/>
        </w:rPr>
        <w:t>项呈现上升趋势，需继续开展大气污染防治工作。</w:t>
      </w:r>
    </w:p>
    <w:p w14:paraId="4F7DF363">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污染防治稳步推进</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深入开展污染防治攻坚战，聘请专家对全县所有工业企业进行把脉会诊，对标对表整改。总投资</w:t>
      </w:r>
      <w:r>
        <w:rPr>
          <w:rFonts w:ascii="仿宋" w:hAnsi="仿宋" w:eastAsia="仿宋"/>
          <w:snapToGrid w:val="0"/>
          <w:color w:val="000000"/>
          <w:sz w:val="32"/>
          <w:szCs w:val="32"/>
        </w:rPr>
        <w:t>14亿元的15</w:t>
      </w:r>
      <w:r>
        <w:rPr>
          <w:rFonts w:hint="eastAsia" w:ascii="仿宋" w:hAnsi="仿宋" w:eastAsia="仿宋" w:cs="仿宋"/>
          <w:snapToGrid w:val="0"/>
          <w:color w:val="000000"/>
          <w:sz w:val="32"/>
          <w:szCs w:val="32"/>
        </w:rPr>
        <w:t>项环保重点工程全部开工，焦化、铸造、化工等行业企业提升改造稳步推进，玖珑腾固废处置中心一期主体完工。</w:t>
      </w:r>
      <w:r>
        <w:rPr>
          <w:rFonts w:hint="eastAsia" w:ascii="仿宋" w:hAnsi="仿宋" w:eastAsia="仿宋"/>
          <w:snapToGrid w:val="0"/>
          <w:color w:val="000000"/>
          <w:sz w:val="32"/>
          <w:szCs w:val="32"/>
        </w:rPr>
        <w:t>“1+2+3+76”系统治水模式得到省委楼阳生书记批示肯定，主要河流出境断面水质稳步退出劣五类。</w:t>
      </w:r>
    </w:p>
    <w:p w14:paraId="213D0D75">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楷体"/>
          <w:snapToGrid w:val="0"/>
          <w:color w:val="000000"/>
          <w:sz w:val="32"/>
          <w:szCs w:val="32"/>
        </w:rPr>
        <w:t>河道治理工作全面推进</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结合磁窑河与瓦窑河河道生态治理工程，对两河进行岸堤防护、河道疏浚整治、岸边绿化美化；全县</w:t>
      </w:r>
      <w:r>
        <w:rPr>
          <w:rFonts w:ascii="仿宋" w:hAnsi="仿宋" w:eastAsia="仿宋"/>
          <w:snapToGrid w:val="0"/>
          <w:color w:val="000000"/>
          <w:sz w:val="32"/>
          <w:szCs w:val="32"/>
        </w:rPr>
        <w:t>11</w:t>
      </w:r>
      <w:r>
        <w:rPr>
          <w:rFonts w:hint="eastAsia" w:ascii="仿宋" w:hAnsi="仿宋" w:eastAsia="仿宋" w:cs="仿宋"/>
          <w:snapToGrid w:val="0"/>
          <w:color w:val="000000"/>
          <w:sz w:val="32"/>
          <w:szCs w:val="32"/>
        </w:rPr>
        <w:t>个城镇及乡镇饮用水源地水质稳定达标，改造加油站双层罐和防渗池</w:t>
      </w:r>
      <w:r>
        <w:rPr>
          <w:rFonts w:hint="eastAsia" w:ascii="仿宋" w:hAnsi="仿宋" w:eastAsia="仿宋"/>
          <w:snapToGrid w:val="0"/>
          <w:color w:val="000000"/>
          <w:sz w:val="32"/>
          <w:szCs w:val="32"/>
        </w:rPr>
        <w:t>25</w:t>
      </w:r>
      <w:r>
        <w:rPr>
          <w:rFonts w:hint="eastAsia" w:ascii="仿宋" w:hAnsi="仿宋" w:eastAsia="仿宋" w:cs="仿宋"/>
          <w:snapToGrid w:val="0"/>
          <w:color w:val="000000"/>
          <w:sz w:val="32"/>
          <w:szCs w:val="32"/>
        </w:rPr>
        <w:t>户，编制完成了《交城县“千人以上”集中式饮用水源保护区划分技术报告》。水环境治理能力明显提升。“十三五”期间污水处理能力显著提升，具体如图</w:t>
      </w:r>
      <w:r>
        <w:rPr>
          <w:rFonts w:hint="eastAsia" w:ascii="仿宋" w:hAnsi="仿宋" w:eastAsia="仿宋"/>
          <w:snapToGrid w:val="0"/>
          <w:color w:val="000000"/>
          <w:sz w:val="32"/>
          <w:szCs w:val="32"/>
        </w:rPr>
        <w:t>4</w:t>
      </w:r>
      <w:r>
        <w:rPr>
          <w:rFonts w:hint="eastAsia" w:ascii="仿宋" w:hAnsi="仿宋" w:eastAsia="仿宋" w:cs="仿宋"/>
          <w:snapToGrid w:val="0"/>
          <w:color w:val="000000"/>
          <w:sz w:val="32"/>
          <w:szCs w:val="32"/>
        </w:rPr>
        <w:t>所示。</w:t>
      </w:r>
    </w:p>
    <w:p w14:paraId="73F75F67">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ascii="仿宋" w:hAnsi="仿宋" w:eastAsia="仿宋"/>
          <w:color w:val="000000"/>
          <w:sz w:val="32"/>
          <w:szCs w:val="32"/>
        </w:rPr>
        <w:pict>
          <v:shape id="Object 6" o:spid="_x0000_s1029" o:spt="75" type="#_x0000_t75" style="position:absolute;left:0pt;margin-left:60.5pt;margin-top:24pt;height:174pt;width:329.25pt;mso-wrap-distance-left:9pt;mso-wrap-distance-right:9pt;z-index:251662336;mso-width-relative:page;mso-height-relative:page;" o:ole="t" filled="f" o:preferrelative="t" stroked="f" coordsize="21600,21600" wrapcoords="21592 -2 0 0 0 21600 21592 21602 8 21602 21600 21600 21600 0 8 -2 21592 -2">
            <v:path/>
            <v:fill on="f" alignshape="1" focussize="0,0"/>
            <v:stroke on="f"/>
            <v:imagedata r:id="rId11" o:title=""/>
            <o:lock v:ext="edit" aspectratio="f"/>
            <w10:wrap type="tight"/>
          </v:shape>
          <o:OLEObject Type="Embed" ProgID="" ShapeID="Object 6" DrawAspect="Content" ObjectID="_1468075728" r:id="rId10">
            <o:LockedField>false</o:LockedField>
          </o:OLEObject>
        </w:pict>
      </w:r>
    </w:p>
    <w:p w14:paraId="5AD6B254">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01CE6E9">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5DF29909">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5AE5855">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2E15433D">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5211E665">
      <w:pPr>
        <w:adjustRightInd w:val="0"/>
        <w:snapToGrid w:val="0"/>
        <w:spacing w:line="560" w:lineRule="exact"/>
        <w:ind w:firstLine="640" w:firstLineChars="200"/>
        <w:jc w:val="both"/>
        <w:rPr>
          <w:rFonts w:ascii="仿宋" w:hAnsi="仿宋" w:eastAsia="仿宋" w:cs="仿宋"/>
          <w:snapToGrid w:val="0"/>
          <w:color w:val="000000"/>
          <w:sz w:val="32"/>
          <w:szCs w:val="32"/>
        </w:rPr>
      </w:pPr>
    </w:p>
    <w:p w14:paraId="367DEEBE">
      <w:pPr>
        <w:adjustRightInd w:val="0"/>
        <w:snapToGrid w:val="0"/>
        <w:spacing w:line="560" w:lineRule="exact"/>
        <w:jc w:val="center"/>
        <w:rPr>
          <w:rFonts w:ascii="仿宋" w:hAnsi="仿宋" w:eastAsia="仿宋" w:cs="仿宋"/>
          <w:snapToGrid w:val="0"/>
          <w:color w:val="000000"/>
          <w:sz w:val="32"/>
          <w:szCs w:val="32"/>
        </w:rPr>
      </w:pPr>
    </w:p>
    <w:p w14:paraId="226C7539">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图4</w:t>
      </w:r>
      <w:r>
        <w:rPr>
          <w:rFonts w:ascii="仿宋" w:hAnsi="仿宋" w:eastAsia="仿宋"/>
          <w:snapToGrid w:val="0"/>
          <w:color w:val="000000"/>
          <w:sz w:val="32"/>
          <w:szCs w:val="32"/>
        </w:rPr>
        <w:t xml:space="preserve"> </w:t>
      </w:r>
      <w:r>
        <w:rPr>
          <w:rFonts w:hint="eastAsia" w:ascii="仿宋" w:hAnsi="仿宋" w:eastAsia="仿宋"/>
          <w:snapToGrid w:val="0"/>
          <w:color w:val="000000"/>
          <w:sz w:val="32"/>
          <w:szCs w:val="32"/>
        </w:rPr>
        <w:t>交城县2016-2019年污水处理量及增长率</w:t>
      </w:r>
    </w:p>
    <w:p w14:paraId="06EBA0CA">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资料来源：交城县国民经济和社会发展统计公报</w:t>
      </w:r>
    </w:p>
    <w:p w14:paraId="1FC554E9">
      <w:pPr>
        <w:adjustRightInd w:val="0"/>
        <w:snapToGrid w:val="0"/>
        <w:spacing w:line="560" w:lineRule="exact"/>
        <w:ind w:firstLine="640" w:firstLineChars="200"/>
        <w:jc w:val="both"/>
        <w:rPr>
          <w:rFonts w:ascii="仿宋" w:hAnsi="仿宋" w:eastAsia="仿宋" w:cs="仿宋"/>
          <w:bCs/>
          <w:snapToGrid w:val="0"/>
          <w:color w:val="000000"/>
          <w:sz w:val="32"/>
          <w:szCs w:val="32"/>
          <w:lang w:val="en-US"/>
        </w:rPr>
      </w:pPr>
      <w:r>
        <w:rPr>
          <w:rFonts w:hint="eastAsia" w:ascii="仿宋" w:hAnsi="仿宋" w:eastAsia="仿宋" w:cs="楷体"/>
          <w:snapToGrid w:val="0"/>
          <w:color w:val="000000"/>
          <w:sz w:val="32"/>
          <w:szCs w:val="32"/>
        </w:rPr>
        <w:t>边山生态修复初显成效</w:t>
      </w:r>
      <w:r>
        <w:rPr>
          <w:rFonts w:hint="eastAsia" w:ascii="仿宋" w:hAnsi="仿宋" w:eastAsia="仿宋" w:cs="楷体"/>
          <w:bCs/>
          <w:snapToGrid w:val="0"/>
          <w:color w:val="000000"/>
          <w:sz w:val="32"/>
          <w:szCs w:val="32"/>
        </w:rPr>
        <w:t>。</w:t>
      </w:r>
      <w:r>
        <w:rPr>
          <w:rFonts w:hint="eastAsia" w:ascii="仿宋" w:hAnsi="仿宋" w:eastAsia="仿宋" w:cs="仿宋_GB2312"/>
          <w:snapToGrid w:val="0"/>
          <w:color w:val="000000"/>
          <w:sz w:val="32"/>
          <w:szCs w:val="32"/>
        </w:rPr>
        <w:t>新增植树造林</w:t>
      </w:r>
      <w:r>
        <w:rPr>
          <w:rFonts w:hint="eastAsia" w:ascii="仿宋" w:hAnsi="仿宋" w:eastAsia="仿宋"/>
          <w:snapToGrid w:val="0"/>
          <w:color w:val="000000"/>
          <w:sz w:val="32"/>
          <w:szCs w:val="32"/>
        </w:rPr>
        <w:t>14.87</w:t>
      </w:r>
      <w:r>
        <w:rPr>
          <w:rFonts w:hint="eastAsia" w:ascii="仿宋" w:hAnsi="仿宋" w:eastAsia="仿宋" w:cs="仿宋_GB2312"/>
          <w:snapToGrid w:val="0"/>
          <w:color w:val="000000"/>
          <w:sz w:val="32"/>
          <w:szCs w:val="32"/>
        </w:rPr>
        <w:t>万亩，</w:t>
      </w:r>
      <w:r>
        <w:rPr>
          <w:rFonts w:hint="eastAsia" w:ascii="仿宋" w:hAnsi="仿宋" w:eastAsia="仿宋" w:cs="仿宋"/>
          <w:bCs/>
          <w:snapToGrid w:val="0"/>
          <w:color w:val="000000"/>
          <w:sz w:val="32"/>
          <w:szCs w:val="32"/>
        </w:rPr>
        <w:t>对云梦山、水峪贯镇、西社镇等生态薄弱区域实施生态修复。加强道路卫生管理，</w:t>
      </w:r>
      <w:r>
        <w:rPr>
          <w:rFonts w:hint="eastAsia" w:ascii="仿宋" w:hAnsi="仿宋" w:eastAsia="仿宋" w:cs="仿宋"/>
          <w:snapToGrid w:val="0"/>
          <w:color w:val="000000"/>
          <w:sz w:val="32"/>
          <w:szCs w:val="32"/>
        </w:rPr>
        <w:t>共清理城区卫生死角</w:t>
      </w:r>
      <w:r>
        <w:rPr>
          <w:rFonts w:ascii="仿宋" w:hAnsi="仿宋" w:eastAsia="仿宋"/>
          <w:snapToGrid w:val="0"/>
          <w:color w:val="000000"/>
          <w:sz w:val="32"/>
          <w:szCs w:val="32"/>
        </w:rPr>
        <w:t>800</w:t>
      </w:r>
      <w:r>
        <w:rPr>
          <w:rFonts w:hint="eastAsia" w:ascii="仿宋" w:hAnsi="仿宋" w:eastAsia="仿宋" w:cs="仿宋"/>
          <w:snapToGrid w:val="0"/>
          <w:color w:val="000000"/>
          <w:sz w:val="32"/>
          <w:szCs w:val="32"/>
        </w:rPr>
        <w:t>余处，清理积存生活、建筑垃圾约</w:t>
      </w:r>
      <w:r>
        <w:rPr>
          <w:rFonts w:ascii="仿宋" w:hAnsi="仿宋" w:eastAsia="仿宋"/>
          <w:snapToGrid w:val="0"/>
          <w:color w:val="000000"/>
          <w:sz w:val="32"/>
          <w:szCs w:val="32"/>
        </w:rPr>
        <w:t>3</w:t>
      </w:r>
      <w:r>
        <w:rPr>
          <w:rFonts w:hint="eastAsia" w:ascii="仿宋" w:hAnsi="仿宋" w:eastAsia="仿宋" w:cs="仿宋"/>
          <w:snapToGrid w:val="0"/>
          <w:color w:val="000000"/>
          <w:sz w:val="32"/>
          <w:szCs w:val="32"/>
        </w:rPr>
        <w:t>万吨。</w:t>
      </w:r>
      <w:r>
        <w:rPr>
          <w:rFonts w:hint="eastAsia" w:ascii="仿宋" w:hAnsi="仿宋" w:eastAsia="仿宋" w:cs="仿宋"/>
          <w:snapToGrid w:val="0"/>
          <w:color w:val="000000"/>
          <w:sz w:val="32"/>
          <w:szCs w:val="32"/>
          <w:lang w:val="en-US"/>
        </w:rPr>
        <w:t xml:space="preserve"> </w:t>
      </w:r>
    </w:p>
    <w:p w14:paraId="5D4E62D4">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生态执法严格落实</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全面贯彻落实新《环保法》及四个配套办法，强化环保执法检查，对不符合要求的企业进行停产整改；出台了《关于旅游景区及沿线环境整治的实施方案》，对旅游景区环境破坏问题进行生态修复；制定了《交城县打击破坏生态环境违法犯罪专项行动工作方案》（交环字[2018]40号），严惩各类破坏生态环境违法犯罪行为，严守生态保护红线，营造保护生态环境浓厚氛围；出台《交城县开展网格化环境监管的实施方案》，建起县、乡、村三级环境监管网格，开展了环境监管网格化管理工作，提高网络监管的多层次、多主体参与水平；开展“散乱污”企业地毯式大排查活动，对企业改造升级和取缔情况进行全面整顿。</w:t>
      </w:r>
    </w:p>
    <w:p w14:paraId="2BCAEB27">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cs="仿宋_GB2312"/>
          <w:bCs/>
          <w:snapToGrid w:val="0"/>
          <w:color w:val="000000"/>
          <w:sz w:val="32"/>
          <w:szCs w:val="32"/>
        </w:rPr>
        <w:t>（</w:t>
      </w:r>
      <w:r>
        <w:rPr>
          <w:rFonts w:hint="eastAsia" w:ascii="仿宋" w:hAnsi="仿宋" w:eastAsia="仿宋"/>
          <w:bCs/>
          <w:snapToGrid w:val="0"/>
          <w:color w:val="000000"/>
          <w:sz w:val="32"/>
          <w:szCs w:val="32"/>
        </w:rPr>
        <w:t>五）城乡建设突飞猛进</w:t>
      </w:r>
    </w:p>
    <w:p w14:paraId="5335DAF2">
      <w:pPr>
        <w:adjustRightInd w:val="0"/>
        <w:snapToGrid w:val="0"/>
        <w:spacing w:line="560" w:lineRule="exact"/>
        <w:ind w:firstLine="640" w:firstLineChars="200"/>
        <w:jc w:val="both"/>
        <w:rPr>
          <w:rFonts w:ascii="仿宋" w:hAnsi="仿宋" w:eastAsia="仿宋"/>
          <w:snapToGrid w:val="0"/>
          <w:color w:val="000000"/>
          <w:sz w:val="32"/>
          <w:szCs w:val="32"/>
        </w:rPr>
      </w:pPr>
      <w:r>
        <w:rPr>
          <w:rFonts w:hint="eastAsia" w:ascii="仿宋" w:hAnsi="仿宋" w:eastAsia="仿宋"/>
          <w:snapToGrid w:val="0"/>
          <w:color w:val="000000"/>
          <w:sz w:val="32"/>
          <w:szCs w:val="32"/>
        </w:rPr>
        <w:t>北环路、却波街中段、沙河西街延伸工程建成通车，交城山旅游大通道、卦山公园等历史项目开工建设，城市品质大幅提升。实施“五大专项”行动，开展“一拆三清一改”整治，打造美丽宜居示范村12个，农村人居环境显著改善。</w:t>
      </w:r>
    </w:p>
    <w:p w14:paraId="5822E421">
      <w:pPr>
        <w:adjustRightInd w:val="0"/>
        <w:snapToGrid w:val="0"/>
        <w:spacing w:line="560" w:lineRule="exact"/>
        <w:ind w:firstLine="640" w:firstLineChars="200"/>
        <w:jc w:val="both"/>
        <w:rPr>
          <w:rFonts w:ascii="仿宋" w:hAnsi="仿宋" w:eastAsia="仿宋"/>
          <w:snapToGrid w:val="0"/>
          <w:color w:val="000000"/>
          <w:sz w:val="32"/>
          <w:szCs w:val="32"/>
        </w:rPr>
      </w:pPr>
      <w:r>
        <w:rPr>
          <w:rFonts w:ascii="仿宋" w:hAnsi="仿宋" w:eastAsia="仿宋"/>
          <w:snapToGrid w:val="0"/>
          <w:color w:val="000000"/>
          <w:sz w:val="32"/>
          <w:szCs w:val="32"/>
        </w:rPr>
        <w:t>加快推进政府和社会资本合作的PPP模式，《交城县社会福利养护院PPP项目》被评选为国家级第四批示范项目、《交城山旅游大通道（祁方线改线）PPP项目》被评选为省级第四批示范项目，示范项目覆盖率达100%。PPP项目总投资已达17.1亿元，拉动社会资本投入将达16.6亿元。</w:t>
      </w:r>
    </w:p>
    <w:p w14:paraId="09BA9FA6">
      <w:pPr>
        <w:adjustRightInd w:val="0"/>
        <w:snapToGrid w:val="0"/>
        <w:spacing w:line="560" w:lineRule="exact"/>
        <w:ind w:firstLine="640" w:firstLineChars="200"/>
        <w:jc w:val="both"/>
        <w:outlineLvl w:val="2"/>
        <w:rPr>
          <w:rFonts w:ascii="仿宋" w:hAnsi="仿宋" w:eastAsia="仿宋" w:cs="仿宋"/>
          <w:bCs/>
          <w:snapToGrid w:val="0"/>
          <w:color w:val="000000"/>
          <w:sz w:val="32"/>
          <w:szCs w:val="32"/>
        </w:rPr>
      </w:pPr>
      <w:r>
        <w:rPr>
          <w:rFonts w:hint="eastAsia" w:ascii="仿宋" w:hAnsi="仿宋" w:eastAsia="仿宋"/>
          <w:bCs/>
          <w:snapToGrid w:val="0"/>
          <w:color w:val="000000"/>
          <w:sz w:val="32"/>
          <w:szCs w:val="32"/>
        </w:rPr>
        <w:t>（六）</w:t>
      </w:r>
      <w:r>
        <w:rPr>
          <w:rFonts w:hint="eastAsia" w:ascii="仿宋" w:hAnsi="仿宋" w:eastAsia="仿宋" w:cs="仿宋"/>
          <w:bCs/>
          <w:snapToGrid w:val="0"/>
          <w:color w:val="000000"/>
          <w:sz w:val="32"/>
          <w:szCs w:val="32"/>
        </w:rPr>
        <w:t>文化事业繁荣发展</w:t>
      </w:r>
    </w:p>
    <w:p w14:paraId="4BCDBEA2">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公共文化服务体系逐步健全</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落实图书馆、文化馆、美术馆和乡镇（街道）综合文化站（简称“三馆一站”）免费开放政策，开展公共图书馆、文化馆总分馆试点建设。围绕乡村文化振兴工作，积极推进乡村记忆馆为核心的文化阵地建设，发挥引领核心作用带动乡村文化旅游。目前段村村史馆、城头村金银器非遗主题陈列馆、磁窑村古村落乡村记忆博物馆、农具陈列馆工程建、西社镇东社村村史馆、大营村乡村记忆馆相继建设完成。果老峰景区恐龙馆在完善中，王山寺博物馆在规划建设中。依托基层综合性文化服务中心，对留守贫困户、留守妇女、留守儿童和留守老人针对性提供文化服务。以各社区群众需求为导向，在易地搬迁集中居住区、廉租房、大型社区，利用公建配套房、废弃厂房、场地等建设社区公共文化阵地。落实我县的户户通工程建设，为山区未能收看有线电视的农村，免费提供优质的“户户通”服务。县、乡、村三级公共文化服务体系网络不断完善，</w:t>
      </w:r>
      <w:r>
        <w:rPr>
          <w:rFonts w:hint="eastAsia" w:ascii="仿宋" w:hAnsi="仿宋" w:eastAsia="仿宋" w:cs="仿宋_GB2312"/>
          <w:snapToGrid w:val="0"/>
          <w:color w:val="000000"/>
          <w:sz w:val="32"/>
          <w:szCs w:val="32"/>
        </w:rPr>
        <w:t>新增国家级非遗传承人</w:t>
      </w:r>
      <w:r>
        <w:rPr>
          <w:rFonts w:hint="eastAsia" w:ascii="仿宋" w:hAnsi="仿宋" w:eastAsia="仿宋"/>
          <w:snapToGrid w:val="0"/>
          <w:color w:val="000000"/>
          <w:sz w:val="32"/>
          <w:szCs w:val="32"/>
        </w:rPr>
        <w:t>1</w:t>
      </w:r>
      <w:r>
        <w:rPr>
          <w:rFonts w:hint="eastAsia" w:ascii="仿宋" w:hAnsi="仿宋" w:eastAsia="仿宋" w:cs="仿宋_GB2312"/>
          <w:snapToGrid w:val="0"/>
          <w:color w:val="000000"/>
          <w:sz w:val="32"/>
          <w:szCs w:val="32"/>
        </w:rPr>
        <w:t>人、省级非遗项目</w:t>
      </w:r>
      <w:r>
        <w:rPr>
          <w:rFonts w:hint="eastAsia" w:ascii="仿宋" w:hAnsi="仿宋" w:eastAsia="仿宋"/>
          <w:snapToGrid w:val="0"/>
          <w:color w:val="000000"/>
          <w:sz w:val="32"/>
          <w:szCs w:val="32"/>
        </w:rPr>
        <w:t>2</w:t>
      </w:r>
      <w:r>
        <w:rPr>
          <w:rFonts w:hint="eastAsia" w:ascii="仿宋" w:hAnsi="仿宋" w:eastAsia="仿宋" w:cs="仿宋_GB2312"/>
          <w:snapToGrid w:val="0"/>
          <w:color w:val="000000"/>
          <w:sz w:val="32"/>
          <w:szCs w:val="32"/>
        </w:rPr>
        <w:t>项，</w:t>
      </w:r>
      <w:r>
        <w:rPr>
          <w:rFonts w:hint="eastAsia" w:ascii="仿宋" w:hAnsi="仿宋" w:eastAsia="仿宋" w:cs="仿宋"/>
          <w:snapToGrid w:val="0"/>
          <w:color w:val="000000"/>
          <w:sz w:val="32"/>
          <w:szCs w:val="32"/>
        </w:rPr>
        <w:t xml:space="preserve">开创了基层文化建设新局面。 </w:t>
      </w:r>
    </w:p>
    <w:p w14:paraId="17FB252C">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bCs/>
          <w:snapToGrid w:val="0"/>
          <w:color w:val="000000"/>
          <w:sz w:val="32"/>
          <w:szCs w:val="32"/>
        </w:rPr>
        <w:t xml:space="preserve"> </w:t>
      </w:r>
      <w:r>
        <w:rPr>
          <w:rFonts w:hint="eastAsia" w:ascii="仿宋" w:hAnsi="仿宋" w:eastAsia="仿宋" w:cs="楷体"/>
          <w:snapToGrid w:val="0"/>
          <w:color w:val="000000"/>
          <w:sz w:val="32"/>
          <w:szCs w:val="32"/>
        </w:rPr>
        <w:t>群众文化生活丰富多彩</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深入挖掘当地资源，举办了读书会、孙频文学交流会、藏书家、阅读小明星评选等系列活动；结合农村古会、古节，组织开展各类文化作品展、图书展与阅读宣传；结合“六一”儿童节、科普宣传周，开展“书香进校园”系列读书活动；邀请本县“非遗”传承人、民间手工艺大师对广大民众进行交城本土的手工技艺培训，通过讲解一些普及性的知识和粗浅的技法，增加群众对我县传统手工技艺的认识与了解。2017年县图书馆荣获全省全民阅读先进单位荣誉；2018年6月，在国家新闻出版广电总局组织开展的第三届全国“书香之家”推荐活动中，由县图书馆推荐报送的李东维家庭经过专家评审、公示等程序被评选为山西省“书香之家”称号；2019年1月，县图书馆荣获2018年度全省全民阅读优秀单位、“同筑中国梦·共度书香年”春节主题活动优秀单位、科普宣传周活动先进集体，吕梁市全民阅读活动先进集体。</w:t>
      </w:r>
    </w:p>
    <w:p w14:paraId="6AD33569">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2017年创新举办首届春节主题晚会和文化艺术界元宵节联欢晚会以来，共展演22场，节目290余个，参与展演人数3000余人，参演人员覆盖社会各阶层，展演单位涵盖各个机构共60余个，惠民人数达到23万人次，广大群众热情参与，各级领导高度赞誉。通过“山水交城、忠信之乡”文化旅游年系列活动和“交城县十九大精神宣讲文艺小分队”活动推进我县创作有关十九大精神、脱贫攻坚的剧目，组织小分队专项演出，上山下乡、走村串户演出100余场，受益群众人数累计达到35万人次。组织公益电影放映活动，每年不少于1773场，累计5319场，极大地分丰富了群众的文化生活。</w:t>
      </w:r>
    </w:p>
    <w:p w14:paraId="7DA1228A">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文化遗产保护成果丰硕</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加强非物质文化遗产保护工作，举办了一系列非遗项目传承保护活动。新增国家级非遗传承人1人，省级非遗传承人2人。积极参加非遗文化展出，银器制作技艺、交城云香、堆绫、卫生馆五香调料面、黄芥子油压榨技艺、琉璃咯嘣制作技艺参加了2019年吕梁市文化和旅游局组织的第四届中国古村镇大会，部分产品同时参加了第一届中国天然氧吧文化旅游节暨特色农产品展（北京奥林匹克森林公园）。2019年6月8日交城县文化和旅游局组织非遗传承人在卦山风景区非遗宣传点举办以“非遗保护·中国实践”为主题的宣传展示活动。活动现场展示和宣传非遗的各项产品，现场共发放非遗宣传资料500余份，参与群众7000余人。</w:t>
      </w:r>
    </w:p>
    <w:p w14:paraId="0D0A4F2B">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近三年新增省级非遗项目2项，市级非遗项目5项。目前，我县共有国家级非遗项目1项，省级非遗项目7项，市级非遗项目6项，县级非遗项目125项。云香制作技艺、交城卫生馆五香调料面制作技艺、金银器制作工艺被评为省级非遗保护项目；狐突信仰—狐公鼓申报为市级非遗保护项目；交城窑正在申报市级非遗保护项目。</w:t>
      </w:r>
    </w:p>
    <w:p w14:paraId="4D7E7C1E">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（七）疫情防控取得重大阶段性成果</w:t>
      </w:r>
    </w:p>
    <w:p w14:paraId="3A35B20C">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举全县之力投身疫情防控人民战、总体战、阻击战，层层压实法人单位防控责任，构筑起最严密的群防群控体系，圆满完成支援武汉医疗护理任务，疫情防控实现“双零”目标，统筹疫情防控和经济社会发展取得重大成果。</w:t>
      </w:r>
    </w:p>
    <w:p w14:paraId="76345E58">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（八）民生福祉不断增进</w:t>
      </w:r>
    </w:p>
    <w:p w14:paraId="63E1C69E">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教育发展优先保障</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职业中学整体搬迁，2所农村幼儿园改造工程投入使用；交城二中、交城职中改扩建工程加快推进，图书馆、美术馆、文化馆、体育馆建设进展顺利，交城体育馆、交中篮球馆主体完工。在全市率先出台新时代教育发展实施意见，城西小学投入使用，城东小学主体工程、职中技能培训楼、二中体育场和音乐美术馆基本完工，教育基础不断夯实。实施“走出去”工程，分批次赴北师大培训教师</w:t>
      </w:r>
      <w:r>
        <w:rPr>
          <w:rFonts w:ascii="仿宋" w:hAnsi="仿宋" w:eastAsia="仿宋"/>
          <w:snapToGrid w:val="0"/>
          <w:color w:val="000000"/>
          <w:sz w:val="32"/>
          <w:szCs w:val="32"/>
        </w:rPr>
        <w:t>2147</w:t>
      </w:r>
      <w:r>
        <w:rPr>
          <w:rFonts w:hint="eastAsia" w:ascii="仿宋" w:hAnsi="仿宋" w:eastAsia="仿宋" w:cs="仿宋"/>
          <w:snapToGrid w:val="0"/>
          <w:color w:val="000000"/>
          <w:sz w:val="32"/>
          <w:szCs w:val="32"/>
        </w:rPr>
        <w:t>人，教师素质不断提升。学前教育、义务教育、职业教育亮点纷呈。</w:t>
      </w:r>
    </w:p>
    <w:p w14:paraId="034B46FF">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卫生综改纵深发展</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山大一院交城分院医疗综合楼封顶，天宁镇卫生院改扩建、妇幼保健计划生育服务中心、中医院建设扎实推进，县级医疗集团正式挂牌运营，城乡一体化医疗改革加速推进；山区中心卫生室实现连片管理，创新“</w:t>
      </w:r>
      <w:r>
        <w:rPr>
          <w:rFonts w:ascii="仿宋" w:hAnsi="仿宋" w:eastAsia="仿宋"/>
          <w:snapToGrid w:val="0"/>
          <w:color w:val="000000"/>
          <w:sz w:val="32"/>
          <w:szCs w:val="32"/>
        </w:rPr>
        <w:t>1+N” 公共卫生服务机制，成为全省26</w:t>
      </w:r>
      <w:r>
        <w:rPr>
          <w:rFonts w:hint="eastAsia" w:ascii="仿宋" w:hAnsi="仿宋" w:eastAsia="仿宋" w:cs="仿宋"/>
          <w:snapToGrid w:val="0"/>
          <w:color w:val="000000"/>
          <w:sz w:val="32"/>
          <w:szCs w:val="32"/>
        </w:rPr>
        <w:t>个医改示范县之一。山医大一院交城分院、天宁镇卫生院、妇幼保健计生服务中心、县中医院等工程有序推进，卫生健康发展成果惠及更多群众。</w:t>
      </w:r>
    </w:p>
    <w:p w14:paraId="23E5E028">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社会保障更加有力</w:t>
      </w:r>
      <w:r>
        <w:rPr>
          <w:rFonts w:hint="eastAsia" w:ascii="仿宋" w:hAnsi="仿宋" w:eastAsia="仿宋" w:cs="楷体"/>
          <w:bCs/>
          <w:snapToGrid w:val="0"/>
          <w:color w:val="000000"/>
          <w:sz w:val="32"/>
          <w:szCs w:val="32"/>
        </w:rPr>
        <w:t>。</w:t>
      </w:r>
      <w:r>
        <w:rPr>
          <w:rFonts w:hint="eastAsia" w:ascii="仿宋" w:hAnsi="仿宋" w:eastAsia="仿宋" w:cs="仿宋_GB2312"/>
          <w:snapToGrid w:val="0"/>
          <w:color w:val="000000"/>
          <w:sz w:val="32"/>
          <w:szCs w:val="32"/>
        </w:rPr>
        <w:t>“人人持证、技能社会”建设成效明显，五年新增城镇就业1.7万人，城乡居民收入分别增长6456元和4029元。</w:t>
      </w:r>
      <w:r>
        <w:rPr>
          <w:rFonts w:hint="eastAsia" w:ascii="仿宋" w:hAnsi="仿宋" w:eastAsia="仿宋" w:cs="仿宋"/>
          <w:snapToGrid w:val="0"/>
          <w:color w:val="000000"/>
          <w:sz w:val="32"/>
          <w:szCs w:val="32"/>
        </w:rPr>
        <w:t>完成全民技能提升培训，新增城镇</w:t>
      </w:r>
      <w:r>
        <w:rPr>
          <w:rFonts w:ascii="仿宋" w:hAnsi="仿宋" w:eastAsia="仿宋" w:cs="仿宋"/>
          <w:snapToGrid w:val="0"/>
          <w:color w:val="000000"/>
          <w:sz w:val="32"/>
          <w:szCs w:val="32"/>
        </w:rPr>
        <w:t>就业岗位15800个，转移农村劳动力13000人，城镇登记失业率控制在2.6%。贫困人</w:t>
      </w:r>
      <w:r>
        <w:rPr>
          <w:rFonts w:hint="eastAsia" w:ascii="仿宋" w:hAnsi="仿宋" w:eastAsia="仿宋" w:cs="仿宋"/>
          <w:snapToGrid w:val="0"/>
          <w:color w:val="000000"/>
          <w:sz w:val="32"/>
          <w:szCs w:val="32"/>
        </w:rPr>
        <w:t>口医保政策全面落实，县域内外“一站式”结算服务平台建成运行；社会散居孤儿和儿童福利机构供养孤儿养育标准均有提高；建立健全了乡镇临时救助备用金制度；社会福利养护院和日间照料中心建成运行。城</w:t>
      </w:r>
      <w:r>
        <w:rPr>
          <w:rFonts w:ascii="仿宋" w:hAnsi="仿宋" w:eastAsia="仿宋" w:cs="仿宋"/>
          <w:snapToGrid w:val="0"/>
          <w:color w:val="000000"/>
          <w:sz w:val="32"/>
          <w:szCs w:val="32"/>
        </w:rPr>
        <w:t>乡低保每人每年分</w:t>
      </w:r>
      <w:r>
        <w:rPr>
          <w:rFonts w:ascii="仿宋" w:hAnsi="仿宋" w:eastAsia="仿宋"/>
          <w:snapToGrid w:val="0"/>
          <w:color w:val="000000"/>
          <w:sz w:val="32"/>
          <w:szCs w:val="32"/>
        </w:rPr>
        <w:t>别提标 1200元、600元，</w:t>
      </w:r>
      <w:r>
        <w:rPr>
          <w:rFonts w:hint="eastAsia" w:ascii="仿宋" w:hAnsi="仿宋" w:eastAsia="仿宋" w:cs="仿宋"/>
          <w:snapToGrid w:val="0"/>
          <w:color w:val="000000"/>
          <w:sz w:val="32"/>
          <w:szCs w:val="32"/>
        </w:rPr>
        <w:t>人民群众幸福感和满意度持续提升。健全退役军人县乡村三级联动服务保障体系，开展军人优待抚恤、帮扶救助、走访慰问、政策落实等工作，帮扶200余名退役军人稳定就业，在全市率先完成下岗失业退役军人帮扶再就业工作，有效化解历史遗留问题，全面提升退役军人获得感、尊崇感。</w:t>
      </w:r>
    </w:p>
    <w:p w14:paraId="769E11A9">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（九）全面从严治党纵深推进</w:t>
      </w:r>
    </w:p>
    <w:p w14:paraId="72669E7A">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snapToGrid w:val="0"/>
          <w:color w:val="000000"/>
          <w:sz w:val="32"/>
          <w:szCs w:val="32"/>
        </w:rPr>
        <w:t>扎实开展“不忘初心、牢记使命”主题教育，全面落实新时代党的建设总要求，坚定不移推动全面从严治党向纵深发展，推进“两学一做”学习教育常态化制度化，扎实开展“不忘初心、牢记使命”主题教育，大力培育和弘扬新时代交城精神，“牢记嘱托、感恩奋进”成为新时代交城最强音。</w:t>
      </w:r>
      <w:r>
        <w:rPr>
          <w:rFonts w:ascii="仿宋" w:hAnsi="仿宋" w:eastAsia="仿宋"/>
          <w:snapToGrid w:val="0"/>
          <w:color w:val="000000"/>
          <w:sz w:val="32"/>
          <w:szCs w:val="32"/>
        </w:rPr>
        <w:t>结合</w:t>
      </w:r>
      <w:r>
        <w:rPr>
          <w:rFonts w:hint="eastAsia" w:ascii="仿宋" w:hAnsi="仿宋" w:eastAsia="仿宋"/>
          <w:snapToGrid w:val="0"/>
          <w:color w:val="000000"/>
          <w:sz w:val="32"/>
          <w:szCs w:val="32"/>
        </w:rPr>
        <w:t>“</w:t>
      </w:r>
      <w:r>
        <w:rPr>
          <w:rFonts w:ascii="仿宋" w:hAnsi="仿宋" w:eastAsia="仿宋"/>
          <w:snapToGrid w:val="0"/>
          <w:color w:val="000000"/>
          <w:sz w:val="32"/>
          <w:szCs w:val="32"/>
        </w:rPr>
        <w:t>三定</w:t>
      </w:r>
      <w:r>
        <w:rPr>
          <w:rFonts w:hint="eastAsia" w:ascii="仿宋" w:hAnsi="仿宋" w:eastAsia="仿宋"/>
          <w:snapToGrid w:val="0"/>
          <w:color w:val="000000"/>
          <w:sz w:val="32"/>
          <w:szCs w:val="32"/>
        </w:rPr>
        <w:t>”</w:t>
      </w:r>
      <w:r>
        <w:rPr>
          <w:rFonts w:ascii="仿宋" w:hAnsi="仿宋" w:eastAsia="仿宋"/>
          <w:snapToGrid w:val="0"/>
          <w:color w:val="000000"/>
          <w:sz w:val="32"/>
          <w:szCs w:val="32"/>
        </w:rPr>
        <w:t>方案制定，对部机关内设机构进行调整优化，逐岗逐人明确岗位职责，形成</w:t>
      </w:r>
      <w:r>
        <w:rPr>
          <w:rFonts w:hint="eastAsia" w:ascii="仿宋" w:hAnsi="仿宋" w:eastAsia="仿宋"/>
          <w:snapToGrid w:val="0"/>
          <w:color w:val="000000"/>
          <w:sz w:val="32"/>
          <w:szCs w:val="32"/>
        </w:rPr>
        <w:t>“</w:t>
      </w:r>
      <w:r>
        <w:rPr>
          <w:rFonts w:ascii="仿宋" w:hAnsi="仿宋" w:eastAsia="仿宋"/>
          <w:snapToGrid w:val="0"/>
          <w:color w:val="000000"/>
          <w:sz w:val="32"/>
          <w:szCs w:val="32"/>
        </w:rPr>
        <w:t>人人肩上有担子，个个身上有职责</w:t>
      </w:r>
      <w:r>
        <w:rPr>
          <w:rFonts w:hint="eastAsia" w:ascii="仿宋" w:hAnsi="仿宋" w:eastAsia="仿宋"/>
          <w:snapToGrid w:val="0"/>
          <w:color w:val="000000"/>
          <w:sz w:val="32"/>
          <w:szCs w:val="32"/>
        </w:rPr>
        <w:t>”</w:t>
      </w:r>
      <w:r>
        <w:rPr>
          <w:rFonts w:ascii="仿宋" w:hAnsi="仿宋" w:eastAsia="仿宋"/>
          <w:snapToGrid w:val="0"/>
          <w:color w:val="000000"/>
          <w:sz w:val="32"/>
          <w:szCs w:val="32"/>
        </w:rPr>
        <w:t>的良性工作机制。建立新老同志结对传帮带制度，通过言传、手帮、身教等形式，帮助年轻同志更快地掌握工作技能，提升工作方法，成长为组织工作的生力军。</w:t>
      </w:r>
      <w:r>
        <w:rPr>
          <w:rFonts w:hint="eastAsia" w:ascii="仿宋" w:hAnsi="仿宋" w:eastAsia="仿宋" w:cs="仿宋_GB2312"/>
          <w:snapToGrid w:val="0"/>
          <w:color w:val="000000"/>
          <w:sz w:val="32"/>
          <w:szCs w:val="32"/>
        </w:rPr>
        <w:t>五年投入5136万元用于乡村阵地建设，整顿软弱涣散党组织50个，基层党组织凝聚力战斗力明显增强。圆满完成中组部排查解决发展党员违规违纪问题试点任务，打造了“交城样板”。一体推进不敢腐</w:t>
      </w:r>
      <w:r>
        <w:rPr>
          <w:rFonts w:hint="eastAsia" w:ascii="仿宋" w:hAnsi="仿宋" w:eastAsia="仿宋" w:cs="仿宋_GB2312"/>
          <w:snapToGrid w:val="0"/>
          <w:color w:val="000000"/>
          <w:sz w:val="32"/>
          <w:szCs w:val="32"/>
          <w:lang w:eastAsia="zh-CN"/>
        </w:rPr>
        <w:t>、</w:t>
      </w:r>
      <w:r>
        <w:rPr>
          <w:rFonts w:hint="eastAsia" w:ascii="仿宋" w:hAnsi="仿宋" w:eastAsia="仿宋" w:cs="仿宋_GB2312"/>
          <w:snapToGrid w:val="0"/>
          <w:color w:val="000000"/>
          <w:sz w:val="32"/>
          <w:szCs w:val="32"/>
        </w:rPr>
        <w:t>不能腐</w:t>
      </w:r>
      <w:r>
        <w:rPr>
          <w:rFonts w:hint="eastAsia" w:ascii="仿宋" w:hAnsi="仿宋" w:eastAsia="仿宋" w:cs="仿宋_GB2312"/>
          <w:snapToGrid w:val="0"/>
          <w:color w:val="000000"/>
          <w:sz w:val="32"/>
          <w:szCs w:val="32"/>
          <w:lang w:eastAsia="zh-CN"/>
        </w:rPr>
        <w:t>、</w:t>
      </w:r>
      <w:bookmarkStart w:id="43" w:name="_GoBack"/>
      <w:bookmarkEnd w:id="43"/>
      <w:r>
        <w:rPr>
          <w:rFonts w:hint="eastAsia" w:ascii="仿宋" w:hAnsi="仿宋" w:eastAsia="仿宋" w:cs="仿宋_GB2312"/>
          <w:snapToGrid w:val="0"/>
          <w:color w:val="000000"/>
          <w:sz w:val="32"/>
          <w:szCs w:val="32"/>
        </w:rPr>
        <w:t xml:space="preserve">不想腐，落实“两个责任”，用好“四种形态”，扎紧制度笼子，五年党纪政务处分1039人次；省市巡视巡察反馈问题全部销号，县级巡察实现本届任期全覆盖，政治生态持续保持风清气正。 </w:t>
      </w:r>
    </w:p>
    <w:p w14:paraId="6F2A97B9">
      <w:pPr>
        <w:adjustRightInd w:val="0"/>
        <w:snapToGrid w:val="0"/>
        <w:spacing w:line="560" w:lineRule="exact"/>
        <w:ind w:firstLine="640" w:firstLineChars="200"/>
        <w:jc w:val="both"/>
        <w:outlineLvl w:val="2"/>
        <w:rPr>
          <w:rFonts w:ascii="仿宋" w:hAnsi="仿宋" w:eastAsia="仿宋"/>
          <w:bCs/>
          <w:snapToGrid w:val="0"/>
          <w:color w:val="000000"/>
          <w:sz w:val="32"/>
          <w:szCs w:val="32"/>
        </w:rPr>
      </w:pPr>
      <w:bookmarkStart w:id="20" w:name="_Toc29492"/>
      <w:bookmarkStart w:id="21" w:name="_Toc30717"/>
      <w:bookmarkStart w:id="22" w:name="_Toc27485"/>
      <w:bookmarkStart w:id="23" w:name="_Toc59805217"/>
      <w:bookmarkStart w:id="24" w:name="_Toc59802956"/>
      <w:bookmarkStart w:id="25" w:name="_Toc60040300"/>
      <w:bookmarkStart w:id="26" w:name="_Toc61250679"/>
      <w:bookmarkStart w:id="27" w:name="_Toc191"/>
      <w:r>
        <w:rPr>
          <w:rFonts w:hint="eastAsia" w:ascii="仿宋" w:hAnsi="仿宋" w:eastAsia="仿宋"/>
          <w:bCs/>
          <w:snapToGrid w:val="0"/>
          <w:color w:val="000000"/>
          <w:sz w:val="32"/>
          <w:szCs w:val="32"/>
        </w:rPr>
        <w:t>（十）能源</w:t>
      </w:r>
      <w:bookmarkEnd w:id="20"/>
      <w:bookmarkEnd w:id="21"/>
      <w:r>
        <w:rPr>
          <w:rFonts w:hint="eastAsia" w:ascii="仿宋" w:hAnsi="仿宋" w:eastAsia="仿宋"/>
          <w:bCs/>
          <w:snapToGrid w:val="0"/>
          <w:color w:val="000000"/>
          <w:sz w:val="32"/>
          <w:szCs w:val="32"/>
        </w:rPr>
        <w:t>转型创新局面</w:t>
      </w:r>
      <w:bookmarkEnd w:id="22"/>
      <w:bookmarkEnd w:id="23"/>
      <w:bookmarkEnd w:id="24"/>
      <w:bookmarkEnd w:id="25"/>
      <w:bookmarkEnd w:id="26"/>
      <w:bookmarkEnd w:id="27"/>
    </w:p>
    <w:p w14:paraId="0476A48A">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“十三五”期间，交城县坚持“以人为本、生命至上、安全发展”的理念，积极推动能源安全发展，为企业开展建设提供重要的前提保障。</w:t>
      </w:r>
    </w:p>
    <w:p w14:paraId="464205F0">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能源消耗结构显著优化</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根据交城县相关调控目标，一次能源生产和二次能源生产增长率逐步下降，煤炭产业增加值逐步下降，</w:t>
      </w:r>
      <w:r>
        <w:rPr>
          <w:rFonts w:ascii="仿宋" w:hAnsi="仿宋" w:eastAsia="仿宋"/>
          <w:snapToGrid w:val="0"/>
          <w:color w:val="000000"/>
          <w:sz w:val="32"/>
          <w:szCs w:val="32"/>
        </w:rPr>
        <w:t>2019年煤炭产业增加值比去年同期下降1.01个百分点，具体内容如图5所示</w:t>
      </w:r>
      <w:r>
        <w:rPr>
          <w:rFonts w:hint="eastAsia" w:ascii="仿宋" w:hAnsi="仿宋" w:eastAsia="仿宋" w:cs="仿宋"/>
          <w:snapToGrid w:val="0"/>
          <w:color w:val="000000"/>
          <w:sz w:val="32"/>
          <w:szCs w:val="32"/>
        </w:rPr>
        <w:t>。推进冶金、焦化、化工、建材等传统产业改造升级，提高传统产业质量和效益，减少能源消耗；推进新材料产业链发展，提升复合肥产业企业，积极建设新项目尤其是“六新”项目；积极建设能耗在线监控体系建设，加强对高耗能企业和项目的长期动态监管。</w:t>
      </w:r>
    </w:p>
    <w:p w14:paraId="2FF8E1DA">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供热改造有序实施</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冬季“煤改气”工程有序推进，大暖供热能力</w:t>
      </w:r>
      <w:r>
        <w:rPr>
          <w:rFonts w:ascii="仿宋" w:hAnsi="仿宋" w:eastAsia="仿宋"/>
          <w:snapToGrid w:val="0"/>
          <w:color w:val="000000"/>
          <w:sz w:val="32"/>
          <w:szCs w:val="32"/>
        </w:rPr>
        <w:t>为615万平方米，燃气热力站14座，供热能力为56万平方米；2018年11月，实施了华鑫热源厂脱硫除尘脱硝超低排放改造工程。洪湘乡架空管道完成任务量的75%，入户完成任务量的63%。</w:t>
      </w:r>
    </w:p>
    <w:p w14:paraId="713A5149">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r>
        <w:rPr>
          <w:rFonts w:hint="eastAsia" w:ascii="仿宋" w:hAnsi="仿宋" w:eastAsia="仿宋" w:cs="楷体"/>
          <w:snapToGrid w:val="0"/>
          <w:color w:val="000000"/>
          <w:sz w:val="32"/>
          <w:szCs w:val="32"/>
        </w:rPr>
        <w:t>节能创新水平明显提升</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交城县政府鼓励企业进一步加大能源投入力度，建立高水平的节能创新体系，实现能源领域的低消耗、低污染发展方式。为了进一步减少能源消耗总量，提高能源使用效率，交城县在“十三五”期间对全县44户规模以上企业能耗情况进行摸底调查，寻找企业高耗能的主要原因，加快淘汰落后产能。</w:t>
      </w:r>
    </w:p>
    <w:p w14:paraId="6572E7E0">
      <w:pPr>
        <w:adjustRightInd w:val="0"/>
        <w:snapToGrid w:val="0"/>
        <w:spacing w:line="560" w:lineRule="exact"/>
        <w:ind w:firstLine="440" w:firstLineChars="200"/>
        <w:jc w:val="both"/>
        <w:rPr>
          <w:rFonts w:hint="eastAsia" w:ascii="仿宋" w:hAnsi="仿宋" w:eastAsia="仿宋" w:cs="仿宋"/>
          <w:snapToGrid w:val="0"/>
          <w:color w:val="000000"/>
          <w:sz w:val="32"/>
          <w:szCs w:val="32"/>
        </w:rPr>
      </w:pPr>
      <w:r>
        <w:rPr>
          <w:color w:val="000000"/>
        </w:rPr>
        <w:drawing>
          <wp:anchor distT="0" distB="0" distL="114300" distR="114300" simplePos="0" relativeHeight="251663360" behindDoc="1" locked="0" layoutInCell="1" allowOverlap="1">
            <wp:simplePos x="0" y="0"/>
            <wp:positionH relativeFrom="column">
              <wp:posOffset>488950</wp:posOffset>
            </wp:positionH>
            <wp:positionV relativeFrom="paragraph">
              <wp:posOffset>190500</wp:posOffset>
            </wp:positionV>
            <wp:extent cx="4572000" cy="2743200"/>
            <wp:effectExtent l="4445" t="4445" r="14605" b="14605"/>
            <wp:wrapTight wrapText="bothSides">
              <wp:wrapPolygon>
                <wp:start x="-21" y="-35"/>
                <wp:lineTo x="-21" y="21565"/>
                <wp:lineTo x="21579" y="21565"/>
                <wp:lineTo x="21579" y="-35"/>
                <wp:lineTo x="-21" y="-35"/>
              </wp:wrapPolygon>
            </wp:wrapTight>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7BDD2433">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03CCDB9D">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7D6EE03">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02E5B618">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3C9CEE14">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03FC542">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27131219">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7EBD18B0">
      <w:pPr>
        <w:adjustRightInd w:val="0"/>
        <w:snapToGrid w:val="0"/>
        <w:spacing w:line="560" w:lineRule="exact"/>
        <w:ind w:firstLine="640" w:firstLineChars="200"/>
        <w:jc w:val="both"/>
        <w:rPr>
          <w:rFonts w:hint="eastAsia" w:ascii="仿宋" w:hAnsi="仿宋" w:eastAsia="仿宋" w:cs="仿宋"/>
          <w:snapToGrid w:val="0"/>
          <w:color w:val="000000"/>
          <w:sz w:val="32"/>
          <w:szCs w:val="32"/>
        </w:rPr>
      </w:pPr>
    </w:p>
    <w:p w14:paraId="1EF3C33E">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图5</w:t>
      </w:r>
      <w:r>
        <w:rPr>
          <w:rFonts w:ascii="仿宋" w:hAnsi="仿宋" w:eastAsia="仿宋"/>
          <w:snapToGrid w:val="0"/>
          <w:color w:val="000000"/>
          <w:sz w:val="32"/>
          <w:szCs w:val="32"/>
        </w:rPr>
        <w:t xml:space="preserve"> </w:t>
      </w:r>
      <w:r>
        <w:rPr>
          <w:rFonts w:hint="eastAsia" w:ascii="仿宋" w:hAnsi="仿宋" w:eastAsia="仿宋"/>
          <w:snapToGrid w:val="0"/>
          <w:color w:val="000000"/>
          <w:sz w:val="32"/>
          <w:szCs w:val="32"/>
        </w:rPr>
        <w:t>交城县2016-2019年能源生产增长率</w:t>
      </w:r>
    </w:p>
    <w:p w14:paraId="0489960D">
      <w:pPr>
        <w:adjustRightInd w:val="0"/>
        <w:snapToGrid w:val="0"/>
        <w:spacing w:line="560" w:lineRule="exact"/>
        <w:jc w:val="center"/>
        <w:rPr>
          <w:rFonts w:ascii="仿宋" w:hAnsi="仿宋" w:eastAsia="仿宋"/>
          <w:snapToGrid w:val="0"/>
          <w:color w:val="000000"/>
          <w:sz w:val="32"/>
          <w:szCs w:val="32"/>
        </w:rPr>
      </w:pPr>
      <w:r>
        <w:rPr>
          <w:rFonts w:hint="eastAsia" w:ascii="仿宋" w:hAnsi="仿宋" w:eastAsia="仿宋"/>
          <w:snapToGrid w:val="0"/>
          <w:color w:val="000000"/>
          <w:sz w:val="32"/>
          <w:szCs w:val="32"/>
        </w:rPr>
        <w:t>资料来源：交城县国民经济和社会发展统计公报</w:t>
      </w:r>
    </w:p>
    <w:p w14:paraId="0BE83768">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ascii="仿宋" w:hAnsi="仿宋" w:eastAsia="仿宋"/>
          <w:snapToGrid w:val="0"/>
          <w:color w:val="000000"/>
          <w:sz w:val="32"/>
          <w:szCs w:val="32"/>
        </w:rPr>
        <w:br w:type="page"/>
      </w:r>
      <w:bookmarkStart w:id="28" w:name="_Toc31997"/>
      <w:bookmarkStart w:id="29" w:name="_Toc59805218"/>
      <w:bookmarkStart w:id="30" w:name="_Toc7886"/>
      <w:bookmarkStart w:id="31" w:name="_Toc9791"/>
      <w:bookmarkStart w:id="32" w:name="_Toc59802957"/>
      <w:bookmarkStart w:id="33" w:name="_Toc60040301"/>
      <w:bookmarkStart w:id="34" w:name="_Toc61250680"/>
      <w:bookmarkStart w:id="35" w:name="_Toc23182"/>
      <w:r>
        <w:rPr>
          <w:rFonts w:hint="eastAsia" w:ascii="仿宋" w:hAnsi="仿宋" w:eastAsia="仿宋"/>
          <w:bCs/>
          <w:snapToGrid w:val="0"/>
          <w:color w:val="000000"/>
          <w:sz w:val="32"/>
          <w:szCs w:val="32"/>
        </w:rPr>
        <w:t>（十一）互联网建设扎实推进</w:t>
      </w:r>
      <w:bookmarkEnd w:id="28"/>
      <w:bookmarkEnd w:id="29"/>
      <w:bookmarkEnd w:id="30"/>
      <w:bookmarkEnd w:id="31"/>
      <w:bookmarkEnd w:id="32"/>
      <w:bookmarkEnd w:id="33"/>
      <w:bookmarkEnd w:id="34"/>
      <w:bookmarkEnd w:id="35"/>
    </w:p>
    <w:p w14:paraId="62600A07">
      <w:pPr>
        <w:adjustRightInd w:val="0"/>
        <w:snapToGrid w:val="0"/>
        <w:spacing w:line="560" w:lineRule="exact"/>
        <w:ind w:firstLine="640" w:firstLineChars="200"/>
        <w:jc w:val="both"/>
        <w:rPr>
          <w:rFonts w:ascii="仿宋" w:hAnsi="仿宋" w:eastAsia="仿宋"/>
          <w:snapToGrid w:val="0"/>
          <w:color w:val="000000"/>
          <w:sz w:val="32"/>
          <w:szCs w:val="32"/>
        </w:rPr>
      </w:pPr>
      <w:r>
        <w:rPr>
          <w:rFonts w:hint="eastAsia" w:ascii="仿宋" w:hAnsi="仿宋" w:eastAsia="仿宋" w:cs="仿宋"/>
          <w:snapToGrid w:val="0"/>
          <w:color w:val="000000"/>
          <w:sz w:val="32"/>
          <w:szCs w:val="32"/>
        </w:rPr>
        <w:t>为了进一步巩固脱贫攻坚成果，交城县以扶贫工作的总体要求为主要依据，积极推动电信普遍业务。“十三五”期间共建设</w:t>
      </w:r>
      <w:r>
        <w:rPr>
          <w:rFonts w:ascii="仿宋" w:hAnsi="仿宋" w:eastAsia="仿宋"/>
          <w:snapToGrid w:val="0"/>
          <w:color w:val="000000"/>
          <w:sz w:val="32"/>
          <w:szCs w:val="32"/>
        </w:rPr>
        <w:t>73个</w:t>
      </w:r>
      <w:r>
        <w:rPr>
          <w:rFonts w:hint="eastAsia" w:ascii="仿宋" w:hAnsi="仿宋" w:eastAsia="仿宋" w:cs="仿宋"/>
          <w:snapToGrid w:val="0"/>
          <w:color w:val="000000"/>
          <w:sz w:val="32"/>
          <w:szCs w:val="32"/>
        </w:rPr>
        <w:t>贫困村通互联网工程和通动力电工程项目，完善网络基础设施建设和公共服务水平；</w:t>
      </w:r>
      <w:r>
        <w:rPr>
          <w:rFonts w:hint="eastAsia" w:ascii="仿宋" w:hAnsi="仿宋" w:eastAsia="仿宋" w:cs="仿宋"/>
          <w:bCs/>
          <w:snapToGrid w:val="0"/>
          <w:color w:val="000000"/>
          <w:sz w:val="32"/>
          <w:szCs w:val="32"/>
        </w:rPr>
        <w:t>以“满足应用需求、具备产业基础”为前提</w:t>
      </w:r>
      <w:r>
        <w:rPr>
          <w:rFonts w:hint="eastAsia" w:ascii="仿宋" w:hAnsi="仿宋" w:eastAsia="仿宋" w:cs="仿宋"/>
          <w:snapToGrid w:val="0"/>
          <w:color w:val="000000"/>
          <w:sz w:val="32"/>
          <w:szCs w:val="32"/>
        </w:rPr>
        <w:t>，</w:t>
      </w:r>
      <w:r>
        <w:rPr>
          <w:rFonts w:hint="eastAsia" w:ascii="仿宋" w:hAnsi="仿宋" w:eastAsia="仿宋" w:cs="仿宋"/>
          <w:bCs/>
          <w:snapToGrid w:val="0"/>
          <w:color w:val="000000"/>
          <w:sz w:val="32"/>
          <w:szCs w:val="32"/>
        </w:rPr>
        <w:t>结合中交数据中心项目和中鼎科技园铸造云平台项目的投产运营，推动培育</w:t>
      </w:r>
      <w:r>
        <w:rPr>
          <w:rFonts w:ascii="仿宋" w:hAnsi="仿宋" w:eastAsia="仿宋"/>
          <w:bCs/>
          <w:snapToGrid w:val="0"/>
          <w:color w:val="000000"/>
          <w:sz w:val="32"/>
          <w:szCs w:val="32"/>
        </w:rPr>
        <w:t>10</w:t>
      </w:r>
      <w:r>
        <w:rPr>
          <w:rFonts w:hint="eastAsia" w:ascii="仿宋" w:hAnsi="仿宋" w:eastAsia="仿宋" w:cs="仿宋"/>
          <w:bCs/>
          <w:snapToGrid w:val="0"/>
          <w:color w:val="000000"/>
          <w:sz w:val="32"/>
          <w:szCs w:val="32"/>
        </w:rPr>
        <w:t>个大数据创新企业和创新中</w:t>
      </w:r>
      <w:r>
        <w:rPr>
          <w:rFonts w:ascii="仿宋" w:hAnsi="仿宋" w:eastAsia="仿宋"/>
          <w:bCs/>
          <w:snapToGrid w:val="0"/>
          <w:color w:val="000000"/>
          <w:sz w:val="32"/>
          <w:szCs w:val="32"/>
        </w:rPr>
        <w:t>心。</w:t>
      </w:r>
      <w:r>
        <w:rPr>
          <w:rFonts w:ascii="仿宋" w:hAnsi="仿宋" w:eastAsia="仿宋"/>
          <w:snapToGrid w:val="0"/>
          <w:color w:val="000000"/>
          <w:sz w:val="32"/>
          <w:szCs w:val="32"/>
        </w:rPr>
        <w:t>全县144个行政村全部通互联网、通动力电，覆盖率达到100%，高于全省平均水平，提高了全县的信息网络覆盖率，提高信息共享能力。</w:t>
      </w:r>
    </w:p>
    <w:p w14:paraId="5126ECFA">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（十二）对外开放有所突破</w:t>
      </w:r>
    </w:p>
    <w:p w14:paraId="05738013">
      <w:pPr>
        <w:pStyle w:val="3"/>
        <w:adjustRightInd w:val="0"/>
        <w:snapToGrid w:val="0"/>
        <w:spacing w:line="560" w:lineRule="exact"/>
        <w:ind w:left="0" w:leftChars="0" w:firstLine="640" w:firstLineChars="200"/>
        <w:rPr>
          <w:rFonts w:ascii="仿宋" w:hAnsi="仿宋" w:eastAsia="仿宋" w:cs="仿宋"/>
          <w:snapToGrid w:val="0"/>
          <w:color w:val="000000"/>
          <w:kern w:val="0"/>
          <w:sz w:val="32"/>
          <w:szCs w:val="32"/>
        </w:rPr>
      </w:pPr>
      <w:r>
        <w:rPr>
          <w:rFonts w:hint="eastAsia" w:ascii="仿宋" w:hAnsi="仿宋" w:eastAsia="仿宋" w:cs="仿宋"/>
          <w:snapToGrid w:val="0"/>
          <w:color w:val="000000"/>
          <w:kern w:val="0"/>
          <w:sz w:val="32"/>
          <w:szCs w:val="32"/>
        </w:rPr>
        <w:t>在“一带一路”重要战略的发展背景下，“十三五”期间我县坚持抓开放就是抓发展、谋开放就是谋未来的理念，深入实施开放带动战略，以开放促改革促创新促发展，把抓项目、抓投资作为稳增长的重要抓手，全力推进重点项目建设。认真贯彻落实山西省委、省政府关于优化营商环境的安排部署，针对项目落地难、实体经济融资难、企业经营难、涉企合同执行难、群众办事难等突出问题，以加快开展招商引资项目落地等9个专项行动为突破口，重在先行先试、敢闯敢试，实行无审批管理，聚焦“产业、企业、企业家”，着力打造“审批最少、流程最优、体制最顺、机制最活、效率最高、服务最好”的 “六最”营商环境。以承接“京津冀”产业转移为突破口，紧盯长三角、珠三角等东南沿海资本富集地和产业转移输出地，充分利用省、市搭建的招商引资推介会和投资洽谈会进行平台化招商，通过组织举办参加各种展会、走出去招商、请进来邀商等方式，积极开展精准招商引资工作。积极与广州五山博士联盟合作，设立了粤港澳大湾区（交城）招商引资联络中心。金兰化工引进韩资成立了绿宇通生物科技公司，实现了外资利用“零”的突破。坚持“走出去”与企业开展合作，一批大体量、高端化的“旗舰型”项目签约落地，如开发区综合能源项目和投资建设CSE分离工厂项目；建立招商引资建设平台，发挥开发区资源优势、区位特征、优惠政策等，提高开发区对外开放能力和水平。</w:t>
      </w:r>
    </w:p>
    <w:p w14:paraId="39C5F406">
      <w:pPr>
        <w:adjustRightInd w:val="0"/>
        <w:snapToGrid w:val="0"/>
        <w:spacing w:line="560" w:lineRule="exact"/>
        <w:ind w:firstLine="640" w:firstLineChars="200"/>
        <w:jc w:val="both"/>
        <w:outlineLvl w:val="2"/>
        <w:rPr>
          <w:rFonts w:ascii="仿宋" w:hAnsi="仿宋" w:eastAsia="仿宋"/>
          <w:bCs/>
          <w:snapToGrid w:val="0"/>
          <w:color w:val="000000"/>
          <w:sz w:val="32"/>
          <w:szCs w:val="32"/>
        </w:rPr>
      </w:pPr>
      <w:r>
        <w:rPr>
          <w:rFonts w:hint="eastAsia" w:ascii="仿宋" w:hAnsi="仿宋" w:eastAsia="仿宋"/>
          <w:bCs/>
          <w:snapToGrid w:val="0"/>
          <w:color w:val="000000"/>
          <w:sz w:val="32"/>
          <w:szCs w:val="32"/>
        </w:rPr>
        <w:t>（十三）“六城同创”稳步推进</w:t>
      </w:r>
    </w:p>
    <w:p w14:paraId="4B0A8EA8">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仿宋"/>
          <w:snapToGrid w:val="0"/>
          <w:color w:val="000000"/>
          <w:sz w:val="32"/>
          <w:szCs w:val="32"/>
        </w:rPr>
        <w:t>“十三五”期间我县通过了国家级卫生县城创建市级初审。全面开展“垃圾不落地，城市更美丽”全民创卫活动，创卫带走了“脏乱差”，留下了“净齐雅”，城乡环境面貌发生了深刻变化。省级园林县城通过了省级专家综合评估。省级环保模范县城基础进一步牢固。“1+7”环保百日攻坚行动成效明显，省级文明县城创建</w:t>
      </w:r>
      <w:r>
        <w:rPr>
          <w:rFonts w:ascii="仿宋" w:hAnsi="仿宋" w:eastAsia="仿宋" w:cs="仿宋"/>
          <w:snapToGrid w:val="0"/>
          <w:color w:val="000000"/>
          <w:sz w:val="32"/>
          <w:szCs w:val="32"/>
        </w:rPr>
        <w:t>具备</w:t>
      </w:r>
      <w:r>
        <w:rPr>
          <w:rFonts w:hint="eastAsia" w:ascii="仿宋" w:hAnsi="仿宋" w:eastAsia="仿宋" w:cs="仿宋"/>
          <w:snapToGrid w:val="0"/>
          <w:color w:val="000000"/>
          <w:sz w:val="32"/>
          <w:szCs w:val="32"/>
        </w:rPr>
        <w:t>了</w:t>
      </w:r>
      <w:r>
        <w:rPr>
          <w:rFonts w:ascii="仿宋" w:hAnsi="仿宋" w:eastAsia="仿宋" w:cs="仿宋"/>
          <w:snapToGrid w:val="0"/>
          <w:color w:val="000000"/>
          <w:sz w:val="32"/>
          <w:szCs w:val="32"/>
        </w:rPr>
        <w:t>参评资格</w:t>
      </w:r>
      <w:r>
        <w:rPr>
          <w:rFonts w:hint="eastAsia" w:ascii="仿宋" w:hAnsi="仿宋" w:eastAsia="仿宋" w:cs="仿宋"/>
          <w:snapToGrid w:val="0"/>
          <w:color w:val="000000"/>
          <w:sz w:val="32"/>
          <w:szCs w:val="32"/>
        </w:rPr>
        <w:t>。开展“传承好家风、争当文明户”等多项活动，荣获了“</w:t>
      </w:r>
      <w:r>
        <w:rPr>
          <w:rFonts w:ascii="仿宋" w:hAnsi="仿宋" w:eastAsia="仿宋" w:cs="仿宋"/>
          <w:snapToGrid w:val="0"/>
          <w:color w:val="000000"/>
          <w:sz w:val="32"/>
          <w:szCs w:val="32"/>
        </w:rPr>
        <w:t>文明县城创建工作先进县</w:t>
      </w:r>
      <w:r>
        <w:rPr>
          <w:rFonts w:hint="eastAsia" w:ascii="仿宋" w:hAnsi="仿宋" w:eastAsia="仿宋" w:cs="仿宋"/>
          <w:snapToGrid w:val="0"/>
          <w:color w:val="000000"/>
          <w:sz w:val="32"/>
          <w:szCs w:val="32"/>
        </w:rPr>
        <w:t>”</w:t>
      </w:r>
      <w:r>
        <w:rPr>
          <w:rFonts w:ascii="仿宋" w:hAnsi="仿宋" w:eastAsia="仿宋" w:cs="仿宋"/>
          <w:snapToGrid w:val="0"/>
          <w:color w:val="000000"/>
          <w:sz w:val="32"/>
          <w:szCs w:val="32"/>
        </w:rPr>
        <w:t>荣誉称号</w:t>
      </w:r>
      <w:r>
        <w:rPr>
          <w:rFonts w:hint="eastAsia" w:ascii="仿宋" w:hAnsi="仿宋" w:eastAsia="仿宋" w:cs="仿宋"/>
          <w:snapToGrid w:val="0"/>
          <w:color w:val="000000"/>
          <w:sz w:val="32"/>
          <w:szCs w:val="32"/>
        </w:rPr>
        <w:t>。国家级新型城镇化试点县有了实质性进展。龙门供水全线贯通，交城山旅游大通道顺利推进，国家级全域旅游示范县创建全面发力。交城创谷成为首批省级双创示范基地，全省首个文旅产品“褐小美”惊艳亮相，卦山、玄中寺景区管理体制机制率先完成，迎宾路、龙山大街风情街改造初见效果。</w:t>
      </w:r>
    </w:p>
    <w:p w14:paraId="6A042665">
      <w:pPr>
        <w:adjustRightInd w:val="0"/>
        <w:snapToGrid w:val="0"/>
        <w:spacing w:line="560" w:lineRule="exact"/>
        <w:ind w:firstLine="640" w:firstLineChars="200"/>
        <w:jc w:val="both"/>
        <w:rPr>
          <w:rFonts w:ascii="仿宋" w:hAnsi="仿宋" w:eastAsia="仿宋" w:cs="仿宋_GB2312"/>
          <w:snapToGrid w:val="0"/>
          <w:color w:val="000000"/>
          <w:sz w:val="32"/>
          <w:szCs w:val="32"/>
        </w:rPr>
      </w:pPr>
      <w:r>
        <w:rPr>
          <w:rFonts w:hint="eastAsia" w:ascii="仿宋" w:hAnsi="仿宋" w:eastAsia="仿宋" w:cs="仿宋"/>
          <w:snapToGrid w:val="0"/>
          <w:color w:val="000000"/>
          <w:sz w:val="32"/>
          <w:szCs w:val="32"/>
        </w:rPr>
        <w:t>“十三五”时期，是交城在“两转”基础上稳中求进的五年，是交城综合实力、整体形象显著提升的五年，是人民群众得实惠最多的五年。</w:t>
      </w:r>
      <w:r>
        <w:rPr>
          <w:rFonts w:hint="eastAsia" w:ascii="仿宋" w:hAnsi="仿宋" w:eastAsia="仿宋" w:cs="仿宋_GB2312"/>
          <w:snapToGrid w:val="0"/>
          <w:color w:val="000000"/>
          <w:sz w:val="32"/>
          <w:szCs w:val="32"/>
        </w:rPr>
        <w:t>五年来，我县先后荣获“国家全域旅游示范地区创建单位”“国家新型城镇化综合改革试点地区”“国家级创新型县”“国家外贸转型升级基地(新型肥料)”“中国天然氧吧”“山西省文明县城”“山西省双创示范基地”“山西省农产品质量安全县”“山西省休闲农业和乡村旅游示范县”等荣誉称号，交城美誉度、影响力持续扩大，人民自豪感、幸福感显著增强！</w:t>
      </w:r>
    </w:p>
    <w:p w14:paraId="7C4C2279">
      <w:pPr>
        <w:adjustRightInd w:val="0"/>
        <w:snapToGrid w:val="0"/>
        <w:spacing w:line="560" w:lineRule="exact"/>
        <w:ind w:firstLine="640" w:firstLineChars="200"/>
        <w:jc w:val="both"/>
        <w:rPr>
          <w:rFonts w:hint="eastAsia" w:ascii="仿宋" w:hAnsi="仿宋" w:eastAsia="仿宋" w:cs="仿宋_GB2312"/>
          <w:snapToGrid w:val="0"/>
          <w:color w:val="000000"/>
          <w:sz w:val="32"/>
          <w:szCs w:val="32"/>
        </w:rPr>
      </w:pPr>
      <w:r>
        <w:rPr>
          <w:rFonts w:hint="eastAsia" w:ascii="仿宋" w:hAnsi="仿宋" w:eastAsia="仿宋" w:cs="仿宋_GB2312"/>
          <w:snapToGrid w:val="0"/>
          <w:color w:val="000000"/>
          <w:sz w:val="32"/>
          <w:szCs w:val="32"/>
        </w:rPr>
        <w:t>五年来取得的一切成绩，根本在于以习近平同志为核心的党中央为我们把舵领航、举旗定向，根本在于有习近平新时代中国特色社会主义思想的真理感召、科学指引，根本在于省委、市委的坚强领导、大力支持，根本在于全县各级党组织和广大党员干部勠力同心、攻坚克难。面向“十四五”，全县上下要牢记领袖嘱托，锐意改革进取，以一往无前的奋斗姿态，率先蹚出转型发展新路，不断开创交城高质量发展新局面。</w:t>
      </w:r>
    </w:p>
    <w:p w14:paraId="757D13E4">
      <w:pPr>
        <w:adjustRightInd w:val="0"/>
        <w:snapToGrid w:val="0"/>
        <w:spacing w:line="560" w:lineRule="exact"/>
        <w:ind w:firstLine="640" w:firstLineChars="200"/>
        <w:jc w:val="both"/>
        <w:rPr>
          <w:rFonts w:ascii="仿宋" w:hAnsi="仿宋" w:eastAsia="仿宋" w:cs="仿宋_GB2312"/>
          <w:snapToGrid w:val="0"/>
          <w:color w:val="000000"/>
          <w:sz w:val="32"/>
          <w:szCs w:val="32"/>
        </w:rPr>
      </w:pPr>
    </w:p>
    <w:p w14:paraId="4A7A0BFD">
      <w:pPr>
        <w:adjustRightInd w:val="0"/>
        <w:snapToGrid w:val="0"/>
        <w:spacing w:line="560" w:lineRule="exact"/>
        <w:jc w:val="center"/>
        <w:outlineLvl w:val="1"/>
        <w:rPr>
          <w:rFonts w:ascii="楷体" w:hAnsi="楷体" w:eastAsia="楷体" w:cs="楷体"/>
          <w:bCs/>
          <w:snapToGrid w:val="0"/>
          <w:color w:val="000000"/>
          <w:sz w:val="32"/>
          <w:szCs w:val="32"/>
        </w:rPr>
      </w:pPr>
      <w:bookmarkStart w:id="36" w:name="_Toc61250682"/>
      <w:bookmarkStart w:id="37" w:name="_Toc23305"/>
      <w:bookmarkStart w:id="38" w:name="_Toc18591"/>
      <w:bookmarkStart w:id="39" w:name="_Toc2248"/>
      <w:bookmarkStart w:id="40" w:name="_Toc19452"/>
      <w:bookmarkStart w:id="41" w:name="_Toc57983971"/>
      <w:bookmarkStart w:id="42" w:name="_Toc71213654"/>
      <w:r>
        <w:rPr>
          <w:rFonts w:hint="eastAsia" w:ascii="楷体" w:hAnsi="楷体" w:eastAsia="楷体" w:cs="楷体"/>
          <w:bCs/>
          <w:snapToGrid w:val="0"/>
          <w:color w:val="000000"/>
          <w:sz w:val="32"/>
          <w:szCs w:val="32"/>
        </w:rPr>
        <w:t>第二节 “十三五”经济社会发展不足</w:t>
      </w:r>
      <w:bookmarkEnd w:id="36"/>
      <w:bookmarkEnd w:id="37"/>
      <w:bookmarkEnd w:id="38"/>
      <w:bookmarkEnd w:id="39"/>
      <w:bookmarkEnd w:id="40"/>
      <w:bookmarkEnd w:id="41"/>
      <w:bookmarkEnd w:id="42"/>
    </w:p>
    <w:p w14:paraId="4AD8E873">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产业结构升级缓慢</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一二三产比例失衡。一产体量小，质量不高，仍以传统经济作物种植为主，特色产业规模不大；工业经济结构单一、资源依赖型产业占比大、初级化、重型化、产业链条粗放，传统产业升级不够。制造业处于价值链低端，新兴产业支撑能力仍显不足，“十三五”时期战略性新兴产业增加值虽高于预期目标</w:t>
      </w:r>
      <w:r>
        <w:rPr>
          <w:rFonts w:ascii="仿宋" w:hAnsi="仿宋" w:eastAsia="仿宋"/>
          <w:snapToGrid w:val="0"/>
          <w:color w:val="000000"/>
          <w:sz w:val="32"/>
          <w:szCs w:val="32"/>
        </w:rPr>
        <w:t>3.32%</w:t>
      </w:r>
      <w:r>
        <w:rPr>
          <w:rFonts w:hint="eastAsia" w:ascii="仿宋" w:hAnsi="仿宋" w:eastAsia="仿宋" w:cs="仿宋"/>
          <w:snapToGrid w:val="0"/>
          <w:color w:val="000000"/>
          <w:sz w:val="32"/>
          <w:szCs w:val="32"/>
        </w:rPr>
        <w:t>，但受土地、资金、环保等因素制约，中交网通西部数据中心、“两河”治理等大项目投资尚未完成，重点项目对投资增长的支撑作用发挥不够充分；重大项目投资完成不理想，产业集聚发展缺乏重大型项目的有效支撑，对产业转型升级的带动作用还不够明显。第三产业比重有待提升，电商产业发展质量偏低，入园企业多以呼叫客服为主，物联网智能制造产业发展缓慢。“十三五”时期，现代农业、现代服务业等新的经济增长点还未形成，产业结构升级缓慢。主导产业农副产品加工规模体量小，龙头企业少，产品附加值低，缺乏市场竞争力。农业一二三产融合发展的产业链不完善，农业规模化发展中技术密集程度不高，缺乏上下游和相关产业配套，产业联动发展的效应不明显。</w:t>
      </w:r>
    </w:p>
    <w:p w14:paraId="7AF6EB32">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“三农”问题仍然突出</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十三五”时期，我县进一步加大了新时期扶贫开发和支持农业和农村经济发展的力度，取得了明显成效，但由于农村人口多，自然条件差，发展水平低，“三农”问题仍然较为突出，统筹城乡发展任务艰巨。一是农业基础仍较为薄弱。抗御自然灾害的能力差，农业结构调整和产业化发展缓慢，农业发展方式比较粗放，农产品商品率较低。二是巩固脱贫攻坚的任务仍然十分繁重。三是农业农村投入不足。农业项目普遍缺乏融资渠道，农业基建资金严重不足。多数农产品还是“原”字号销售，缺少深层加工，产业链条短，龙头企业规模小、数量少，辐射和带动能力有限。</w:t>
      </w:r>
    </w:p>
    <w:p w14:paraId="391EA460">
      <w:pPr>
        <w:adjustRightInd w:val="0"/>
        <w:snapToGrid w:val="0"/>
        <w:spacing w:line="560" w:lineRule="exact"/>
        <w:ind w:firstLine="640" w:firstLineChars="200"/>
        <w:jc w:val="both"/>
        <w:rPr>
          <w:rFonts w:ascii="仿宋" w:hAnsi="仿宋" w:eastAsia="仿宋"/>
          <w:bCs/>
          <w:snapToGrid w:val="0"/>
          <w:color w:val="000000"/>
          <w:sz w:val="32"/>
          <w:szCs w:val="32"/>
        </w:rPr>
      </w:pPr>
      <w:r>
        <w:rPr>
          <w:rFonts w:hint="eastAsia" w:ascii="仿宋" w:hAnsi="仿宋" w:eastAsia="仿宋" w:cs="楷体"/>
          <w:snapToGrid w:val="0"/>
          <w:color w:val="000000"/>
          <w:sz w:val="32"/>
          <w:szCs w:val="32"/>
        </w:rPr>
        <w:t>资源环境保护任重道远</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土地等自然资源利用方式较为粗放，集约开发和利用程度不高，经济增长对土地要素投入依赖程度较高；水资源环境脆弱，大气污染防治问题突出，分散的污染源未能彻底消除，工地扬尘等问题依旧存在。</w:t>
      </w:r>
    </w:p>
    <w:p w14:paraId="6AEBAE59">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民生保障存在短板</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公共教育服务资源配置不均衡，全县优质公共教育资源总量偏少，农村学校标准化建设达标程度不高、名特优教师数量偏少等问题突出；医疗卫生资源配置不合理，基层医疗卫生队伍业务水平较低，缺乏专业的技术人才。社会保障体系仍需完善，养老机构医养融合工作进程较慢。</w:t>
      </w:r>
    </w:p>
    <w:p w14:paraId="6E0E1E5A">
      <w:pPr>
        <w:adjustRightInd w:val="0"/>
        <w:snapToGrid w:val="0"/>
        <w:spacing w:line="560" w:lineRule="exact"/>
        <w:ind w:firstLine="640" w:firstLineChars="200"/>
        <w:jc w:val="both"/>
        <w:rPr>
          <w:rFonts w:ascii="仿宋" w:hAnsi="仿宋" w:eastAsia="仿宋" w:cs="仿宋"/>
          <w:snapToGrid w:val="0"/>
          <w:color w:val="000000"/>
          <w:sz w:val="32"/>
          <w:szCs w:val="32"/>
        </w:rPr>
      </w:pPr>
      <w:r>
        <w:rPr>
          <w:rFonts w:hint="eastAsia" w:ascii="仿宋" w:hAnsi="仿宋" w:eastAsia="仿宋" w:cs="楷体"/>
          <w:snapToGrid w:val="0"/>
          <w:color w:val="000000"/>
          <w:sz w:val="32"/>
          <w:szCs w:val="32"/>
        </w:rPr>
        <w:t>招商引资仍需加大力度</w:t>
      </w:r>
      <w:r>
        <w:rPr>
          <w:rFonts w:hint="eastAsia" w:ascii="仿宋" w:hAnsi="仿宋" w:eastAsia="仿宋" w:cs="楷体"/>
          <w:bCs/>
          <w:snapToGrid w:val="0"/>
          <w:color w:val="000000"/>
          <w:sz w:val="32"/>
          <w:szCs w:val="32"/>
        </w:rPr>
        <w:t>。</w:t>
      </w:r>
      <w:r>
        <w:rPr>
          <w:rFonts w:hint="eastAsia" w:ascii="仿宋" w:hAnsi="仿宋" w:eastAsia="仿宋" w:cs="仿宋"/>
          <w:snapToGrid w:val="0"/>
          <w:color w:val="000000"/>
          <w:sz w:val="32"/>
          <w:szCs w:val="32"/>
        </w:rPr>
        <w:t>受国际国内经济形势影响，我县面临外商直接投资减少和国内投资回巢加大的双重压力。此外，所引进的项目中，科技含量高、带动能力强、辐射作用大的龙头型企业偏少，不仅不利于形成产业集群效应，而且为后期招商引资增添了难度。</w:t>
      </w:r>
    </w:p>
    <w:p w14:paraId="04809EB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47482AB-D37B-458B-B3BB-2B82437EB53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9639B3-14AB-432D-B75D-8346B4E5BAF0}"/>
  </w:font>
  <w:font w:name="华文中宋">
    <w:panose1 w:val="02010600040101010101"/>
    <w:charset w:val="86"/>
    <w:family w:val="auto"/>
    <w:pitch w:val="default"/>
    <w:sig w:usb0="00000287" w:usb1="080F0000" w:usb2="00000000" w:usb3="00000000" w:csb0="0004009F" w:csb1="DFD70000"/>
    <w:embedRegular r:id="rId3" w:fontKey="{9D5FC1AA-628F-4A11-A971-CCADB1764AE3}"/>
  </w:font>
  <w:font w:name="仿宋">
    <w:panose1 w:val="02010609060101010101"/>
    <w:charset w:val="86"/>
    <w:family w:val="modern"/>
    <w:pitch w:val="default"/>
    <w:sig w:usb0="800002BF" w:usb1="38CF7CFA" w:usb2="00000016" w:usb3="00000000" w:csb0="00040001" w:csb1="00000000"/>
    <w:embedRegular r:id="rId4" w:fontKey="{E664493E-1B9A-40B2-945B-46FDC1880E06}"/>
  </w:font>
  <w:font w:name="楷体">
    <w:panose1 w:val="02010609060101010101"/>
    <w:charset w:val="86"/>
    <w:family w:val="modern"/>
    <w:pitch w:val="default"/>
    <w:sig w:usb0="800002BF" w:usb1="38CF7CFA" w:usb2="00000016" w:usb3="00000000" w:csb0="00040001" w:csb1="00000000"/>
    <w:embedRegular r:id="rId5" w:fontKey="{E29497EA-5143-4B17-A23A-31859F6C2583}"/>
  </w:font>
  <w:font w:name="仿宋_GB2312">
    <w:altName w:val="仿宋"/>
    <w:panose1 w:val="02010609030101010101"/>
    <w:charset w:val="86"/>
    <w:family w:val="modern"/>
    <w:pitch w:val="default"/>
    <w:sig w:usb0="00000000" w:usb1="00000000" w:usb2="00000000" w:usb3="00000000" w:csb0="00040000" w:csb1="00000000"/>
    <w:embedRegular r:id="rId6" w:fontKey="{1A26D38F-1C82-48C2-A48C-7DF04F61FF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36D"/>
    <w:rsid w:val="008E336D"/>
    <w:rsid w:val="66FF7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autoSpaceDE/>
      <w:autoSpaceDN/>
      <w:jc w:val="both"/>
      <w:outlineLvl w:val="0"/>
    </w:pPr>
    <w:rPr>
      <w:rFonts w:ascii="Arial" w:hAnsi="Arial" w:cs="Arial"/>
      <w:bCs/>
      <w:kern w:val="2"/>
      <w:sz w:val="21"/>
      <w:szCs w:val="32"/>
      <w:lang w:val="en-US" w:bidi="ar-SA"/>
    </w:rPr>
  </w:style>
  <w:style w:type="paragraph" w:styleId="3">
    <w:name w:val="table of authorities"/>
    <w:basedOn w:val="1"/>
    <w:next w:val="1"/>
    <w:qFormat/>
    <w:uiPriority w:val="0"/>
    <w:pPr>
      <w:autoSpaceDE/>
      <w:autoSpaceDN/>
      <w:spacing w:line="360" w:lineRule="auto"/>
      <w:ind w:left="420" w:leftChars="200"/>
      <w:jc w:val="both"/>
    </w:pPr>
    <w:rPr>
      <w:rFonts w:ascii="Calibri" w:hAnsi="Calibri" w:cs="黑体"/>
      <w:kern w:val="2"/>
      <w:sz w:val="28"/>
      <w:lang w:val="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3.bin"/><Relationship Id="rId7" Type="http://schemas.openxmlformats.org/officeDocument/2006/relationships/image" Target="media/image2.emf"/><Relationship Id="rId6" Type="http://schemas.openxmlformats.org/officeDocument/2006/relationships/oleObject" Target="embeddings/oleObject2.bin"/><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chart" Target="charts/chart1.xml"/><Relationship Id="rId11" Type="http://schemas.openxmlformats.org/officeDocument/2006/relationships/image" Target="media/image4.emf"/><Relationship Id="rId10" Type="http://schemas.openxmlformats.org/officeDocument/2006/relationships/oleObject" Target="embeddings/oleObject4.bin"/><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1113517060367"/>
          <c:y val="0.0514005540974045"/>
          <c:w val="0.589442038495188"/>
          <c:h val="0.901828521434821"/>
        </c:manualLayout>
      </c:layout>
      <c:lineChart>
        <c:grouping val="standard"/>
        <c:varyColors val="0"/>
        <c:ser>
          <c:idx val="0"/>
          <c:order val="0"/>
          <c:tx>
            <c:strRef>
              <c:f>Sheet1!$H$3</c:f>
              <c:strCache>
                <c:ptCount val="1"/>
                <c:pt idx="0">
                  <c:v>一次能源生产增长率</c:v>
                </c:pt>
              </c:strCache>
            </c:strRef>
          </c:tx>
          <c:marker>
            <c:symbol val="square"/>
            <c:size val="5"/>
          </c:marker>
          <c:dLbls>
            <c:delete val="1"/>
          </c:dLbls>
          <c:cat>
            <c:strRef>
              <c:f>Sheet1!$E$4:$E$7</c:f>
              <c:strCache>
                <c:ptCount val="4"/>
                <c:pt idx="0">
                  <c:v>2016年</c:v>
                </c:pt>
                <c:pt idx="1">
                  <c:v>2017年</c:v>
                </c:pt>
                <c:pt idx="2">
                  <c:v>2018年</c:v>
                </c:pt>
                <c:pt idx="3">
                  <c:v>2019年</c:v>
                </c:pt>
              </c:strCache>
            </c:strRef>
          </c:cat>
          <c:val>
            <c:numRef>
              <c:f>Sheet1!$H$4:$H$7</c:f>
              <c:numCache>
                <c:formatCode>0.00%</c:formatCode>
                <c:ptCount val="4"/>
                <c:pt idx="0">
                  <c:v>-0.579</c:v>
                </c:pt>
                <c:pt idx="1">
                  <c:v>0.76530408773679</c:v>
                </c:pt>
                <c:pt idx="2">
                  <c:v>0.032757257426861</c:v>
                </c:pt>
                <c:pt idx="3">
                  <c:v>0.0020780925298042</c:v>
                </c:pt>
              </c:numCache>
            </c:numRef>
          </c:val>
          <c:smooth val="0"/>
        </c:ser>
        <c:ser>
          <c:idx val="1"/>
          <c:order val="1"/>
          <c:tx>
            <c:strRef>
              <c:f>Sheet1!$I$3</c:f>
              <c:strCache>
                <c:ptCount val="1"/>
                <c:pt idx="0">
                  <c:v>二次能源生产增长率</c:v>
                </c:pt>
              </c:strCache>
            </c:strRef>
          </c:tx>
          <c:marker>
            <c:symbol val="none"/>
          </c:marker>
          <c:dLbls>
            <c:delete val="1"/>
          </c:dLbls>
          <c:cat>
            <c:strRef>
              <c:f>Sheet1!$E$4:$E$7</c:f>
              <c:strCache>
                <c:ptCount val="4"/>
                <c:pt idx="0">
                  <c:v>2016年</c:v>
                </c:pt>
                <c:pt idx="1">
                  <c:v>2017年</c:v>
                </c:pt>
                <c:pt idx="2">
                  <c:v>2018年</c:v>
                </c:pt>
                <c:pt idx="3">
                  <c:v>2019年</c:v>
                </c:pt>
              </c:strCache>
            </c:strRef>
          </c:cat>
          <c:val>
            <c:numRef>
              <c:f>Sheet1!$I$4:$I$7</c:f>
              <c:numCache>
                <c:formatCode>0.00%</c:formatCode>
                <c:ptCount val="4"/>
                <c:pt idx="0">
                  <c:v>0.0053</c:v>
                </c:pt>
                <c:pt idx="1">
                  <c:v>-0.0885795669492846</c:v>
                </c:pt>
                <c:pt idx="2">
                  <c:v>0.191630144177359</c:v>
                </c:pt>
                <c:pt idx="3">
                  <c:v>0.0188095482020285</c:v>
                </c:pt>
              </c:numCache>
            </c:numRef>
          </c:val>
          <c:smooth val="0"/>
        </c:ser>
        <c:dLbls>
          <c:showLegendKey val="0"/>
          <c:showVal val="0"/>
          <c:showCatName val="0"/>
          <c:showSerName val="0"/>
          <c:showPercent val="0"/>
          <c:showBubbleSize val="0"/>
        </c:dLbls>
        <c:marker val="1"/>
        <c:smooth val="0"/>
        <c:axId val="-409569280"/>
        <c:axId val="-409557856"/>
      </c:lineChart>
      <c:catAx>
        <c:axId val="-409569280"/>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557856"/>
        <c:crosses val="autoZero"/>
        <c:auto val="1"/>
        <c:lblAlgn val="ctr"/>
        <c:lblOffset val="100"/>
        <c:noMultiLvlLbl val="0"/>
      </c:catAx>
      <c:valAx>
        <c:axId val="-409557856"/>
        <c:scaling>
          <c:orientation val="minMax"/>
        </c:scaling>
        <c:delete val="0"/>
        <c:axPos val="l"/>
        <c:majorGridlines/>
        <c:numFmt formatCode="0.00%"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09569280"/>
        <c:crosses val="autoZero"/>
        <c:crossBetween val="between"/>
      </c:valAx>
    </c:plotArea>
    <c:legend>
      <c:legendPos val="r"/>
      <c:layout>
        <c:manualLayout>
          <c:xMode val="edge"/>
          <c:yMode val="edge"/>
          <c:x val="0.769444444444444"/>
          <c:y val="0.564430956547098"/>
          <c:w val="0.227777777777778"/>
          <c:h val="0.385026975794692"/>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6b3b27c9-60c4-4d9e-bf23-54df3dc49f5b}"/>
      </c:ext>
    </c:extLst>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10912</Words>
  <Characters>11384</Characters>
  <Lines>0</Lines>
  <Paragraphs>0</Paragraphs>
  <TotalTime>0</TotalTime>
  <ScaleCrop>false</ScaleCrop>
  <LinksUpToDate>false</LinksUpToDate>
  <CharactersWithSpaces>11402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2021-10-13T01:25:00Z</dcterms:created>
  <dc:creator>蜡笔小新</dc:creator>
  <cp:lastModifiedBy>成</cp:lastModifiedBy>
  <dcterms:modified xsi:type="dcterms:W3CDTF">2025-10-09T01:56:49Z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853DDF6284804D169B571A4DDBE962AF</vt:lpwstr>
  </property>
  <property fmtid="{D5CDD505-2E9C-101B-9397-08002B2CF9AE}" pid="4" name="KSOTemplateDocerSaveRecord">
    <vt:lpwstr>eyJoZGlkIjoiYzhiZDY4YjQ3MTExMWUwZTQzNDEyNzQxZDIxMzNjZTQiLCJ1c2VySWQiOiIxMTQ5OTg3NTc2In0=</vt:lpwstr>
  </property>
</Properties>
</file>