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outlineLvl w:val="0"/>
        <w:rPr>
          <w:rFonts w:hint="eastAsia" w:ascii="黑体" w:hAnsi="黑体" w:eastAsia="黑体"/>
          <w:bCs/>
          <w:snapToGrid w:val="0"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color w:val="000000"/>
          <w:sz w:val="32"/>
          <w:szCs w:val="32"/>
        </w:rPr>
        <w:t>第四章 创新驱动转型综改，加快推进国家创新型县建设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仿宋" w:hAnsi="仿宋" w:eastAsia="仿宋"/>
          <w:bCs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</w:pPr>
      <w:bookmarkStart w:id="0" w:name="_Toc10263"/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坚持把创新作为第一动力，扎实推进重点产业领域技术提升、企业创新能力提升、创新载体和平台建设、创新人才集聚、科技成果转化、创新示范区引领“六大创新工程”，高标准建设国家级创新型县。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bookmarkStart w:id="1" w:name="_Toc1618"/>
      <w:bookmarkStart w:id="2" w:name="_Toc20569"/>
      <w:bookmarkStart w:id="3" w:name="_Toc31939"/>
      <w:bookmarkStart w:id="4" w:name="_Toc71213665"/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第一节 汇聚创新人才</w:t>
      </w:r>
      <w:bookmarkEnd w:id="0"/>
      <w:bookmarkEnd w:id="1"/>
      <w:bookmarkEnd w:id="2"/>
      <w:bookmarkEnd w:id="3"/>
      <w:bookmarkEnd w:id="4"/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深入实施“雁归兴交”行动计划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畅通各类人才引进渠道，围绕我县“4+6+N”产业体系，针对性、目的性的在“煤焦、化工、材料、装备制造”四大传统产业、“六新”产业、战略性新兴产业等领域，开展招商引才、项目引才和技术引才等专项活动，通过“候鸟式”聘任、互联网咨询等，引进高层次人才100人左右。谋划建设开发区人才公寓，</w:t>
      </w:r>
      <w:r>
        <w:rPr>
          <w:rFonts w:ascii="仿宋" w:hAnsi="仿宋" w:eastAsia="仿宋" w:cs="仿宋_GB2312"/>
          <w:snapToGrid w:val="0"/>
          <w:color w:val="000000"/>
          <w:sz w:val="32"/>
          <w:szCs w:val="32"/>
        </w:rPr>
        <w:t>让各类人才在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交城</w:t>
      </w:r>
      <w:r>
        <w:rPr>
          <w:rFonts w:ascii="仿宋" w:hAnsi="仿宋" w:eastAsia="仿宋" w:cs="仿宋_GB2312"/>
          <w:snapToGrid w:val="0"/>
          <w:color w:val="000000"/>
          <w:sz w:val="32"/>
          <w:szCs w:val="32"/>
        </w:rPr>
        <w:t>专注创新、安心创业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加大顾问指导、短期兼职、项目合作等柔性引才引智力度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着力培育和引进能够突破关键技术、带动新兴产业、突破传统技术的高层次创新创业人才，建设高水平创新团队。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落实和完善人才流动制度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建立健全符合行业特点的人才使用、流动、评价、激励体系，通过考调、挂职等多种方式，使人才在同一地区的同一行业和同一类单位之间自由流动。通过政、产、学、研合作的方式引入国内科研机构、高等院校的科研人才，为我县科技创新发展提供技术服务和人才培养，解决高端技术人才引进难和留不住的问题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实行以增加知识价值为导向的分配政策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加强对创新人才的股权、期权、分红激励。建立从实验研究、中试到生产的全过程科技创新融资模式，促进科技成果资本化产业化。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支持国内高等院校、科研机构及人员在我县创新创业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全面落实人才引进系列优惠政策和补贴措施。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壮大高水平工程师和高技能人才队伍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以交城职业教育产教融合园建设为契机，围绕我县产业特点，进行创新型、应用型、技能型人才培养，实施知识更新工程、技能提升行动。</w:t>
      </w:r>
    </w:p>
    <w:p>
      <w:pPr>
        <w:adjustRightInd w:val="0"/>
        <w:snapToGrid w:val="0"/>
        <w:spacing w:line="560" w:lineRule="exact"/>
        <w:jc w:val="center"/>
        <w:outlineLvl w:val="1"/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</w:pPr>
      <w:bookmarkStart w:id="5" w:name="_Toc14135"/>
      <w:bookmarkStart w:id="6" w:name="_Toc71213666"/>
      <w:bookmarkStart w:id="7" w:name="_Toc10650"/>
      <w:bookmarkStart w:id="8" w:name="_Toc28965"/>
      <w:bookmarkStart w:id="9" w:name="_Toc23580"/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第二节 培育创新主体</w:t>
      </w:r>
      <w:bookmarkEnd w:id="5"/>
      <w:bookmarkEnd w:id="6"/>
      <w:bookmarkEnd w:id="7"/>
      <w:bookmarkEnd w:id="8"/>
      <w:bookmarkEnd w:id="9"/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强化企业创新主体地位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大力培育创新主体，发挥大企业引领作用，支持创新型中小微企业、专精特新企业、独角兽企业和科技领军型企业成长为创新重要发源地，“</w:t>
      </w:r>
      <w:bookmarkStart w:id="25" w:name="_GoBack"/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十四五</w:t>
      </w:r>
      <w:bookmarkEnd w:id="25"/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”末全县高新技术企业力争突破40户，以“交城创谷”为载体打造双创升级版，构建“创业苗圃+孵化器+加速器+产业园”的双创全产业链培育体系。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"/>
          <w:bCs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推进产学研深度融合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</w:rPr>
        <w:t>支持企业牵头组建创新联合体，承担国家、省、市重大科技项目。发挥企业家在技术创新中的重要作用，鼓励企业加大研发投入，对企业投入基础研究实行税收优惠。发挥大企业引领支撑作用，支持创新型中小微企业成长为重要创新发源地，推动产业链上中下游、大中小企业融通创新。加强与各科研院校的合作，深入实施与同济大学合作研发新产品，继续推进与山西中北大学共同成立“中北—利虎特种玻璃研究院”更深层次的展开研发合作。</w:t>
      </w:r>
    </w:p>
    <w:p>
      <w:pPr>
        <w:pStyle w:val="3"/>
        <w:adjustRightInd w:val="0"/>
        <w:snapToGrid w:val="0"/>
        <w:spacing w:line="560" w:lineRule="exact"/>
        <w:ind w:left="0" w:leftChars="0" w:firstLine="640" w:firstLineChars="200"/>
        <w:rPr>
          <w:rFonts w:hint="eastAsia" w:ascii="仿宋" w:hAnsi="仿宋" w:eastAsia="仿宋" w:cs="仿宋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kern w:val="0"/>
          <w:sz w:val="32"/>
          <w:szCs w:val="32"/>
        </w:rPr>
        <w:t>围绕“核心业态、关联业态、衍生业态”</w:t>
      </w:r>
      <w:r>
        <w:rPr>
          <w:rFonts w:hint="eastAsia" w:ascii="仿宋" w:hAnsi="仿宋" w:eastAsia="仿宋" w:cs="楷体"/>
          <w:bCs/>
          <w:snapToGrid w:val="0"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napToGrid w:val="0"/>
          <w:color w:val="000000"/>
          <w:kern w:val="0"/>
          <w:sz w:val="32"/>
          <w:szCs w:val="32"/>
        </w:rPr>
        <w:t>打造与创新创业关联的研发、孵化等产业链条，围绕我县“4+6+N产业体系”，着力构建“核心产业+创新应用+关联产业”三位一体的产业体系。依托科学技术加快传统产业转型升级，持续落实“千企改造”工程，加强关键技术和先进工艺的高端化改造，打造传统产业发展新优势。</w:t>
      </w:r>
    </w:p>
    <w:p>
      <w:pPr>
        <w:rPr>
          <w:rFonts w:hint="eastAsia" w:ascii="仿宋" w:hAnsi="仿宋" w:eastAsia="仿宋"/>
          <w:sz w:val="32"/>
          <w:szCs w:val="32"/>
          <w:lang w:val="en-US" w:bidi="ar-SA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bookmarkStart w:id="10" w:name="_Toc5632"/>
      <w:bookmarkStart w:id="11" w:name="_Toc23099"/>
      <w:bookmarkStart w:id="12" w:name="_Toc71213667"/>
      <w:bookmarkStart w:id="13" w:name="_Toc28803"/>
      <w:bookmarkStart w:id="14" w:name="_Toc7060"/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第三节 建设创新平台</w:t>
      </w:r>
      <w:bookmarkEnd w:id="10"/>
      <w:bookmarkEnd w:id="11"/>
      <w:bookmarkEnd w:id="12"/>
      <w:bookmarkEnd w:id="13"/>
      <w:bookmarkEnd w:id="14"/>
    </w:p>
    <w:p>
      <w:pPr>
        <w:pStyle w:val="4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构建完善科技创新平台体系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集中资源建成一批国家、省级工程（技术）研究中心和企业技术中心，实现重点产业、重点企业技术研究中心全覆盖。鼓励有条件的企业与国内外科研机构、高等院校联合建立工程技术研究中心，并与院士、博士后等行业顶尖团队合作。推广恩泽生物氨基酸科研技术中心与国内外科研机构、高等院校对接协调的经验与做法，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加快推进企业创新创业示范基地建设，推广复制中鼎云铸产业技术创新联盟模式，推动跨领域跨行业协同创新。“十四五”期间，每年认定2户省级以上企业技术中心、5户以上市级企业技术中心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。</w:t>
      </w:r>
    </w:p>
    <w:p>
      <w:pPr>
        <w:pStyle w:val="4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培育经济开发区作为创新示范园区等创新平台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培育一批基于互联网的大企业创新创业平台、推进小微企业创新创业示范基地建设，支持建设制造业“双创”技术转移中心和服务平台，加快形成大中小企业专业化分工协作的产业供应链体系。</w:t>
      </w:r>
    </w:p>
    <w:p>
      <w:pPr>
        <w:pStyle w:val="4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以建设国家创新型县为契机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，围绕煤电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+循环经济产业，打造煤电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冶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+高端装备制造业、煤电建+新型建材产业、煤电化+现代化工产业为一体资源综合利用示范产业园。将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经济开发区</w:t>
      </w:r>
      <w:r>
        <w:rPr>
          <w:rFonts w:ascii="仿宋" w:hAnsi="仿宋" w:eastAsia="仿宋"/>
          <w:snapToGrid w:val="0"/>
          <w:color w:val="000000"/>
          <w:sz w:val="32"/>
          <w:szCs w:val="32"/>
        </w:rPr>
        <w:t>培育成省级及以上科技企业孵化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基地。</w:t>
      </w:r>
    </w:p>
    <w:tbl>
      <w:tblPr>
        <w:tblStyle w:val="5"/>
        <w:tblpPr w:leftFromText="180" w:rightFromText="180" w:vertAnchor="text" w:horzAnchor="page" w:tblpX="1895" w:tblpY="197"/>
        <w:tblOverlap w:val="never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200"/>
              <w:jc w:val="both"/>
              <w:rPr>
                <w:rFonts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楷体"/>
                <w:bCs/>
                <w:snapToGrid w:val="0"/>
                <w:color w:val="000000"/>
                <w:sz w:val="32"/>
                <w:szCs w:val="32"/>
              </w:rPr>
              <w:t>专栏4-1：“十四五”交城县中试、实验室项目（部分）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jc w:val="both"/>
              <w:rPr>
                <w:rFonts w:ascii="仿宋" w:hAnsi="仿宋" w:eastAsia="仿宋"/>
                <w:snapToGrid w:val="0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snapToGrid w:val="0"/>
                <w:color w:val="000000"/>
                <w:sz w:val="32"/>
                <w:szCs w:val="32"/>
              </w:rPr>
              <w:t>1.废SCR脱硝催化剂综合回收利用中试基地</w:t>
            </w:r>
            <w:r>
              <w:rPr>
                <w:rFonts w:hint="eastAsia" w:ascii="仿宋" w:hAnsi="仿宋" w:eastAsia="仿宋"/>
                <w:snapToGrid w:val="0"/>
                <w:color w:val="000000"/>
                <w:sz w:val="32"/>
                <w:szCs w:val="32"/>
              </w:rPr>
              <w:t>。</w:t>
            </w:r>
          </w:p>
        </w:tc>
      </w:tr>
    </w:tbl>
    <w:p>
      <w:pPr>
        <w:pStyle w:val="4"/>
        <w:adjustRightInd w:val="0"/>
        <w:snapToGrid w:val="0"/>
        <w:spacing w:line="560" w:lineRule="exact"/>
        <w:ind w:firstLine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bookmarkStart w:id="15" w:name="_Toc16478"/>
      <w:bookmarkStart w:id="16" w:name="_Toc17855"/>
      <w:bookmarkStart w:id="17" w:name="_Toc71213668"/>
      <w:bookmarkStart w:id="18" w:name="_Toc15557"/>
      <w:bookmarkStart w:id="19" w:name="_Toc21627"/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第四节 培育创新文化</w:t>
      </w:r>
      <w:bookmarkEnd w:id="15"/>
      <w:bookmarkEnd w:id="16"/>
      <w:bookmarkEnd w:id="17"/>
      <w:bookmarkEnd w:id="18"/>
      <w:bookmarkEnd w:id="19"/>
    </w:p>
    <w:p>
      <w:pPr>
        <w:pStyle w:val="4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探索一条将吕梁精神融入科技创新的发展新路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在全县树立崇尚科学、崇尚创新、崇尚人才的鲜明导向，注重用创新文化激发创新精神、推动创新实践、激励创新事业，形成大胆创新、勇于创新、包容创新的良好氛围。</w:t>
      </w:r>
    </w:p>
    <w:p>
      <w:pPr>
        <w:pStyle w:val="4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大力弘扬工匠精神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引导全县人民追求卓越、锐意创新。全面提升公民创新意识和科学素质。发展科普教育产业，建设一批科学家精神教育基地，培养全县人民探索科技奥秘的好奇心。</w:t>
      </w:r>
    </w:p>
    <w:p>
      <w:pPr>
        <w:pStyle w:val="4"/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实施青少年科学素质提升行动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</w:rPr>
        <w:t>加强基础学科拔尖学生培养，吸引最优秀的学生投身基础研究。实施劳动者科学素质提升行动和领导班子、干部队伍科学素质提升行动，提升终身学习和科学管理能力。</w:t>
      </w:r>
    </w:p>
    <w:p>
      <w:pPr>
        <w:pStyle w:val="4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outlineLvl w:val="1"/>
        <w:rPr>
          <w:rFonts w:ascii="楷体" w:hAnsi="楷体" w:eastAsia="楷体" w:cs="楷体"/>
          <w:bCs/>
          <w:snapToGrid w:val="0"/>
          <w:color w:val="000000"/>
          <w:sz w:val="32"/>
          <w:szCs w:val="32"/>
        </w:rPr>
      </w:pPr>
      <w:bookmarkStart w:id="20" w:name="_Toc14520"/>
      <w:bookmarkStart w:id="21" w:name="_Toc71213669"/>
      <w:bookmarkStart w:id="22" w:name="_Toc3656"/>
      <w:bookmarkStart w:id="23" w:name="_Toc6923"/>
      <w:bookmarkStart w:id="24" w:name="_Toc11351"/>
      <w:r>
        <w:rPr>
          <w:rFonts w:hint="eastAsia" w:ascii="楷体" w:hAnsi="楷体" w:eastAsia="楷体" w:cs="楷体"/>
          <w:bCs/>
          <w:snapToGrid w:val="0"/>
          <w:color w:val="000000"/>
          <w:sz w:val="32"/>
          <w:szCs w:val="32"/>
        </w:rPr>
        <w:t>第五节 健全科技创新体制机制</w:t>
      </w:r>
      <w:bookmarkEnd w:id="20"/>
      <w:bookmarkEnd w:id="21"/>
      <w:bookmarkEnd w:id="22"/>
      <w:bookmarkEnd w:id="23"/>
      <w:bookmarkEnd w:id="24"/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优化科技管理运行机制</w:t>
      </w:r>
      <w:r>
        <w:rPr>
          <w:rFonts w:hint="eastAsia" w:ascii="仿宋" w:hAnsi="仿宋" w:eastAsia="仿宋" w:cs="楷体"/>
          <w:bCs/>
          <w:snapToGrid w:val="0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根据交城县委的安排部署，在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  <w:lang w:eastAsia="zh-CN"/>
        </w:rPr>
        <w:t>“十四五”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期间，重点打造“两区五基地”，推动“4+6+N”产业体系项目、基地、人才、资金一体化配置。完善科技评价机制，优化科技奖励项目。加强知识产权保护，大幅提高科技成果转移转化成效。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改进科技项目组织管理方式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，实行科技攻关“揭榜挂帅”，探索科技经费使用包干制、承诺制改革。加强知识产权保护，完善科技成果转移转化激励政策。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</w:pPr>
      <w:r>
        <w:rPr>
          <w:rFonts w:hint="eastAsia" w:ascii="仿宋" w:hAnsi="仿宋" w:eastAsia="仿宋" w:cs="楷体"/>
          <w:snapToGrid w:val="0"/>
          <w:color w:val="000000"/>
          <w:sz w:val="32"/>
          <w:szCs w:val="32"/>
        </w:rPr>
        <w:t>加大研发投入力度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，建立政府引导、市场驱动、企业主体的多元化研发投入体系</w:t>
      </w:r>
      <w:r>
        <w:rPr>
          <w:rFonts w:ascii="仿宋" w:hAnsi="仿宋" w:eastAsia="仿宋" w:cs="仿宋_GB2312"/>
          <w:snapToGrid w:val="0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建立以企业为主体的产学研资用一体化科技研发机制，</w:t>
      </w:r>
      <w:r>
        <w:rPr>
          <w:rFonts w:ascii="仿宋" w:hAnsi="仿宋" w:eastAsia="仿宋" w:cs="仿宋_GB2312"/>
          <w:snapToGrid w:val="0"/>
          <w:color w:val="000000"/>
          <w:sz w:val="32"/>
          <w:szCs w:val="32"/>
        </w:rPr>
        <w:t>健全全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县科学研究与试验发展</w:t>
      </w:r>
      <w:r>
        <w:rPr>
          <w:rFonts w:ascii="仿宋" w:hAnsi="仿宋" w:eastAsia="仿宋" w:cs="仿宋_GB2312"/>
          <w:snapToGrid w:val="0"/>
          <w:color w:val="000000"/>
          <w:sz w:val="32"/>
          <w:szCs w:val="32"/>
        </w:rPr>
        <w:t>（R&amp;D）经费支持体系</w:t>
      </w:r>
      <w:r>
        <w:rPr>
          <w:rFonts w:hint="eastAsia" w:ascii="仿宋" w:hAnsi="仿宋" w:eastAsia="仿宋" w:cs="仿宋_GB2312"/>
          <w:snapToGrid w:val="0"/>
          <w:color w:val="000000"/>
          <w:sz w:val="32"/>
          <w:szCs w:val="32"/>
        </w:rPr>
        <w:t>，经费支出占一般公共预算的1%，力争全县各行业投入科学研究与试验发展（R&amp;D）经费投入进入全省前列，稳守吕梁第一。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yZjI2NTI4NmI4OTRkZWI0NmFmNjc1NTQxODRmYjkifQ=="/>
  </w:docVars>
  <w:rsids>
    <w:rsidRoot w:val="1BFD4E85"/>
    <w:rsid w:val="1BFD4E85"/>
    <w:rsid w:val="5368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autoSpaceDE/>
      <w:autoSpaceDN/>
      <w:jc w:val="both"/>
      <w:outlineLvl w:val="0"/>
    </w:pPr>
    <w:rPr>
      <w:rFonts w:ascii="Arial" w:hAnsi="Arial" w:cs="Arial"/>
      <w:bCs/>
      <w:kern w:val="2"/>
      <w:sz w:val="21"/>
      <w:szCs w:val="32"/>
      <w:lang w:val="en-US" w:bidi="ar-SA"/>
    </w:rPr>
  </w:style>
  <w:style w:type="paragraph" w:styleId="3">
    <w:name w:val="table of authorities"/>
    <w:basedOn w:val="1"/>
    <w:next w:val="1"/>
    <w:qFormat/>
    <w:uiPriority w:val="0"/>
    <w:pPr>
      <w:autoSpaceDE/>
      <w:autoSpaceDN/>
      <w:spacing w:line="360" w:lineRule="auto"/>
      <w:ind w:left="420" w:leftChars="200"/>
      <w:jc w:val="both"/>
    </w:pPr>
    <w:rPr>
      <w:rFonts w:ascii="Calibri" w:hAnsi="Calibri" w:cs="黑体"/>
      <w:kern w:val="2"/>
      <w:sz w:val="28"/>
      <w:lang w:val="en-US" w:bidi="ar-SA"/>
    </w:rPr>
  </w:style>
  <w:style w:type="paragraph" w:styleId="4">
    <w:name w:val="Body Text"/>
    <w:basedOn w:val="1"/>
    <w:qFormat/>
    <w:uiPriority w:val="1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2315</Words>
  <Characters>2340</Characters>
  <Lines>0</Lines>
  <Paragraphs>0</Paragraphs>
  <TotalTime>0</TotalTime>
  <ScaleCrop>false</ScaleCrop>
  <LinksUpToDate>false</LinksUpToDate>
  <CharactersWithSpaces>2346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2021-10-13T01:29:00Z</dcterms:created>
  <dc:creator>蜡笔小新</dc:creator>
  <cp:lastModifiedBy>武瑢</cp:lastModifiedBy>
  <dcterms:modified xsi:type="dcterms:W3CDTF">2023-07-14T09:52:36Z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E04A7D7E1A2D4D7EB69A2EC7C6675CBE</vt:lpwstr>
  </property>
</Properties>
</file>