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-3749040</wp:posOffset>
                </wp:positionH>
                <wp:positionV relativeFrom="paragraph">
                  <wp:posOffset>94615</wp:posOffset>
                </wp:positionV>
                <wp:extent cx="3709670" cy="5709285"/>
                <wp:effectExtent l="0" t="0" r="5080" b="5715"/>
                <wp:wrapNone/>
                <wp:docPr id="2" name="文本框 2"/>
                <wp:cNvGraphicFramePr/>
                <a:graphic xmlns:a="http://schemas.openxmlformats.org/drawingml/2006/main">
                  <a:graphicData uri="http://schemas.microsoft.com/office/word/2010/wordprocessingShape">
                    <wps:wsp>
                      <wps:cNvSpPr txBox="1"/>
                      <wps:spPr>
                        <a:xfrm>
                          <a:off x="0" y="0"/>
                          <a:ext cx="3709670" cy="5709285"/>
                        </a:xfrm>
                        <a:prstGeom prst="rect">
                          <a:avLst/>
                        </a:prstGeom>
                        <a:gradFill rotWithShape="0">
                          <a:gsLst>
                            <a:gs pos="0">
                              <a:srgbClr val="FFFFFF"/>
                            </a:gs>
                            <a:gs pos="100000">
                              <a:srgbClr val="FFFFFF"/>
                            </a:gs>
                          </a:gsLst>
                          <a:lin ang="0"/>
                          <a:tileRect/>
                        </a:gradFill>
                        <a:ln w="15875">
                          <a:noFill/>
                        </a:ln>
                        <a:effectLst/>
                      </wps:spPr>
                      <wps:txbx>
                        <w:txbxContent>
                          <w:p>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8 </w:t>
                            </w:r>
                            <w:r>
                              <w:rPr>
                                <w:rFonts w:hint="eastAsia" w:ascii="宋体" w:hAnsi="宋体" w:cs="宋体"/>
                                <w:sz w:val="28"/>
                                <w:szCs w:val="28"/>
                                <w:lang w:val="en-US" w:eastAsia="zh-CN"/>
                              </w:rPr>
                              <w:t>—</w:t>
                            </w:r>
                          </w:p>
                        </w:txbxContent>
                      </wps:txbx>
                      <wps:bodyPr vert="eaVert" wrap="square" upright="1"/>
                    </wps:wsp>
                  </a:graphicData>
                </a:graphic>
              </wp:anchor>
            </w:drawing>
          </mc:Choice>
          <mc:Fallback>
            <w:pict>
              <v:shape id="_x0000_s1026" o:spid="_x0000_s1026" o:spt="202" type="#_x0000_t202" style="position:absolute;left:0pt;margin-left:-295.2pt;margin-top:7.45pt;height:449.55pt;width:292.1pt;z-index:-251656192;mso-width-relative:page;mso-height-relative:page;" fillcolor="#FFFFFF" filled="t" stroked="f" coordsize="21600,21600" o:gfxdata="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8 </w:t>
                      </w:r>
                      <w:r>
                        <w:rPr>
                          <w:rFonts w:hint="eastAsia" w:ascii="宋体" w:hAnsi="宋体" w:cs="宋体"/>
                          <w:sz w:val="28"/>
                          <w:szCs w:val="28"/>
                          <w:lang w:val="en-US" w:eastAsia="zh-CN"/>
                        </w:rPr>
                        <w:t>—</w:t>
                      </w:r>
                    </w:p>
                  </w:txbxContent>
                </v:textbox>
              </v:shape>
            </w:pict>
          </mc:Fallback>
        </mc:AlternateContent>
      </w:r>
      <w:r>
        <w:rPr>
          <w:rFonts w:hint="eastAsia" w:ascii="黑体" w:hAnsi="黑体" w:eastAsia="黑体" w:cs="黑体"/>
          <w:color w:val="000000" w:themeColor="text1"/>
          <w:sz w:val="32"/>
          <w:szCs w:val="32"/>
          <w:highlight w:val="none"/>
          <w:lang w:eastAsia="zh-CN"/>
          <w14:textFill>
            <w14:solidFill>
              <w14:schemeClr w14:val="tx1"/>
            </w14:solidFill>
          </w14:textFill>
        </w:rPr>
        <w:t>附件</w:t>
      </w:r>
    </w:p>
    <w:p>
      <w:pPr>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交城县殡葬领域跨部门综合监管重点事项清单</w:t>
      </w:r>
    </w:p>
    <w:bookmarkEnd w:id="0"/>
    <w:p>
      <w:pPr>
        <w:rPr>
          <w:rFonts w:hint="eastAsia"/>
          <w:color w:val="000000" w:themeColor="text1"/>
          <w:highlight w:val="none"/>
          <w14:textFill>
            <w14:solidFill>
              <w14:schemeClr w14:val="tx1"/>
            </w14:solidFill>
          </w14:textFill>
        </w:rPr>
      </w:pPr>
    </w:p>
    <w:tbl>
      <w:tblPr>
        <w:tblStyle w:val="5"/>
        <w:tblW w:w="139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4220"/>
        <w:gridCol w:w="5925"/>
        <w:gridCol w:w="32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序号</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监管事项</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监管内容</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1</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殡葬服务主体资格的监管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未依法取得营业执照以市场主体名义从事殡葬服务活动的市场主体</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县市场监督管理局</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60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2</w:t>
            </w:r>
          </w:p>
        </w:tc>
        <w:tc>
          <w:tcPr>
            <w:tcW w:w="4220"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未经批准擅自兴建殡葬设施的监管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已建成运营或正在建设的殡葬设施的经营许可</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jc w:val="center"/>
        </w:trPr>
        <w:tc>
          <w:tcPr>
            <w:tcW w:w="60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未经审批擅自建设、变更建设内容等违法占地、违法建设、违法经营行为</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3</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公墓违规建设、出售超标准墓位，违法违规占地建设“活人墓”、硬化大墓的监管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建设、出售超标准墓位、“活人墓”、硬化大墓</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4</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未经批准擅自更改殡葬设施建设规划、扩大建设用地面积的监管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各类殡仪馆、公墓等殡葬设施规划建设、用地情况</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县自然资源局</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序号</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监管事项</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监管内容</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jc w:val="center"/>
        </w:trPr>
        <w:tc>
          <w:tcPr>
            <w:tcW w:w="609"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5</w:t>
            </w:r>
          </w:p>
        </w:tc>
        <w:tc>
          <w:tcPr>
            <w:tcW w:w="4220"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殡葬服务收费的监管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政府定价范围内的殡葬服务价格进行制定和调整</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县发展和改革局</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违反价格法律法规、擅自设立收费项目、提高收费标准、扩大收费范围及诱导、强制、捆绑服务收费行为</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县市场监督管理局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6</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遗体接运服务业务的监管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未经批准违规从事经营性遗体接运业务；违规买卖、改装、拼装车辆或使用不符合国家规定技术指标的车辆从事遗体接运服务行为</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609"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-3848100</wp:posOffset>
                      </wp:positionH>
                      <wp:positionV relativeFrom="page">
                        <wp:posOffset>1037590</wp:posOffset>
                      </wp:positionV>
                      <wp:extent cx="3874135" cy="927100"/>
                      <wp:effectExtent l="0" t="0" r="12065" b="6350"/>
                      <wp:wrapNone/>
                      <wp:docPr id="10" name="文本框 10"/>
                      <wp:cNvGraphicFramePr/>
                      <a:graphic xmlns:a="http://schemas.openxmlformats.org/drawingml/2006/main">
                        <a:graphicData uri="http://schemas.microsoft.com/office/word/2010/wordprocessingShape">
                          <wps:wsp>
                            <wps:cNvSpPr txBox="1"/>
                            <wps:spPr>
                              <a:xfrm>
                                <a:off x="0" y="0"/>
                                <a:ext cx="3874135" cy="927100"/>
                              </a:xfrm>
                              <a:prstGeom prst="rect">
                                <a:avLst/>
                              </a:prstGeom>
                              <a:gradFill rotWithShape="0">
                                <a:gsLst>
                                  <a:gs pos="0">
                                    <a:srgbClr val="FFFFFF"/>
                                  </a:gs>
                                  <a:gs pos="100000">
                                    <a:srgbClr val="FFFFFF"/>
                                  </a:gs>
                                </a:gsLst>
                                <a:lin ang="0"/>
                                <a:tileRect/>
                              </a:gradFill>
                              <a:ln w="15875">
                                <a:noFill/>
                              </a:ln>
                              <a:effectLst/>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 xml:space="preserve"> —</w:t>
                                  </w:r>
                                </w:p>
                              </w:txbxContent>
                            </wps:txbx>
                            <wps:bodyPr vert="eaVert" wrap="square" upright="1"/>
                          </wps:wsp>
                        </a:graphicData>
                      </a:graphic>
                    </wp:anchor>
                  </w:drawing>
                </mc:Choice>
                <mc:Fallback>
                  <w:pict>
                    <v:shape id="_x0000_s1026" o:spid="_x0000_s1026" o:spt="202" type="#_x0000_t202" style="position:absolute;left:0pt;margin-left:-303pt;margin-top:81.7pt;height:73pt;width:305.05pt;mso-position-vertical-relative:page;z-index:-251657216;mso-width-relative:page;mso-height-relative:page;" fillcolor="#FFFFFF" filled="t" stroked="f" coordsize="21600,21600" o:gfxdata="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7</w:t>
            </w:r>
          </w:p>
        </w:tc>
        <w:tc>
          <w:tcPr>
            <w:tcW w:w="4220"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殡葬服务机构和相关经营主体不规范殡葬服务行为的监管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妨碍公共秩序、危害公共安全等违法违规行为</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对占用城镇街道公共场所停放遗体、搭设灵堂、摆放花圈、进行吊唁活动等行为的劝阻和查处</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县公安局</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县住房和城乡建设管理局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8</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散埋乱葬的监管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加强统筹协调和行业监管，抓好督查推进</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-3686810</wp:posOffset>
                      </wp:positionH>
                      <wp:positionV relativeFrom="paragraph">
                        <wp:posOffset>91440</wp:posOffset>
                      </wp:positionV>
                      <wp:extent cx="3709670" cy="5709285"/>
                      <wp:effectExtent l="0" t="0" r="5080" b="5715"/>
                      <wp:wrapNone/>
                      <wp:docPr id="9" name="文本框 9"/>
                      <wp:cNvGraphicFramePr/>
                      <a:graphic xmlns:a="http://schemas.openxmlformats.org/drawingml/2006/main">
                        <a:graphicData uri="http://schemas.microsoft.com/office/word/2010/wordprocessingShape">
                          <wps:wsp>
                            <wps:cNvSpPr txBox="1"/>
                            <wps:spPr>
                              <a:xfrm>
                                <a:off x="0" y="0"/>
                                <a:ext cx="3709670" cy="5709285"/>
                              </a:xfrm>
                              <a:prstGeom prst="rect">
                                <a:avLst/>
                              </a:prstGeom>
                              <a:gradFill rotWithShape="0">
                                <a:gsLst>
                                  <a:gs pos="0">
                                    <a:srgbClr val="FFFFFF"/>
                                  </a:gs>
                                  <a:gs pos="100000">
                                    <a:srgbClr val="FFFFFF"/>
                                  </a:gs>
                                </a:gsLst>
                                <a:lin ang="0"/>
                                <a:tileRect/>
                              </a:gradFill>
                              <a:ln w="15875">
                                <a:noFill/>
                              </a:ln>
                              <a:effectLst/>
                            </wps:spPr>
                            <wps:txbx>
                              <w:txbxContent>
                                <w:p>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10 </w:t>
                                  </w:r>
                                  <w:r>
                                    <w:rPr>
                                      <w:rFonts w:hint="eastAsia" w:ascii="宋体" w:hAnsi="宋体" w:cs="宋体"/>
                                      <w:sz w:val="28"/>
                                      <w:szCs w:val="28"/>
                                      <w:lang w:val="en-US" w:eastAsia="zh-CN"/>
                                    </w:rPr>
                                    <w:t>—</w:t>
                                  </w:r>
                                </w:p>
                              </w:txbxContent>
                            </wps:txbx>
                            <wps:bodyPr vert="eaVert" wrap="square" upright="1"/>
                          </wps:wsp>
                        </a:graphicData>
                      </a:graphic>
                    </wp:anchor>
                  </w:drawing>
                </mc:Choice>
                <mc:Fallback>
                  <w:pict>
                    <v:shape id="_x0000_s1026" o:spid="_x0000_s1026" o:spt="202" type="#_x0000_t202" style="position:absolute;left:0pt;margin-left:-290.3pt;margin-top:7.2pt;height:449.55pt;width:292.1pt;z-index:-251655168;mso-width-relative:page;mso-height-relative:page;" fillcolor="#FFFFFF" filled="t" stroked="f" coordsize="21600,21600" o:gfxdata="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10 </w:t>
                            </w:r>
                            <w:r>
                              <w:rPr>
                                <w:rFonts w:hint="eastAsia" w:ascii="宋体" w:hAnsi="宋体" w:cs="宋体"/>
                                <w:sz w:val="28"/>
                                <w:szCs w:val="28"/>
                                <w:lang w:val="en-US" w:eastAsia="zh-CN"/>
                              </w:rPr>
                              <w:t>—</w:t>
                            </w:r>
                          </w:p>
                        </w:txbxContent>
                      </v:textbox>
                    </v:shape>
                  </w:pict>
                </mc:Fallback>
              </mc:AlternateContent>
            </w: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序号</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监管事项</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监管内容</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609"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8</w:t>
            </w:r>
          </w:p>
        </w:tc>
        <w:tc>
          <w:tcPr>
            <w:tcW w:w="4220"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散埋乱葬的监管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耕地、建设用地、未利用地等区域散埋乱葬行为的监管整治</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林地、草地、风景名胜区、自然保护区、湿地公园的散埋乱葬整治</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default"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公路建筑控制区的散埋乱葬整治</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县交通运输局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河道管理范围的散埋乱葬整治，提供河道管理范围数据</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高标准农田项目区的散埋乱葬整治</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文物保护区的散埋乱葬整治</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县文化和旅游局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609" w:type="dxa"/>
            <w:vMerge w:val="restart"/>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default"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9</w:t>
            </w:r>
          </w:p>
        </w:tc>
        <w:tc>
          <w:tcPr>
            <w:tcW w:w="422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不文明殡葬行为的监管</w:t>
            </w:r>
          </w:p>
        </w:tc>
        <w:tc>
          <w:tcPr>
            <w:tcW w:w="5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殡葬从业人员职业道德培训</w:t>
            </w:r>
          </w:p>
        </w:tc>
        <w:tc>
          <w:tcPr>
            <w:tcW w:w="3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在丧事活动中组织低俗表演等不文明行为</w:t>
            </w:r>
          </w:p>
        </w:tc>
        <w:tc>
          <w:tcPr>
            <w:tcW w:w="3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县文化和旅游局</w:t>
            </w:r>
          </w:p>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序号</w:t>
            </w:r>
          </w:p>
        </w:tc>
        <w:tc>
          <w:tcPr>
            <w:tcW w:w="4220"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监管事项</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监管内容</w:t>
            </w:r>
          </w:p>
        </w:tc>
        <w:tc>
          <w:tcPr>
            <w:tcW w:w="3223"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pPr>
            <w:r>
              <w:rPr>
                <w:rFonts w:hint="eastAsia" w:ascii="黑体" w:hAnsi="黑体" w:eastAsia="黑体" w:cs="黑体"/>
                <w:color w:val="000000" w:themeColor="text1"/>
                <w:kern w:val="21"/>
                <w:sz w:val="28"/>
                <w:szCs w:val="28"/>
                <w:highlight w:val="none"/>
                <w:lang w:val="en-US" w:eastAsia="zh-CN"/>
                <w14:textFill>
                  <w14:solidFill>
                    <w14:schemeClr w14:val="tx1"/>
                  </w14:solidFill>
                </w14:textFill>
              </w:rPr>
              <w:t>监管主体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jc w:val="center"/>
        </w:trPr>
        <w:tc>
          <w:tcPr>
            <w:tcW w:w="609" w:type="dxa"/>
            <w:vMerge w:val="restart"/>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9</w:t>
            </w:r>
          </w:p>
        </w:tc>
        <w:tc>
          <w:tcPr>
            <w:tcW w:w="4220" w:type="dxa"/>
            <w:vMerge w:val="restart"/>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不文明殡葬行为的监管</w:t>
            </w:r>
          </w:p>
        </w:tc>
        <w:tc>
          <w:tcPr>
            <w:tcW w:w="5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制造生产销售封建迷信丧葬用品，在火葬区生产销售土葬用品、制造销售不符合国家强制性标准的殡葬设备</w:t>
            </w:r>
          </w:p>
        </w:tc>
        <w:tc>
          <w:tcPr>
            <w:tcW w:w="3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县市场监督管理局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jc w:val="center"/>
        </w:trPr>
        <w:tc>
          <w:tcPr>
            <w:tcW w:w="609"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4220" w:type="dxa"/>
            <w:vMerge w:val="continue"/>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p>
        </w:tc>
        <w:tc>
          <w:tcPr>
            <w:tcW w:w="5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宣传文明新风</w:t>
            </w:r>
          </w:p>
        </w:tc>
        <w:tc>
          <w:tcPr>
            <w:tcW w:w="3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t>县委宣传部</w:t>
            </w:r>
          </w:p>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default"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10</w:t>
            </w:r>
          </w:p>
        </w:tc>
        <w:tc>
          <w:tcPr>
            <w:tcW w:w="42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殡葬设施建设补助、殡葬服务以及城乡居民基本养老保险丧葬补助相关资金的监管</w:t>
            </w:r>
          </w:p>
        </w:tc>
        <w:tc>
          <w:tcPr>
            <w:tcW w:w="5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both"/>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套取、挪用、虚报冒领各类殡葬服务设施建设补助、殡葬基本服务费以及城乡居民基本养老保险丧葬补助金</w:t>
            </w:r>
          </w:p>
        </w:tc>
        <w:tc>
          <w:tcPr>
            <w:tcW w:w="3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县民政局</w:t>
            </w:r>
          </w:p>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县财政局</w:t>
            </w:r>
          </w:p>
          <w:p>
            <w:pPr>
              <w:keepNext w:val="0"/>
              <w:keepLines w:val="0"/>
              <w:pageBreakBefore w:val="0"/>
              <w:widowControl w:val="0"/>
              <w:kinsoku/>
              <w:wordWrap/>
              <w:overflowPunct/>
              <w:topLinePunct w:val="0"/>
              <w:autoSpaceDE/>
              <w:autoSpaceDN/>
              <w:bidi w:val="0"/>
              <w:adjustRightInd/>
              <w:snapToGrid/>
              <w:spacing w:line="470" w:lineRule="exact"/>
              <w:ind w:firstLine="0" w:firstLineChars="0"/>
              <w:jc w:val="center"/>
              <w:textAlignment w:val="auto"/>
              <w:rPr>
                <w:rFonts w:hint="eastAsia" w:ascii="仿宋_GB2312" w:hAnsi="仿宋_GB2312" w:eastAsia="仿宋_GB2312" w:cs="仿宋_GB2312"/>
                <w:color w:val="000000" w:themeColor="text1"/>
                <w:kern w:val="2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28"/>
                <w:szCs w:val="28"/>
                <w:highlight w:val="none"/>
                <w:lang w:val="en-US" w:eastAsia="zh-CN"/>
                <w14:textFill>
                  <w14:solidFill>
                    <w14:schemeClr w14:val="tx1"/>
                  </w14:solidFill>
                </w14:textFill>
              </w:rPr>
              <w:t>县人力资源和社会保障局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7A5F48"/>
    <w:rsid w:val="F17A5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2026-06-03T10:27:00Z</dcterms:created>
  <dc:creator>蜡笔小新</dc:creator>
  <cp:lastModifiedBy>蜡笔小新</cp:lastModifiedBy>
  <dcterms:modified xsi:type="dcterms:W3CDTF">2026-06-03T10:27:54Z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