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eastAsia" w:ascii="黑体" w:hAnsi="黑体" w:eastAsia="黑体" w:cs="黑体"/>
          <w:color w:val="000000" w:themeColor="text1"/>
          <w:kern w:val="21"/>
          <w:sz w:val="32"/>
          <w:szCs w:val="32"/>
          <w:highlight w:val="none"/>
          <w14:textFill>
            <w14:solidFill>
              <w14:schemeClr w14:val="tx1"/>
            </w14:solidFill>
          </w14:textFill>
        </w:rPr>
      </w:pPr>
      <w:r>
        <w:rPr>
          <w:rFonts w:hint="eastAsia" w:ascii="黑体" w:hAnsi="黑体" w:eastAsia="黑体" w:cs="黑体"/>
          <w:color w:val="000000" w:themeColor="text1"/>
          <w:kern w:val="21"/>
          <w:sz w:val="32"/>
          <w:szCs w:val="32"/>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eastAsia"/>
          <w:color w:val="000000" w:themeColor="text1"/>
          <w:kern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default" w:ascii="Times New Roman" w:hAnsi="Times New Roman" w:eastAsia="方正小标宋简体" w:cs="Times New Roman"/>
          <w:color w:val="000000" w:themeColor="text1"/>
          <w:kern w:val="21"/>
          <w:sz w:val="44"/>
          <w:szCs w:val="44"/>
          <w:highlight w:val="none"/>
          <w14:textFill>
            <w14:solidFill>
              <w14:schemeClr w14:val="tx1"/>
            </w14:solidFill>
          </w14:textFill>
        </w:rPr>
      </w:pPr>
      <w:bookmarkStart w:id="0" w:name="_GoBack"/>
      <w:r>
        <w:rPr>
          <w:rFonts w:hint="default" w:ascii="Times New Roman" w:hAnsi="Times New Roman" w:eastAsia="方正小标宋简体" w:cs="Times New Roman"/>
          <w:color w:val="000000" w:themeColor="text1"/>
          <w:kern w:val="21"/>
          <w:sz w:val="44"/>
          <w:szCs w:val="44"/>
          <w:highlight w:val="none"/>
          <w14:textFill>
            <w14:solidFill>
              <w14:schemeClr w14:val="tx1"/>
            </w14:solidFill>
          </w14:textFill>
        </w:rPr>
        <w:t>承诺书</w:t>
      </w:r>
    </w:p>
    <w:bookmarkEnd w:id="0"/>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default"/>
          <w:color w:val="000000" w:themeColor="text1"/>
          <w:kern w:val="21"/>
          <w:highlight w:val="none"/>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highlight w:val="none"/>
          <w14:textFill>
            <w14:solidFill>
              <w14:schemeClr w14:val="tx1"/>
            </w14:solidFill>
          </w14:textFill>
        </w:rPr>
        <w:t>本</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单位</w:t>
      </w:r>
      <w:r>
        <w:rPr>
          <w:rFonts w:hint="eastAsia" w:ascii="仿宋_GB2312" w:hAnsi="仿宋_GB2312" w:eastAsia="仿宋_GB2312" w:cs="仿宋_GB2312"/>
          <w:color w:val="000000" w:themeColor="text1"/>
          <w:kern w:val="21"/>
          <w:highlight w:val="none"/>
          <w14:textFill>
            <w14:solidFill>
              <w14:schemeClr w14:val="tx1"/>
            </w14:solidFill>
          </w14:textFill>
        </w:rPr>
        <w:t>申请参加202</w:t>
      </w:r>
      <w:r>
        <w:rPr>
          <w:rFonts w:hint="eastAsia" w:ascii="仿宋_GB2312" w:hAnsi="仿宋_GB2312" w:eastAsia="仿宋_GB2312" w:cs="仿宋_GB2312"/>
          <w:color w:val="000000" w:themeColor="text1"/>
          <w:kern w:val="2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21"/>
          <w:highlight w:val="none"/>
          <w14:textFill>
            <w14:solidFill>
              <w14:schemeClr w14:val="tx1"/>
            </w14:solidFill>
          </w14:textFill>
        </w:rPr>
        <w:t>年</w:t>
      </w:r>
      <w:r>
        <w:rPr>
          <w:rFonts w:hint="eastAsia" w:ascii="仿宋_GB2312" w:hAnsi="仿宋_GB2312" w:eastAsia="仿宋_GB2312" w:cs="仿宋_GB2312"/>
          <w:color w:val="000000" w:themeColor="text1"/>
          <w:kern w:val="21"/>
          <w:highlight w:val="none"/>
          <w:lang w:val="en-US" w:eastAsia="zh-CN"/>
          <w14:textFill>
            <w14:solidFill>
              <w14:schemeClr w14:val="tx1"/>
            </w14:solidFill>
          </w14:textFill>
        </w:rPr>
        <w:t>交城县消费品以旧换新</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活动</w:t>
      </w:r>
      <w:r>
        <w:rPr>
          <w:rFonts w:hint="eastAsia" w:ascii="仿宋_GB2312" w:hAnsi="仿宋_GB2312" w:eastAsia="仿宋_GB2312" w:cs="仿宋_GB2312"/>
          <w:color w:val="000000" w:themeColor="text1"/>
          <w:kern w:val="21"/>
          <w:highlight w:val="none"/>
          <w14:textFill>
            <w14:solidFill>
              <w14:schemeClr w14:val="tx1"/>
            </w14:solidFill>
          </w14:textFill>
        </w:rPr>
        <w:t>，并郑重承诺如下：</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一、提供的材料真实、完整、准确，如因提供的材料虚假或错误导致的一切后果，由企业自行承担</w:t>
      </w:r>
      <w:r>
        <w:rPr>
          <w:rFonts w:hint="eastAsia" w:ascii="仿宋_GB2312" w:hAnsi="仿宋_GB2312" w:eastAsia="仿宋_GB2312" w:cs="仿宋_GB2312"/>
          <w:color w:val="000000" w:themeColor="text1"/>
          <w:kern w:val="21"/>
          <w:highlight w:val="none"/>
          <w14:textFill>
            <w14:solidFill>
              <w14:schemeClr w14:val="tx1"/>
            </w14:solidFill>
          </w14:textFill>
        </w:rPr>
        <w:t>（包括但不限于</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无法获得补贴资金招致损失等各类情形）</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二、严格遵守活动要求，</w:t>
      </w:r>
      <w:r>
        <w:rPr>
          <w:rFonts w:hint="eastAsia" w:ascii="仿宋_GB2312" w:hAnsi="仿宋_GB2312" w:eastAsia="仿宋_GB2312" w:cs="仿宋_GB2312"/>
          <w:color w:val="000000" w:themeColor="text1"/>
          <w:kern w:val="21"/>
          <w:highlight w:val="none"/>
          <w14:textFill>
            <w14:solidFill>
              <w14:schemeClr w14:val="tx1"/>
            </w14:solidFill>
          </w14:textFill>
        </w:rPr>
        <w:t>严格审核消费者的参与资格，规范</w:t>
      </w:r>
      <w:r>
        <w:rPr>
          <w:rFonts w:hint="eastAsia" w:ascii="仿宋_GB2312" w:hAnsi="仿宋_GB2312" w:eastAsia="仿宋_GB2312" w:cs="仿宋_GB2312"/>
          <w:color w:val="000000" w:themeColor="text1"/>
          <w:kern w:val="21"/>
          <w:highlight w:val="none"/>
          <w:lang w:val="en-US" w:eastAsia="zh-CN"/>
          <w14:textFill>
            <w14:solidFill>
              <w14:schemeClr w14:val="tx1"/>
            </w14:solidFill>
          </w14:textFill>
        </w:rPr>
        <w:t>消费品</w:t>
      </w:r>
      <w:r>
        <w:rPr>
          <w:rFonts w:hint="eastAsia" w:ascii="仿宋_GB2312" w:hAnsi="仿宋_GB2312" w:eastAsia="仿宋_GB2312" w:cs="仿宋_GB2312"/>
          <w:color w:val="000000" w:themeColor="text1"/>
          <w:kern w:val="21"/>
          <w:highlight w:val="none"/>
          <w14:textFill>
            <w14:solidFill>
              <w14:schemeClr w14:val="tx1"/>
            </w14:solidFill>
          </w14:textFill>
        </w:rPr>
        <w:t>补贴政策适用范围，杜绝各种套利行为</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对参与活动的消费品销售环节的真实性负责</w:t>
      </w:r>
      <w:r>
        <w:rPr>
          <w:rFonts w:hint="eastAsia" w:ascii="仿宋_GB2312" w:hAnsi="仿宋_GB2312" w:eastAsia="仿宋_GB2312" w:cs="仿宋_GB2312"/>
          <w:color w:val="000000" w:themeColor="text1"/>
          <w:kern w:val="21"/>
          <w:highlight w:val="none"/>
          <w14:textFill>
            <w14:solidFill>
              <w14:schemeClr w14:val="tx1"/>
            </w14:solidFill>
          </w14:textFill>
        </w:rPr>
        <w:t>。若</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未落实前述要求，将承担由此导致的资金损失。</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同意，本条所述相关套利行为的认定以服务机构系统记录和判定规则为准。若服务机构发现有异常交易，</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同意全力配合查明情况并提供有关证据材料。</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三、</w:t>
      </w:r>
      <w:r>
        <w:rPr>
          <w:rFonts w:hint="eastAsia" w:ascii="仿宋_GB2312" w:hAnsi="仿宋_GB2312" w:eastAsia="仿宋_GB2312" w:cs="仿宋_GB2312"/>
          <w:color w:val="000000" w:themeColor="text1"/>
          <w:kern w:val="21"/>
          <w:highlight w:val="none"/>
          <w14:textFill>
            <w14:solidFill>
              <w14:schemeClr w14:val="tx1"/>
            </w14:solidFill>
          </w14:textFill>
        </w:rPr>
        <w:t>诚信经营，不得采用包括但不限于先涨价后折扣等手段欺骗消费者。因</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提供的服务及产品问题或企业参与政策门店未根据要求实施政策而引发的客户退换货、投诉和争议等，由</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负责解决，妥善安抚并依法赔偿消费者由此造成的相关损失，保护消费者权益。</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四、积极配合吕梁市各级商务主管部门、服务机构开展</w:t>
      </w:r>
      <w:r>
        <w:rPr>
          <w:rFonts w:hint="eastAsia" w:ascii="仿宋_GB2312" w:hAnsi="仿宋_GB2312" w:eastAsia="仿宋_GB2312" w:cs="仿宋_GB2312"/>
          <w:color w:val="000000" w:themeColor="text1"/>
          <w:kern w:val="21"/>
          <w:highlight w:val="none"/>
          <w14:textFill>
            <w14:solidFill>
              <w14:schemeClr w14:val="tx1"/>
            </w14:solidFill>
          </w14:textFill>
        </w:rPr>
        <w:t>202</w:t>
      </w:r>
      <w:r>
        <w:rPr>
          <w:rFonts w:hint="eastAsia" w:ascii="仿宋_GB2312" w:hAnsi="仿宋_GB2312" w:eastAsia="仿宋_GB2312" w:cs="仿宋_GB2312"/>
          <w:color w:val="000000" w:themeColor="text1"/>
          <w:kern w:val="2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21"/>
          <w:highlight w:val="none"/>
          <w14:textFill>
            <w14:solidFill>
              <w14:schemeClr w14:val="tx1"/>
            </w14:solidFill>
          </w14:textFill>
        </w:rPr>
        <w:t>年</w:t>
      </w:r>
      <w:r>
        <w:rPr>
          <w:rFonts w:hint="eastAsia" w:ascii="仿宋_GB2312" w:hAnsi="仿宋_GB2312" w:eastAsia="仿宋_GB2312" w:cs="仿宋_GB2312"/>
          <w:color w:val="000000" w:themeColor="text1"/>
          <w:kern w:val="21"/>
          <w:highlight w:val="none"/>
          <w:lang w:val="en-US" w:eastAsia="zh-CN"/>
          <w14:textFill>
            <w14:solidFill>
              <w14:schemeClr w14:val="tx1"/>
            </w14:solidFill>
          </w14:textFill>
        </w:rPr>
        <w:t>交城县消费品</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以旧换新活动相关工作</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。无法配合完成相关准备工作的，视为自愿放弃参与资格。</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五、自愿接受相关部门、媒体以及消费者的监督，配合做好</w:t>
      </w:r>
      <w:r>
        <w:rPr>
          <w:rFonts w:hint="eastAsia" w:ascii="仿宋_GB2312" w:hAnsi="仿宋_GB2312" w:eastAsia="仿宋_GB2312" w:cs="仿宋_GB2312"/>
          <w:color w:val="000000" w:themeColor="text1"/>
          <w:kern w:val="21"/>
          <w:highlight w:val="none"/>
          <w:lang w:val="en-US" w:eastAsia="zh-CN"/>
          <w14:textFill>
            <w14:solidFill>
              <w14:schemeClr w14:val="tx1"/>
            </w14:solidFill>
          </w14:textFill>
        </w:rPr>
        <w:t>2026年消费品</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以旧换新活动资金审计，自愿承担因无法提供审计方所需资料导致的资金损失。针对自查及主管部门审查发现的问题及时落实整改。</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知晓并同意，如违反以上任何承诺，政策实施部门和服务机构有权随时取消</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所有门店参与政策的资格</w:t>
      </w:r>
      <w:r>
        <w:rPr>
          <w:rFonts w:hint="eastAsia" w:ascii="仿宋_GB2312" w:hAnsi="仿宋_GB2312" w:cs="仿宋_GB2312"/>
          <w:color w:val="000000" w:themeColor="text1"/>
          <w:kern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1"/>
          <w:highlight w:val="none"/>
          <w14:textFill>
            <w14:solidFill>
              <w14:schemeClr w14:val="tx1"/>
            </w14:solidFill>
          </w14:textFill>
        </w:rPr>
        <w:t>并丧失后续参与</w:t>
      </w:r>
      <w:r>
        <w:rPr>
          <w:rFonts w:hint="eastAsia" w:ascii="仿宋_GB2312" w:hAnsi="仿宋_GB2312" w:eastAsia="仿宋_GB2312" w:cs="仿宋_GB2312"/>
          <w:color w:val="000000" w:themeColor="text1"/>
          <w:kern w:val="21"/>
          <w:highlight w:val="none"/>
          <w:lang w:val="en-US" w:eastAsia="zh-CN"/>
          <w14:textFill>
            <w14:solidFill>
              <w14:schemeClr w14:val="tx1"/>
            </w14:solidFill>
          </w14:textFill>
        </w:rPr>
        <w:t>消费品以旧换新活动等相关活动</w:t>
      </w:r>
      <w:r>
        <w:rPr>
          <w:rFonts w:hint="eastAsia" w:ascii="仿宋_GB2312" w:hAnsi="仿宋_GB2312" w:eastAsia="仿宋_GB2312" w:cs="仿宋_GB2312"/>
          <w:color w:val="000000" w:themeColor="text1"/>
          <w:kern w:val="21"/>
          <w:highlight w:val="none"/>
          <w14:textFill>
            <w14:solidFill>
              <w14:schemeClr w14:val="tx1"/>
            </w14:solidFill>
          </w14:textFill>
        </w:rPr>
        <w:t>的资格，且</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同意政策实施部门和服务机构可进一步采取包括但不限于以下任一或同时采取以下全部措施，追究</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相关违约责任：</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highlight w:val="none"/>
          <w14:textFill>
            <w14:solidFill>
              <w14:schemeClr w14:val="tx1"/>
            </w14:solidFill>
          </w14:textFill>
        </w:rPr>
        <w:t>（1）要求</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全额退还经政策实施部门和服务机构认定的违约行为所涉</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家电补贴政策</w:t>
      </w:r>
      <w:r>
        <w:rPr>
          <w:rFonts w:hint="eastAsia" w:ascii="仿宋_GB2312" w:hAnsi="仿宋_GB2312" w:eastAsia="仿宋_GB2312" w:cs="仿宋_GB2312"/>
          <w:color w:val="000000" w:themeColor="text1"/>
          <w:kern w:val="21"/>
          <w:highlight w:val="none"/>
          <w14:textFill>
            <w14:solidFill>
              <w14:schemeClr w14:val="tx1"/>
            </w14:solidFill>
          </w14:textFill>
        </w:rPr>
        <w:t>资金；</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highlight w:val="none"/>
          <w14:textFill>
            <w14:solidFill>
              <w14:schemeClr w14:val="tx1"/>
            </w14:solidFill>
          </w14:textFill>
        </w:rPr>
        <w:t>（2）要求</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赔偿违约</w:t>
      </w:r>
      <w:r>
        <w:rPr>
          <w:rFonts w:hint="eastAsia" w:ascii="仿宋_GB2312" w:hAnsi="仿宋_GB2312" w:cs="仿宋_GB2312"/>
          <w:color w:val="000000" w:themeColor="text1"/>
          <w:kern w:val="21"/>
          <w:highlight w:val="none"/>
          <w:lang w:eastAsia="zh-CN"/>
          <w14:textFill>
            <w14:solidFill>
              <w14:schemeClr w14:val="tx1"/>
            </w14:solidFill>
          </w14:textFill>
        </w:rPr>
        <w:t>因</w:t>
      </w:r>
      <w:r>
        <w:rPr>
          <w:rFonts w:hint="eastAsia" w:ascii="仿宋_GB2312" w:hAnsi="仿宋_GB2312" w:eastAsia="仿宋_GB2312" w:cs="仿宋_GB2312"/>
          <w:color w:val="000000" w:themeColor="text1"/>
          <w:kern w:val="21"/>
          <w:highlight w:val="none"/>
          <w14:textFill>
            <w14:solidFill>
              <w14:schemeClr w14:val="tx1"/>
            </w14:solidFill>
          </w14:textFill>
        </w:rPr>
        <w:t>行为所导致的一切损失；</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highlight w:val="none"/>
          <w14:textFill>
            <w14:solidFill>
              <w14:schemeClr w14:val="tx1"/>
            </w14:solidFill>
          </w14:textFill>
        </w:rPr>
        <w:t>（3）政策实施部门有权会同相关部门将</w:t>
      </w:r>
      <w:r>
        <w:rPr>
          <w:rFonts w:hint="eastAsia" w:ascii="仿宋_GB2312" w:hAnsi="仿宋_GB2312" w:eastAsia="仿宋_GB2312" w:cs="仿宋_GB2312"/>
          <w:color w:val="000000" w:themeColor="text1"/>
          <w:kern w:val="21"/>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kern w:val="21"/>
          <w:highlight w:val="none"/>
          <w14:textFill>
            <w14:solidFill>
              <w14:schemeClr w14:val="tx1"/>
            </w14:solidFill>
          </w14:textFill>
        </w:rPr>
        <w:t>依法列入不诚信单位名单。</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highlight w:val="none"/>
          <w14:textFill>
            <w14:solidFill>
              <w14:schemeClr w14:val="tx1"/>
            </w14:solidFill>
          </w14:textFill>
        </w:rPr>
        <w:t>特此承诺。</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1"/>
          <w:highlight w:val="none"/>
          <w14:textFill>
            <w14:solidFill>
              <w14:schemeClr w14:val="tx1"/>
            </w14:solidFill>
          </w14:textFill>
        </w:rPr>
      </w:pPr>
      <w:r>
        <w:rPr>
          <w:rFonts w:hint="eastAsia" w:ascii="仿宋_GB2312" w:hAnsi="仿宋_GB2312" w:eastAsia="仿宋_GB2312" w:cs="仿宋_GB2312"/>
          <w:color w:val="000000" w:themeColor="text1"/>
          <w:kern w:val="21"/>
          <w:highlight w:val="none"/>
          <w14:textFill>
            <w14:solidFill>
              <w14:schemeClr w14:val="tx1"/>
            </w14:solidFill>
          </w14:textFill>
        </w:rPr>
        <w:t>本</w:t>
      </w:r>
      <w:r>
        <w:rPr>
          <w:rFonts w:hint="eastAsia" w:ascii="仿宋_GB2312" w:hAnsi="仿宋_GB2312" w:eastAsia="仿宋_GB2312" w:cs="仿宋_GB2312"/>
          <w:color w:val="000000" w:themeColor="text1"/>
          <w:kern w:val="21"/>
          <w:highlight w:val="none"/>
          <w:lang w:val="en-US" w:eastAsia="zh-CN"/>
          <w14:textFill>
            <w14:solidFill>
              <w14:schemeClr w14:val="tx1"/>
            </w14:solidFill>
          </w14:textFill>
        </w:rPr>
        <w:t>承诺书</w:t>
      </w:r>
      <w:r>
        <w:rPr>
          <w:rFonts w:hint="eastAsia" w:ascii="仿宋_GB2312" w:hAnsi="仿宋_GB2312" w:eastAsia="仿宋_GB2312" w:cs="仿宋_GB2312"/>
          <w:color w:val="000000" w:themeColor="text1"/>
          <w:kern w:val="21"/>
          <w:highlight w:val="none"/>
          <w14:textFill>
            <w14:solidFill>
              <w14:schemeClr w14:val="tx1"/>
            </w14:solidFill>
          </w14:textFill>
        </w:rPr>
        <w:t>自落款之日起生效，并持续有效。</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120" w:firstLineChars="160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承诺单位（盖章）</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120" w:firstLineChars="1600"/>
        <w:jc w:val="both"/>
        <w:textAlignment w:val="auto"/>
        <w:rPr>
          <w:rFonts w:hint="eastAsia" w:ascii="黑体" w:hAnsi="黑体" w:eastAsia="黑体" w:cs="黑体"/>
          <w:color w:val="000000" w:themeColor="text1"/>
          <w:highlight w:val="none"/>
          <w14:textFill>
            <w14:solidFill>
              <w14:schemeClr w14:val="tx1"/>
            </w14:solidFill>
          </w14:textFill>
        </w:rPr>
        <w:sectPr>
          <w:footerReference r:id="rId3" w:type="default"/>
          <w:pgSz w:w="11906" w:h="16838"/>
          <w:pgMar w:top="2098" w:right="1474" w:bottom="1984" w:left="1587" w:header="851" w:footer="1531" w:gutter="0"/>
          <w:pgNumType w:fmt="decimal"/>
          <w:cols w:space="425" w:num="1"/>
          <w:docGrid w:type="lines" w:linePitch="312" w:charSpace="0"/>
        </w:sect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2026年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91E7D"/>
    <w:rsid w:val="AFF9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_Style 1"/>
    <w:qFormat/>
    <w:uiPriority w:val="0"/>
    <w:pPr>
      <w:widowControl w:val="0"/>
      <w:ind w:firstLine="200" w:firstLineChars="200"/>
      <w:jc w:val="both"/>
    </w:pPr>
    <w:rPr>
      <w:rFonts w:ascii="宋体" w:hAnsi="宋体" w:eastAsia="仿宋_GB2312"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2026-06-03T09:41:00Z</dcterms:created>
  <dc:creator>蜡笔小新</dc:creator>
  <cp:lastModifiedBy>蜡笔小新</cp:lastModifiedBy>
  <dcterms:modified xsi:type="dcterms:W3CDTF">2026-06-03T09:41:35Z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