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bidi w:val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交城县2026年消费品以旧换新活动申请表</w:t>
      </w:r>
    </w:p>
    <w:bookmarkEnd w:id="0"/>
    <w:p>
      <w:pPr>
        <w:bidi w:val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21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5"/>
        <w:gridCol w:w="2343"/>
        <w:gridCol w:w="1980"/>
        <w:gridCol w:w="23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6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2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670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6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经营地址</w:t>
            </w:r>
          </w:p>
        </w:tc>
        <w:tc>
          <w:tcPr>
            <w:tcW w:w="6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6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消费品类别</w:t>
            </w:r>
          </w:p>
        </w:tc>
        <w:tc>
          <w:tcPr>
            <w:tcW w:w="6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420" w:lef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□家电 □3C数码产品 □家电和3C数码产品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2025年企业销售额</w:t>
            </w:r>
          </w:p>
        </w:tc>
        <w:tc>
          <w:tcPr>
            <w:tcW w:w="6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2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3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联系电话/手机</w:t>
            </w:r>
          </w:p>
        </w:tc>
        <w:tc>
          <w:tcPr>
            <w:tcW w:w="23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联系电话/手机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  <w:jc w:val="center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企业结算账户账号</w:t>
            </w:r>
          </w:p>
        </w:tc>
        <w:tc>
          <w:tcPr>
            <w:tcW w:w="6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账  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开户行：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  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0" w:hRule="atLeast"/>
          <w:jc w:val="center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企业承诺</w:t>
            </w:r>
          </w:p>
        </w:tc>
        <w:tc>
          <w:tcPr>
            <w:tcW w:w="6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我单位按照交城县2026年消费品以旧换新活动有关规定，保证提供的所有申报数据、材料等信息真实有效，并接受有关部门的监督。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0" w:firstLineChars="10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法定代表人（负责人）签字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850" w:firstLineChars="1375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（企业公章）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850" w:firstLineChars="1375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F18C5"/>
    <w:rsid w:val="7F9F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qFormat/>
    <w:uiPriority w:val="0"/>
    <w:pPr>
      <w:widowControl w:val="0"/>
      <w:ind w:firstLine="200" w:firstLineChars="200"/>
      <w:jc w:val="both"/>
    </w:pPr>
    <w:rPr>
      <w:rFonts w:ascii="宋体" w:hAnsi="宋体" w:eastAsia="仿宋_GB2312" w:cs="Times New Roman"/>
      <w:kern w:val="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2026-06-03T09:40:00Z</dcterms:created>
  <dc:creator>蜡笔小新</dc:creator>
  <cp:lastModifiedBy>蜡笔小新</cp:lastModifiedBy>
  <dcterms:modified xsi:type="dcterms:W3CDTF">2026-06-03T09:40:57Z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