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0" w:lineRule="exact"/>
        <w:ind w:left="0" w:leftChars="0"/>
        <w:textAlignment w:val="auto"/>
        <w:rPr>
          <w:rFonts w:hint="default" w:ascii="黑体" w:hAnsi="黑体" w:eastAsia="黑体" w:cs="黑体"/>
          <w:color w:val="000000"/>
          <w:kern w:val="2"/>
          <w:sz w:val="32"/>
          <w:szCs w:val="32"/>
          <w:highlight w:val="none"/>
          <w:lang w:val="en-US" w:eastAsia="zh-CN" w:bidi="ar-SA"/>
        </w:rPr>
      </w:pPr>
      <w:r>
        <w:rPr>
          <w:rFonts w:hint="eastAsia" w:ascii="黑体" w:hAnsi="黑体" w:eastAsia="黑体" w:cs="黑体"/>
          <w:color w:val="000000"/>
          <w:sz w:val="32"/>
          <w:szCs w:val="40"/>
          <w:highlight w:val="none"/>
          <w:lang w:val="en-US" w:eastAsia="zh-CN"/>
        </w:rPr>
        <w:t>附件5</w:t>
      </w:r>
    </w:p>
    <w:p>
      <w:pPr>
        <w:keepNext w:val="0"/>
        <w:keepLines w:val="0"/>
        <w:pageBreakBefore w:val="0"/>
        <w:kinsoku/>
        <w:overflowPunct/>
        <w:topLinePunct w:val="0"/>
        <w:autoSpaceDE/>
        <w:autoSpaceDN/>
        <w:bidi w:val="0"/>
        <w:snapToGrid/>
        <w:spacing w:line="570" w:lineRule="exact"/>
        <w:ind w:left="0" w:leftChars="0" w:firstLine="4680" w:firstLineChars="1300"/>
        <w:jc w:val="left"/>
        <w:textAlignment w:val="auto"/>
        <w:rPr>
          <w:rFonts w:ascii="仿宋_GB2312" w:hAnsi="仿宋_GB2312" w:eastAsia="仿宋_GB2312" w:cs="仿宋_GB2312"/>
          <w:color w:val="000000"/>
          <w:kern w:val="21"/>
          <w:sz w:val="32"/>
          <w:szCs w:val="32"/>
          <w:highlight w:val="none"/>
        </w:rPr>
      </w:pPr>
      <w:r>
        <w:rPr>
          <w:rFonts w:hint="eastAsia" w:ascii="楷体_GB2312" w:hAnsi="楷体_GB2312" w:eastAsia="楷体_GB2312" w:cs="楷体_GB2312"/>
          <w:color w:val="000000"/>
          <w:sz w:val="36"/>
          <w:szCs w:val="36"/>
          <w:highlight w:val="none"/>
        </w:rPr>
        <w:t>合同编号：</w:t>
      </w:r>
      <w:r>
        <w:rPr>
          <w:rFonts w:hint="eastAsia" w:ascii="楷体_GB2312" w:hAnsi="楷体_GB2312" w:eastAsia="楷体_GB2312" w:cs="楷体_GB2312"/>
          <w:color w:val="000000"/>
          <w:sz w:val="36"/>
          <w:szCs w:val="36"/>
          <w:highlight w:val="none"/>
          <w:u w:val="single" w:color="231F20"/>
        </w:rPr>
        <w:tab/>
      </w:r>
      <w:r>
        <w:rPr>
          <w:rFonts w:hint="eastAsia" w:ascii="楷体_GB2312" w:hAnsi="楷体_GB2312" w:eastAsia="楷体_GB2312" w:cs="楷体_GB2312"/>
          <w:color w:val="000000"/>
          <w:sz w:val="36"/>
          <w:szCs w:val="36"/>
          <w:highlight w:val="none"/>
          <w:u w:val="single" w:color="231F20"/>
        </w:rPr>
        <w:t xml:space="preserve">    </w:t>
      </w:r>
      <w:r>
        <w:rPr>
          <w:rFonts w:ascii="楷体_GB2312" w:hAnsi="楷体_GB2312" w:eastAsia="楷体_GB2312" w:cs="楷体_GB2312"/>
          <w:color w:val="000000"/>
          <w:sz w:val="36"/>
          <w:szCs w:val="36"/>
          <w:highlight w:val="none"/>
          <w:u w:val="single" w:color="231F20"/>
        </w:rPr>
        <w:t xml:space="preserve">     </w:t>
      </w:r>
      <w:r>
        <w:rPr>
          <w:rFonts w:hint="eastAsia" w:ascii="仿宋_GB2312" w:hAnsi="仿宋_GB2312" w:eastAsia="仿宋_GB2312" w:cs="仿宋_GB2312"/>
          <w:color w:val="000000"/>
          <w:kern w:val="21"/>
          <w:sz w:val="32"/>
          <w:szCs w:val="32"/>
          <w:highlight w:val="none"/>
        </w:rPr>
        <w:t xml:space="preserve">   </w:t>
      </w:r>
    </w:p>
    <w:p>
      <w:pPr>
        <w:pStyle w:val="5"/>
        <w:keepNext w:val="0"/>
        <w:keepLines w:val="0"/>
        <w:pageBreakBefore w:val="0"/>
        <w:kinsoku/>
        <w:overflowPunct/>
        <w:topLinePunct w:val="0"/>
        <w:autoSpaceDE/>
        <w:autoSpaceDN/>
        <w:bidi w:val="0"/>
        <w:snapToGrid/>
        <w:spacing w:line="570" w:lineRule="exact"/>
        <w:ind w:left="0" w:leftChars="0"/>
        <w:textAlignment w:val="auto"/>
        <w:rPr>
          <w:color w:val="000000"/>
          <w:highlight w:val="none"/>
        </w:rPr>
      </w:pPr>
    </w:p>
    <w:p>
      <w:pPr>
        <w:pStyle w:val="5"/>
        <w:keepNext w:val="0"/>
        <w:keepLines w:val="0"/>
        <w:pageBreakBefore w:val="0"/>
        <w:kinsoku/>
        <w:overflowPunct/>
        <w:topLinePunct w:val="0"/>
        <w:autoSpaceDE/>
        <w:autoSpaceDN/>
        <w:bidi w:val="0"/>
        <w:snapToGrid/>
        <w:spacing w:line="570" w:lineRule="exact"/>
        <w:ind w:left="0" w:leftChars="0"/>
        <w:textAlignment w:val="auto"/>
        <w:rPr>
          <w:color w:val="000000"/>
          <w:highlight w:val="none"/>
        </w:rPr>
      </w:pPr>
    </w:p>
    <w:p>
      <w:pPr>
        <w:pStyle w:val="5"/>
        <w:keepNext w:val="0"/>
        <w:keepLines w:val="0"/>
        <w:pageBreakBefore w:val="0"/>
        <w:kinsoku/>
        <w:overflowPunct/>
        <w:topLinePunct w:val="0"/>
        <w:autoSpaceDE/>
        <w:autoSpaceDN/>
        <w:bidi w:val="0"/>
        <w:snapToGrid/>
        <w:spacing w:line="570" w:lineRule="exact"/>
        <w:ind w:left="0" w:leftChars="0"/>
        <w:textAlignment w:val="auto"/>
        <w:rPr>
          <w:color w:val="000000"/>
          <w:highlight w:val="none"/>
        </w:rPr>
      </w:pPr>
    </w:p>
    <w:p>
      <w:pPr>
        <w:pStyle w:val="5"/>
        <w:keepNext w:val="0"/>
        <w:keepLines w:val="0"/>
        <w:pageBreakBefore w:val="0"/>
        <w:kinsoku/>
        <w:overflowPunct/>
        <w:topLinePunct w:val="0"/>
        <w:autoSpaceDE/>
        <w:autoSpaceDN/>
        <w:bidi w:val="0"/>
        <w:snapToGrid/>
        <w:spacing w:line="570" w:lineRule="exact"/>
        <w:ind w:left="0" w:leftChars="0"/>
        <w:textAlignment w:val="auto"/>
        <w:rPr>
          <w:rFonts w:hint="eastAsia" w:ascii="华文中宋" w:hAnsi="华文中宋" w:eastAsia="华文中宋" w:cs="华文中宋"/>
          <w:color w:val="000000"/>
          <w:sz w:val="44"/>
          <w:szCs w:val="44"/>
          <w:highlight w:val="none"/>
        </w:rPr>
      </w:pPr>
      <w:r>
        <w:rPr>
          <w:rFonts w:hint="eastAsia" w:ascii="华文中宋" w:hAnsi="华文中宋" w:eastAsia="华文中宋" w:cs="华文中宋"/>
          <w:color w:val="000000"/>
          <w:sz w:val="44"/>
          <w:szCs w:val="44"/>
          <w:highlight w:val="none"/>
        </w:rPr>
        <w:t>农业生产托管服务合同</w:t>
      </w:r>
    </w:p>
    <w:p>
      <w:pPr>
        <w:pStyle w:val="5"/>
        <w:keepNext w:val="0"/>
        <w:keepLines w:val="0"/>
        <w:pageBreakBefore w:val="0"/>
        <w:kinsoku/>
        <w:overflowPunct/>
        <w:topLinePunct w:val="0"/>
        <w:autoSpaceDE/>
        <w:autoSpaceDN/>
        <w:bidi w:val="0"/>
        <w:snapToGrid/>
        <w:spacing w:line="570" w:lineRule="exact"/>
        <w:ind w:left="0" w:leftChars="0"/>
        <w:textAlignment w:val="auto"/>
        <w:rPr>
          <w:color w:val="000000"/>
          <w:sz w:val="40"/>
          <w:szCs w:val="40"/>
          <w:highlight w:val="none"/>
        </w:rPr>
      </w:pPr>
      <w:r>
        <w:rPr>
          <w:rFonts w:hint="eastAsia" w:ascii="楷体_GB2312" w:hAnsi="楷体_GB2312" w:eastAsia="楷体_GB2312" w:cs="楷体_GB2312"/>
          <w:color w:val="000000"/>
          <w:sz w:val="40"/>
          <w:szCs w:val="40"/>
          <w:highlight w:val="none"/>
        </w:rPr>
        <w:t>（示范文本）</w:t>
      </w: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hint="eastAsia" w:ascii="楷体_GB2312" w:hAnsi="楷体_GB2312" w:eastAsia="楷体_GB2312" w:cs="楷体_GB2312"/>
          <w:color w:val="000000"/>
          <w:kern w:val="21"/>
          <w:sz w:val="36"/>
          <w:szCs w:val="36"/>
          <w:highlight w:val="none"/>
        </w:rPr>
      </w:pPr>
      <w:r>
        <w:rPr>
          <w:rFonts w:hint="eastAsia" w:ascii="楷体_GB2312" w:hAnsi="楷体_GB2312" w:eastAsia="楷体_GB2312" w:cs="楷体_GB2312"/>
          <w:color w:val="000000"/>
          <w:kern w:val="21"/>
          <w:sz w:val="36"/>
          <w:szCs w:val="36"/>
          <w:highlight w:val="none"/>
        </w:rPr>
        <w:t>甲方（接受服务方）：</w:t>
      </w: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hint="eastAsia" w:ascii="楷体_GB2312" w:hAnsi="楷体_GB2312" w:eastAsia="楷体_GB2312" w:cs="楷体_GB2312"/>
          <w:color w:val="000000"/>
          <w:kern w:val="21"/>
          <w:sz w:val="36"/>
          <w:szCs w:val="36"/>
          <w:highlight w:val="none"/>
        </w:rPr>
      </w:pPr>
      <w:r>
        <w:rPr>
          <w:rFonts w:hint="eastAsia" w:ascii="楷体_GB2312" w:hAnsi="楷体_GB2312" w:eastAsia="楷体_GB2312" w:cs="楷体_GB2312"/>
          <w:color w:val="000000"/>
          <w:kern w:val="21"/>
          <w:sz w:val="36"/>
          <w:szCs w:val="36"/>
          <w:highlight w:val="none"/>
        </w:rPr>
        <w:t>乙方（提供服务方）：</w:t>
      </w:r>
    </w:p>
    <w:p>
      <w:pPr>
        <w:keepNext w:val="0"/>
        <w:keepLines w:val="0"/>
        <w:pageBreakBefore w:val="0"/>
        <w:kinsoku/>
        <w:overflowPunct/>
        <w:topLinePunct w:val="0"/>
        <w:autoSpaceDE/>
        <w:autoSpaceDN/>
        <w:bidi w:val="0"/>
        <w:adjustRightInd w:val="0"/>
        <w:snapToGrid/>
        <w:spacing w:line="570" w:lineRule="exact"/>
        <w:ind w:left="0" w:leftChars="0"/>
        <w:jc w:val="center"/>
        <w:textAlignment w:val="auto"/>
        <w:rPr>
          <w:rFonts w:hint="eastAsia" w:ascii="楷体_GB2312" w:hAnsi="楷体_GB2312" w:eastAsia="楷体_GB2312" w:cs="楷体_GB2312"/>
          <w:color w:val="000000"/>
          <w:kern w:val="21"/>
          <w:sz w:val="36"/>
          <w:szCs w:val="36"/>
          <w:highlight w:val="none"/>
          <w:u w:val="single"/>
          <w:lang w:eastAsia="zh-CN"/>
        </w:rPr>
      </w:pPr>
      <w:r>
        <w:rPr>
          <w:rFonts w:hint="eastAsia" w:ascii="楷体_GB2312" w:hAnsi="楷体_GB2312" w:eastAsia="楷体_GB2312" w:cs="楷体_GB2312"/>
          <w:color w:val="000000"/>
          <w:kern w:val="21"/>
          <w:sz w:val="36"/>
          <w:szCs w:val="36"/>
          <w:highlight w:val="none"/>
        </w:rPr>
        <w:t>签订时间：</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rPr>
        <w:t>年</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rPr>
        <w:t>月</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u w:val="single"/>
          <w:lang w:val="en-US" w:eastAsia="zh-CN"/>
        </w:rPr>
        <w:t xml:space="preserve">  </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u w:val="single"/>
          <w:lang w:eastAsia="zh-CN"/>
        </w:rPr>
        <w:t>日</w:t>
      </w:r>
    </w:p>
    <w:p>
      <w:pPr>
        <w:keepNext w:val="0"/>
        <w:keepLines w:val="0"/>
        <w:pageBreakBefore w:val="0"/>
        <w:kinsoku/>
        <w:overflowPunct/>
        <w:topLinePunct w:val="0"/>
        <w:autoSpaceDE/>
        <w:autoSpaceDN/>
        <w:bidi w:val="0"/>
        <w:adjustRightInd w:val="0"/>
        <w:snapToGrid/>
        <w:spacing w:line="570" w:lineRule="exact"/>
        <w:ind w:left="0" w:leftChars="0"/>
        <w:jc w:val="center"/>
        <w:textAlignment w:val="auto"/>
        <w:rPr>
          <w:rFonts w:hint="eastAsia" w:ascii="楷体_GB2312" w:hAnsi="楷体_GB2312" w:eastAsia="楷体_GB2312" w:cs="楷体_GB2312"/>
          <w:color w:val="000000"/>
          <w:kern w:val="21"/>
          <w:sz w:val="36"/>
          <w:szCs w:val="36"/>
          <w:highlight w:val="none"/>
          <w:u w:val="single"/>
          <w:lang w:eastAsia="zh-CN"/>
        </w:rPr>
      </w:pPr>
    </w:p>
    <w:p>
      <w:pPr>
        <w:keepNext w:val="0"/>
        <w:keepLines w:val="0"/>
        <w:pageBreakBefore w:val="0"/>
        <w:kinsoku/>
        <w:overflowPunct/>
        <w:topLinePunct w:val="0"/>
        <w:autoSpaceDE/>
        <w:autoSpaceDN/>
        <w:bidi w:val="0"/>
        <w:adjustRightInd w:val="0"/>
        <w:snapToGrid/>
        <w:spacing w:line="570" w:lineRule="exact"/>
        <w:ind w:left="0" w:leftChars="0"/>
        <w:jc w:val="both"/>
        <w:textAlignment w:val="auto"/>
        <w:rPr>
          <w:rFonts w:hint="eastAsia" w:ascii="楷体_GB2312" w:hAnsi="楷体_GB2312" w:eastAsia="楷体_GB2312" w:cs="楷体_GB2312"/>
          <w:color w:val="000000"/>
          <w:kern w:val="21"/>
          <w:sz w:val="36"/>
          <w:szCs w:val="36"/>
          <w:highlight w:val="none"/>
          <w:u w:val="single"/>
          <w:lang w:eastAsia="zh-CN"/>
        </w:rPr>
        <w:sectPr>
          <w:pgSz w:w="11906" w:h="16838"/>
          <w:pgMar w:top="1814" w:right="1531" w:bottom="1758" w:left="1531" w:header="851" w:footer="1701" w:gutter="0"/>
          <w:pgNumType w:fmt="decimal"/>
          <w:cols w:space="72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甲方（接受服务方）：</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法定代表人及身份证号：</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 xml:space="preserve">地 </w:t>
      </w:r>
      <w:r>
        <w:rPr>
          <w:rFonts w:ascii="仿宋_GB2312" w:hAnsi="仿宋_GB2312" w:eastAsia="仿宋_GB2312" w:cs="仿宋_GB2312"/>
          <w:color w:val="000000"/>
          <w:spacing w:val="0"/>
          <w:kern w:val="21"/>
          <w:sz w:val="32"/>
          <w:szCs w:val="32"/>
          <w:highlight w:val="none"/>
        </w:rPr>
        <w:t xml:space="preserve">    </w:t>
      </w:r>
      <w:r>
        <w:rPr>
          <w:rFonts w:hint="eastAsia" w:ascii="仿宋_GB2312" w:hAnsi="仿宋_GB2312" w:eastAsia="仿宋_GB2312" w:cs="仿宋_GB2312"/>
          <w:color w:val="000000"/>
          <w:spacing w:val="0"/>
          <w:kern w:val="21"/>
          <w:sz w:val="32"/>
          <w:szCs w:val="32"/>
          <w:highlight w:val="none"/>
        </w:rPr>
        <w:t>址：</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r>
        <w:rPr>
          <w:rFonts w:hint="eastAsia" w:ascii="仿宋_GB2312" w:hAnsi="仿宋_GB2312" w:eastAsia="仿宋_GB2312" w:cs="仿宋_GB2312"/>
          <w:color w:val="000000"/>
          <w:spacing w:val="0"/>
          <w:kern w:val="21"/>
          <w:sz w:val="32"/>
          <w:szCs w:val="32"/>
          <w:highlight w:val="none"/>
        </w:rPr>
        <w:t>联系方式：</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r>
        <w:rPr>
          <w:rFonts w:hint="eastAsia" w:ascii="仿宋_GB2312" w:hAnsi="仿宋_GB2312" w:eastAsia="仿宋_GB2312" w:cs="仿宋_GB2312"/>
          <w:color w:val="000000"/>
          <w:spacing w:val="0"/>
          <w:kern w:val="21"/>
          <w:sz w:val="32"/>
          <w:szCs w:val="32"/>
          <w:highlight w:val="none"/>
        </w:rPr>
        <w:t>乙方（提供服务方）：</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tabs>
          <w:tab w:val="left" w:pos="6946"/>
        </w:tabs>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r>
        <w:rPr>
          <w:rFonts w:hint="eastAsia" w:ascii="仿宋_GB2312" w:hAnsi="仿宋_GB2312" w:eastAsia="仿宋_GB2312" w:cs="仿宋_GB2312"/>
          <w:color w:val="000000"/>
          <w:spacing w:val="0"/>
          <w:kern w:val="21"/>
          <w:sz w:val="32"/>
          <w:szCs w:val="32"/>
          <w:highlight w:val="none"/>
        </w:rPr>
        <w:t>法定代表人及身份证号：</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 xml:space="preserve">地 </w:t>
      </w:r>
      <w:r>
        <w:rPr>
          <w:rFonts w:ascii="仿宋_GB2312" w:hAnsi="仿宋_GB2312" w:eastAsia="仿宋_GB2312" w:cs="仿宋_GB2312"/>
          <w:color w:val="000000"/>
          <w:spacing w:val="0"/>
          <w:kern w:val="21"/>
          <w:sz w:val="32"/>
          <w:szCs w:val="32"/>
          <w:highlight w:val="none"/>
        </w:rPr>
        <w:t xml:space="preserve">    </w:t>
      </w:r>
      <w:r>
        <w:rPr>
          <w:rFonts w:hint="eastAsia" w:ascii="仿宋_GB2312" w:hAnsi="仿宋_GB2312" w:eastAsia="仿宋_GB2312" w:cs="仿宋_GB2312"/>
          <w:color w:val="000000"/>
          <w:spacing w:val="0"/>
          <w:kern w:val="21"/>
          <w:sz w:val="32"/>
          <w:szCs w:val="32"/>
          <w:highlight w:val="none"/>
        </w:rPr>
        <w:t>址：</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r>
        <w:rPr>
          <w:rFonts w:hint="eastAsia" w:ascii="仿宋_GB2312" w:hAnsi="仿宋_GB2312" w:eastAsia="仿宋_GB2312" w:cs="仿宋_GB2312"/>
          <w:color w:val="000000"/>
          <w:spacing w:val="0"/>
          <w:kern w:val="21"/>
          <w:sz w:val="32"/>
          <w:szCs w:val="32"/>
          <w:highlight w:val="none"/>
        </w:rPr>
        <w:t>联系方式：</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根据有关法律法规及政策规定</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甲乙双方本着平等、自愿、有偿的原则</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就农业生产托管服务有关事项协商一致</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订立本合同。</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第一条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服务内容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甲方将</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县（市、区）</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乡（镇、街道）</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村（社区）</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村民小组（居民小组）的</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亩</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作物</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（如：水稻、玉米、茶叶等）的</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（如：生产资料供应、耕种防收等农机作业、烘干仓储或全程种植技术解决方案）委托给乙方开展生产托管服务。（甲方如托管两个地块以上作物的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可按本款格式补充。）</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第二条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服务标准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甲乙双方就服务的技术标准、质量标准等协商达成约定</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作为本合同附件</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与本合同具有同等法律效力。【甲乙双方可参照《农业生产托管服务标准指引》（附后）</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就服务事项协商约定相关标准并附于本合同之后。】</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第三条  服务期限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乙方根据农时需要和生产技术要求</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在</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年</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月</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日至</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年</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月</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日期间完成甲方委托的</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作物</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环节的生产托管服务。（如乙方提供的生产托管服务需在不同时间内进行</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甲乙双方可根据实际情况分项约定具体服务时间。）</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第四条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服务费用</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乙方为甲方提供的生产托管服务价格为人民币</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元/亩</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服务面积</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亩</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lang w:val="en-US" w:eastAsia="zh-CN"/>
        </w:rPr>
        <w:t>具体面积以定位数据为准</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总费用人民币</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元（大写：</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）。（如乙方提供的服务无法按照上述方式计算服务费用</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甲乙双方可根据实际服务过程中的具体情况协商约定服务费用。）</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第五条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支付方式</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84"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11"/>
          <w:kern w:val="21"/>
          <w:sz w:val="32"/>
          <w:szCs w:val="32"/>
          <w:highlight w:val="none"/>
        </w:rPr>
        <w:t>甲方于本合同签订当日</w:t>
      </w:r>
      <w:r>
        <w:rPr>
          <w:rFonts w:hint="eastAsia" w:ascii="仿宋_GB2312" w:hAnsi="仿宋_GB2312" w:eastAsia="仿宋_GB2312" w:cs="仿宋_GB2312"/>
          <w:color w:val="000000"/>
          <w:spacing w:val="11"/>
          <w:kern w:val="21"/>
          <w:sz w:val="32"/>
          <w:szCs w:val="32"/>
          <w:highlight w:val="none"/>
          <w:lang w:eastAsia="zh-CN"/>
        </w:rPr>
        <w:t>，</w:t>
      </w:r>
      <w:r>
        <w:rPr>
          <w:rFonts w:hint="eastAsia" w:ascii="仿宋_GB2312" w:hAnsi="仿宋_GB2312" w:eastAsia="仿宋_GB2312" w:cs="仿宋_GB2312"/>
          <w:color w:val="000000"/>
          <w:spacing w:val="11"/>
          <w:kern w:val="21"/>
          <w:sz w:val="32"/>
          <w:szCs w:val="32"/>
          <w:highlight w:val="none"/>
        </w:rPr>
        <w:t>支付乙方服务费用总额的百分之</w:t>
      </w:r>
      <w:r>
        <w:rPr>
          <w:rFonts w:hint="eastAsia" w:ascii="仿宋_GB2312" w:hAnsi="仿宋_GB2312" w:eastAsia="仿宋_GB2312" w:cs="仿宋_GB2312"/>
          <w:color w:val="000000"/>
          <w:spacing w:val="11"/>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（小写：</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%）计人民币</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元（大写：</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）作为订金。乙方所有服务完毕并经甲方验收合格后</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甲方于</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日内支付乙方剩余服务费用人民币</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元（大写：</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）。（甲乙双方可约定签订合同之日支付全部服务费用</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或约定完成生产托管服务后一次性支付全部服务费用</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或约定从甲方委托乙方销售农业收益中扣除服务费用。）</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第六条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甲乙双方的权利和义务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仿宋_GB2312" w:eastAsia="楷体_GB2312" w:cs="仿宋_GB2312"/>
          <w:color w:val="000000"/>
          <w:spacing w:val="0"/>
          <w:kern w:val="21"/>
          <w:sz w:val="32"/>
          <w:szCs w:val="32"/>
          <w:highlight w:val="none"/>
        </w:rPr>
      </w:pPr>
      <w:r>
        <w:rPr>
          <w:rFonts w:hint="eastAsia" w:ascii="楷体_GB2312" w:hAnsi="仿宋_GB2312" w:eastAsia="楷体_GB2312" w:cs="仿宋_GB2312"/>
          <w:color w:val="000000"/>
          <w:spacing w:val="0"/>
          <w:kern w:val="21"/>
          <w:sz w:val="32"/>
          <w:szCs w:val="32"/>
          <w:highlight w:val="none"/>
        </w:rPr>
        <w:t>（一）甲方的权利和义务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1.托管服务期间始终享有对托管地块的承包经营权</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托管地块产出品归甲方所有。</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2.按照合同约定接受乙方提供的生产托管服务</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要求乙方按照《农业生产托管服务标准指引》约定标准开展服务。对乙方服务进行监督和评价</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验收服务成果。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3.有权阻止乙方实施破坏农用地和其他农业资源的行为。若因乙方故意或过失破坏托管地块种植条件、给土地造成严重损害或者严重破坏土地生态环境的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有权要求乙方赔偿由此造成的损失。</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4.为乙方开展生产托管服务提供必要条件。（甲乙双方可根据实际情况约定甲方应提供必要条件的具体内容和时间。）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5.法律、法规、规章和政策所规定的其他权利和义务。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
          <w:color w:val="000000"/>
          <w:spacing w:val="0"/>
          <w:kern w:val="21"/>
          <w:sz w:val="32"/>
          <w:szCs w:val="32"/>
          <w:highlight w:val="none"/>
        </w:rPr>
      </w:pPr>
      <w:r>
        <w:rPr>
          <w:rFonts w:hint="eastAsia" w:ascii="楷体_GB2312" w:hAnsi="仿宋_GB2312" w:eastAsia="楷体_GB2312" w:cs="仿宋_GB2312"/>
          <w:color w:val="000000"/>
          <w:spacing w:val="0"/>
          <w:kern w:val="21"/>
          <w:sz w:val="32"/>
          <w:szCs w:val="32"/>
          <w:highlight w:val="none"/>
        </w:rPr>
        <w:t>（二）乙方的权利和义务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1.要求甲方在约定时间内提供必要的作业条件</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并对服务结果进行验收。</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2.按照合同约定为甲方提供符合《农业生产托管服务标准指引》要求的生产托管服务</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并向甲方解读服务内容。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3.法律、法规、规章和政策所规定的其他权利和义务。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第七条 违约责任</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（一）甲方逾期未支付服务费用的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从逾期之日起每日按应支付服务费用总额的百分之</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（小写：</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%）向乙方支付违约金</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但不超过应付服务费用总额的百分之五十。</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（二）乙方未按本合同约定提供服务</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造成甲方损失的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应予以赔偿</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具体赔偿金额和方式</w:t>
      </w:r>
      <w:r>
        <w:rPr>
          <w:rFonts w:hint="eastAsia" w:ascii="仿宋_GB2312" w:hAnsi="仿宋_GB2312" w:eastAsia="仿宋_GB2312" w:cs="仿宋_GB2312"/>
          <w:color w:val="000000"/>
          <w:spacing w:val="0"/>
          <w:kern w:val="21"/>
          <w:sz w:val="32"/>
          <w:szCs w:val="32"/>
          <w:highlight w:val="none"/>
          <w:lang w:eastAsia="zh-CN"/>
        </w:rPr>
        <w:t>由</w:t>
      </w:r>
      <w:r>
        <w:rPr>
          <w:rFonts w:hint="eastAsia" w:ascii="仿宋_GB2312" w:hAnsi="仿宋_GB2312" w:eastAsia="仿宋_GB2312" w:cs="仿宋_GB2312"/>
          <w:color w:val="000000"/>
          <w:spacing w:val="0"/>
          <w:kern w:val="21"/>
          <w:sz w:val="32"/>
          <w:szCs w:val="32"/>
          <w:highlight w:val="none"/>
        </w:rPr>
        <w:t>双方协商确定。</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（三）任何一方违约所造成的损失</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均由违约方负责赔偿。</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（四）因不可抗力等重大因素导致本合同无法履行的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双方可以协商解除本合同</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双方均不承担违约责任。</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第八条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争议处理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甲乙双方发生争议</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应协商解决。如协商不成</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可以向服务所在地农业行政主管部门申请调解</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也可以向服务所在地人民法院提起诉讼。</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第九条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其他约定事项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（一）本合同自甲乙双方签字之日起生效。</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（二）未尽或须调整事宜经甲乙双方协商一致可签订补充协议</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补充协议与本合同具有同等法律效力。补充协议与本合同不一致的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以补充协议为准。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（三）服务所在地村委会或村集体经济组织可对甲乙双方的托管服务关系予以指导和监督。</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（四）本合同一式</w:t>
      </w:r>
      <w:r>
        <w:rPr>
          <w:rFonts w:hint="eastAsia" w:ascii="仿宋_GB2312" w:hAnsi="仿宋_GB2312" w:eastAsia="仿宋_GB2312" w:cs="仿宋_GB2312"/>
          <w:color w:val="000000"/>
          <w:spacing w:val="0"/>
          <w:kern w:val="21"/>
          <w:sz w:val="32"/>
          <w:szCs w:val="32"/>
          <w:highlight w:val="none"/>
          <w:lang w:val="en-US" w:eastAsia="zh-CN"/>
        </w:rPr>
        <w:t>三</w:t>
      </w:r>
      <w:r>
        <w:rPr>
          <w:rFonts w:hint="eastAsia" w:ascii="仿宋_GB2312" w:hAnsi="仿宋_GB2312" w:eastAsia="仿宋_GB2312" w:cs="仿宋_GB2312"/>
          <w:color w:val="000000"/>
          <w:spacing w:val="0"/>
          <w:kern w:val="21"/>
          <w:sz w:val="32"/>
          <w:szCs w:val="32"/>
          <w:highlight w:val="none"/>
        </w:rPr>
        <w:t>份</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甲乙双方各持一份</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lang w:val="en-US" w:eastAsia="zh-CN"/>
        </w:rPr>
        <w:t>乡镇存档一份，</w:t>
      </w:r>
      <w:r>
        <w:rPr>
          <w:rFonts w:hint="eastAsia" w:ascii="仿宋_GB2312" w:hAnsi="仿宋_GB2312" w:eastAsia="仿宋_GB2312" w:cs="仿宋_GB2312"/>
          <w:color w:val="000000"/>
          <w:spacing w:val="0"/>
          <w:kern w:val="21"/>
          <w:sz w:val="32"/>
          <w:szCs w:val="32"/>
          <w:highlight w:val="none"/>
        </w:rPr>
        <w:t>具有同等法律效力。</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u w:val="single"/>
        </w:rPr>
      </w:pPr>
      <w:r>
        <w:rPr>
          <w:rFonts w:hint="eastAsia" w:ascii="仿宋_GB2312" w:hAnsi="仿宋_GB2312" w:eastAsia="仿宋_GB2312" w:cs="仿宋_GB2312"/>
          <w:color w:val="000000"/>
          <w:spacing w:val="0"/>
          <w:kern w:val="21"/>
          <w:sz w:val="32"/>
          <w:szCs w:val="32"/>
          <w:highlight w:val="none"/>
        </w:rPr>
        <w:t>（五）其他约定事宜：</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kern w:val="21"/>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kern w:val="21"/>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甲方（签字或盖章）：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时    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bCs/>
          <w:color w:val="000000"/>
          <w:sz w:val="32"/>
          <w:szCs w:val="32"/>
          <w:highlight w:val="none"/>
        </w:rPr>
        <w:t>乙方（签字或盖章）：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color w:val="000000"/>
          <w:highlight w:val="none"/>
        </w:rPr>
        <w:sectPr>
          <w:headerReference r:id="rId3" w:type="default"/>
          <w:footerReference r:id="rId4" w:type="default"/>
          <w:footerReference r:id="rId5" w:type="even"/>
          <w:pgSz w:w="11906" w:h="16838"/>
          <w:pgMar w:top="2098" w:right="1474" w:bottom="1984" w:left="1587" w:header="851" w:footer="1417" w:gutter="0"/>
          <w:pgNumType w:fmt="decimal"/>
          <w:cols w:space="720" w:num="1"/>
          <w:rtlGutter w:val="0"/>
          <w:docGrid w:type="lines" w:linePitch="312" w:charSpace="0"/>
        </w:sectPr>
      </w:pPr>
      <w:r>
        <w:rPr>
          <w:rFonts w:hint="eastAsia" w:ascii="仿宋_GB2312" w:hAnsi="仿宋_GB2312" w:eastAsia="仿宋_GB2312" w:cs="仿宋_GB2312"/>
          <w:bCs/>
          <w:color w:val="000000"/>
          <w:sz w:val="32"/>
          <w:szCs w:val="32"/>
          <w:highlight w:val="none"/>
        </w:rPr>
        <w:t>时    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keepNext w:val="0"/>
                            <w:keepLines w:val="0"/>
                            <w:pageBreakBefore w:val="0"/>
                            <w:widowControl w:val="0"/>
                            <w:kinsoku/>
                            <w:wordWrap/>
                            <w:overflowPunct/>
                            <w:topLinePunct w:val="0"/>
                            <w:bidi w:val="0"/>
                            <w:adjustRightInd/>
                            <w:snapToGrid w:val="0"/>
                            <w:ind w:right="210" w:rightChars="10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path/>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right="210" w:rightChars="10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FB72EE"/>
    <w:rsid w:val="F5FB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kern w:val="2"/>
      <w:sz w:val="21"/>
      <w:szCs w:val="22"/>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Autospacing="0" w:afterAutospacing="0" w:line="600" w:lineRule="exact"/>
      <w:ind w:firstLine="0" w:firstLineChars="0"/>
      <w:jc w:val="center"/>
      <w:outlineLvl w:val="9"/>
    </w:pPr>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2026-04-22T10:29:00Z</dcterms:created>
  <dc:creator>蜡笔小新</dc:creator>
  <cp:lastModifiedBy>蜡笔小新</cp:lastModifiedBy>
  <dcterms:modified xsi:type="dcterms:W3CDTF">2026-04-22T10:30:06Z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