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t>附件4</w:t>
      </w:r>
    </w:p>
    <w:p>
      <w:pPr>
        <w:bidi w:val="0"/>
        <w:rPr>
          <w:rFonts w:hint="default"/>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bookmarkStart w:id="0" w:name="_GoBack"/>
      <w:r>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应急小组成员单位及其职责</w:t>
      </w:r>
    </w:p>
    <w:bookmarkEnd w:id="0"/>
    <w:p>
      <w:pPr>
        <w:bidi w:val="0"/>
        <w:rPr>
          <w:rFonts w:hint="default"/>
          <w:color w:val="000000" w:themeColor="text1"/>
          <w:highlight w:val="none"/>
          <w:lang w:val="en-US" w:eastAsia="zh-CN"/>
          <w14:textFill>
            <w14:solidFill>
              <w14:schemeClr w14:val="tx1"/>
            </w14:solidFill>
          </w14:textFill>
        </w:rPr>
      </w:pPr>
    </w:p>
    <w:tbl>
      <w:tblPr>
        <w:tblStyle w:val="3"/>
        <w:tblW w:w="53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0"/>
        <w:gridCol w:w="1025"/>
        <w:gridCol w:w="3822"/>
        <w:gridCol w:w="3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266" w:type="pct"/>
            <w:noWrap w:val="0"/>
            <w:tcMar>
              <w:left w:w="28" w:type="dxa"/>
              <w:right w:w="28" w:type="dxa"/>
            </w:tcMar>
            <w:vAlign w:val="center"/>
          </w:tcPr>
          <w:p>
            <w:pPr>
              <w:shd w:val="clear" w:color="auto" w:fill="auto"/>
              <w:autoSpaceDE w:val="0"/>
              <w:autoSpaceDN w:val="0"/>
              <w:spacing w:line="360" w:lineRule="auto"/>
              <w:ind w:left="0" w:leftChars="0" w:firstLine="0" w:firstLineChars="0"/>
              <w:jc w:val="center"/>
              <w:rPr>
                <w:rFonts w:hint="eastAsia" w:ascii="黑体" w:hAnsi="黑体" w:eastAsia="黑体" w:cs="黑体"/>
                <w:b w:val="0"/>
                <w:bCs w:val="0"/>
                <w:color w:val="000000" w:themeColor="text1"/>
                <w:kern w:val="0"/>
                <w:sz w:val="24"/>
                <w:szCs w:val="24"/>
                <w:highlight w:val="none"/>
                <w:lang w:val="zh-CN" w:eastAsia="zh-CN"/>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US" w:eastAsia="zh-CN"/>
                <w14:textFill>
                  <w14:solidFill>
                    <w14:schemeClr w14:val="tx1"/>
                  </w14:solidFill>
                </w14:textFill>
              </w:rPr>
              <w:t>序号</w:t>
            </w:r>
          </w:p>
        </w:tc>
        <w:tc>
          <w:tcPr>
            <w:tcW w:w="568" w:type="pct"/>
            <w:noWrap w:val="0"/>
            <w:tcMar>
              <w:left w:w="28" w:type="dxa"/>
              <w:right w:w="28" w:type="dxa"/>
            </w:tcMar>
            <w:vAlign w:val="center"/>
          </w:tcPr>
          <w:p>
            <w:pPr>
              <w:shd w:val="clear" w:color="auto" w:fill="auto"/>
              <w:autoSpaceDE w:val="0"/>
              <w:autoSpaceDN w:val="0"/>
              <w:spacing w:line="360" w:lineRule="auto"/>
              <w:ind w:left="0" w:leftChars="0" w:firstLine="0" w:firstLineChars="0"/>
              <w:jc w:val="center"/>
              <w:rPr>
                <w:rFonts w:hint="eastAsia" w:ascii="黑体" w:hAnsi="黑体" w:eastAsia="黑体" w:cs="黑体"/>
                <w:b w:val="0"/>
                <w:bCs w:val="0"/>
                <w:color w:val="000000" w:themeColor="text1"/>
                <w:kern w:val="0"/>
                <w:sz w:val="24"/>
                <w:szCs w:val="24"/>
                <w:highlight w:val="none"/>
                <w:lang w:val="en-US" w:eastAsia="zh-CN"/>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US" w:eastAsia="zh-CN"/>
                <w14:textFill>
                  <w14:solidFill>
                    <w14:schemeClr w14:val="tx1"/>
                  </w14:solidFill>
                </w14:textFill>
              </w:rPr>
              <w:t>应急小组</w:t>
            </w:r>
          </w:p>
        </w:tc>
        <w:tc>
          <w:tcPr>
            <w:tcW w:w="2117" w:type="pct"/>
            <w:noWrap w:val="0"/>
            <w:tcMar>
              <w:left w:w="28" w:type="dxa"/>
              <w:right w:w="28" w:type="dxa"/>
            </w:tcMar>
            <w:vAlign w:val="center"/>
          </w:tcPr>
          <w:p>
            <w:pPr>
              <w:shd w:val="clear" w:color="auto" w:fill="auto"/>
              <w:autoSpaceDE w:val="0"/>
              <w:autoSpaceDN w:val="0"/>
              <w:spacing w:line="360" w:lineRule="auto"/>
              <w:ind w:left="0" w:leftChars="0" w:firstLine="0" w:firstLineChars="0"/>
              <w:jc w:val="center"/>
              <w:rPr>
                <w:rFonts w:hint="eastAsia" w:ascii="黑体" w:hAnsi="黑体" w:eastAsia="黑体" w:cs="黑体"/>
                <w:b w:val="0"/>
                <w:bCs w:val="0"/>
                <w:color w:val="000000" w:themeColor="text1"/>
                <w:kern w:val="0"/>
                <w:sz w:val="24"/>
                <w:szCs w:val="24"/>
                <w:highlight w:val="none"/>
                <w:lang w:val="en-US" w:eastAsia="zh-CN"/>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US" w:eastAsia="zh-CN"/>
                <w14:textFill>
                  <w14:solidFill>
                    <w14:schemeClr w14:val="tx1"/>
                  </w14:solidFill>
                </w14:textFill>
              </w:rPr>
              <w:t>组长及成员</w:t>
            </w:r>
          </w:p>
        </w:tc>
        <w:tc>
          <w:tcPr>
            <w:tcW w:w="2046" w:type="pct"/>
            <w:noWrap w:val="0"/>
            <w:tcMar>
              <w:left w:w="28" w:type="dxa"/>
              <w:right w:w="28" w:type="dxa"/>
            </w:tcMar>
            <w:vAlign w:val="center"/>
          </w:tcPr>
          <w:p>
            <w:pPr>
              <w:shd w:val="clear" w:color="auto" w:fill="auto"/>
              <w:autoSpaceDE w:val="0"/>
              <w:autoSpaceDN w:val="0"/>
              <w:spacing w:line="360" w:lineRule="auto"/>
              <w:ind w:left="0" w:leftChars="0" w:firstLine="0" w:firstLineChars="0"/>
              <w:jc w:val="center"/>
              <w:rPr>
                <w:rFonts w:hint="eastAsia" w:ascii="黑体" w:hAnsi="黑体" w:eastAsia="黑体" w:cs="黑体"/>
                <w:b w:val="0"/>
                <w:bCs w:val="0"/>
                <w:color w:val="000000" w:themeColor="text1"/>
                <w:kern w:val="0"/>
                <w:sz w:val="24"/>
                <w:szCs w:val="24"/>
                <w:highlight w:val="none"/>
                <w:lang w:val="zh-CN" w:eastAsia="zh-CN"/>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US" w:eastAsia="zh-CN"/>
                <w14:textFill>
                  <w14:solidFill>
                    <w14:schemeClr w14:val="tx1"/>
                  </w14:solidFill>
                </w14:textFil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6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w:t>
            </w:r>
          </w:p>
        </w:tc>
        <w:tc>
          <w:tcPr>
            <w:tcW w:w="568"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综合协调组</w:t>
            </w:r>
          </w:p>
        </w:tc>
        <w:tc>
          <w:tcPr>
            <w:tcW w:w="2117"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组长单位：县住房和城乡建设管理局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成员单位：县应急管理局、事发地乡（镇）人民政府、交城经济开发区管理委员会</w:t>
            </w:r>
          </w:p>
        </w:tc>
        <w:tc>
          <w:tcPr>
            <w:tcW w:w="204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协调各应急小组开展抢险救援工作；收集、汇报、报送事件和救援动态信息；传达、执行应急工作的决策、指令；承办文秘、会务工作；协调、服务、督办各工作组的应急救援工作；记录、整理应急处置信息；完成现场指挥部交办的其他任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26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w:t>
            </w:r>
          </w:p>
        </w:tc>
        <w:tc>
          <w:tcPr>
            <w:tcW w:w="568"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警戒疏散组</w:t>
            </w:r>
          </w:p>
        </w:tc>
        <w:tc>
          <w:tcPr>
            <w:tcW w:w="2117"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组长单位：县公安局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成员单位：县交通运输局、县交通管理大队、事发地乡（镇）人民政府、事发燃气经营企业</w:t>
            </w:r>
          </w:p>
        </w:tc>
        <w:tc>
          <w:tcPr>
            <w:tcW w:w="204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根据燃气突发事件现场情况划定警戒区域，做好事件现场人员疏散工作，禁止无关人员和车辆进入事件现场，进行现场管控、人员疏散及周围物资转移等工作。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8" w:hRule="atLeast"/>
          <w:jc w:val="center"/>
        </w:trPr>
        <w:tc>
          <w:tcPr>
            <w:tcW w:w="26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w:t>
            </w:r>
          </w:p>
        </w:tc>
        <w:tc>
          <w:tcPr>
            <w:tcW w:w="568"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技术保障组</w:t>
            </w:r>
          </w:p>
        </w:tc>
        <w:tc>
          <w:tcPr>
            <w:tcW w:w="2117"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组长单位：县住房和城乡建设管理局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成员单位：县市场监督管理局、县应急管理局、</w:t>
            </w:r>
            <w:r>
              <w:rPr>
                <w:rFonts w:hint="eastAsia" w:ascii="仿宋_GB2312" w:hAnsi="仿宋_GB2312" w:eastAsia="仿宋_GB2312" w:cs="仿宋_GB2312"/>
                <w:color w:val="000000" w:themeColor="text1"/>
                <w:kern w:val="0"/>
                <w:sz w:val="24"/>
                <w:szCs w:val="24"/>
                <w:highlight w:val="none"/>
                <w:shd w:val="clear" w:color="auto" w:fill="auto"/>
                <w:lang w:val="en-US" w:eastAsia="zh-CN" w:bidi="ar-SA"/>
                <w14:textFill>
                  <w14:solidFill>
                    <w14:schemeClr w14:val="tx1"/>
                  </w14:solidFill>
                </w14:textFill>
              </w:rPr>
              <w:t>县消防救援大队</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、市生态环境局交城分局、县气象局、燃气专家及燃气经营企业专业技术人员</w:t>
            </w:r>
          </w:p>
        </w:tc>
        <w:tc>
          <w:tcPr>
            <w:tcW w:w="204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研究分析燃气突发事件信息和有关情况，为应急处置决策提供咨询或建议；参与燃气突发事件调查，对事件处理提出咨询意见；受应急指挥部指派，给予技术支持；分析事件产生原因，提出改进建议。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26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w:t>
            </w:r>
          </w:p>
        </w:tc>
        <w:tc>
          <w:tcPr>
            <w:tcW w:w="568"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事件抢险组</w:t>
            </w:r>
          </w:p>
        </w:tc>
        <w:tc>
          <w:tcPr>
            <w:tcW w:w="2117"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组长单位：县住房和城乡建设管理局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成员单位：县应急管理局、县发展和改革局、</w:t>
            </w:r>
            <w:r>
              <w:rPr>
                <w:rFonts w:hint="eastAsia" w:ascii="仿宋_GB2312" w:hAnsi="仿宋_GB2312" w:eastAsia="仿宋_GB2312" w:cs="仿宋_GB2312"/>
                <w:color w:val="000000" w:themeColor="text1"/>
                <w:kern w:val="0"/>
                <w:sz w:val="24"/>
                <w:szCs w:val="24"/>
                <w:highlight w:val="none"/>
                <w:shd w:val="clear" w:color="auto" w:fill="auto"/>
                <w:lang w:val="en-US" w:eastAsia="zh-CN" w:bidi="ar-SA"/>
                <w14:textFill>
                  <w14:solidFill>
                    <w14:schemeClr w14:val="tx1"/>
                  </w14:solidFill>
                </w14:textFill>
              </w:rPr>
              <w:t>县消防救援大队</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、县公安局、县交通运输局、事发地乡（镇）人民政府、燃气经营企业及供水公司、国网交城县供电分公司、各通信运营企业等有关单位</w:t>
            </w:r>
          </w:p>
        </w:tc>
        <w:tc>
          <w:tcPr>
            <w:tcW w:w="204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掌握燃气突发事件现场动态，参与制定救援方案，指挥、调集专业应急队伍、装备和物资；负责紧急状态下的现场抢险作业、危险源控制、现场灭火、现场伤员的搜救、抢救、道路紧急恢复等。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6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w:t>
            </w:r>
          </w:p>
        </w:tc>
        <w:tc>
          <w:tcPr>
            <w:tcW w:w="568"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医疗救护组</w:t>
            </w:r>
          </w:p>
        </w:tc>
        <w:tc>
          <w:tcPr>
            <w:tcW w:w="2117"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组长单位：县卫生健康局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成员单位：县医疗保障局、县交通运输局、县人民医院、事发地乡（镇）卫生院等</w:t>
            </w:r>
          </w:p>
        </w:tc>
        <w:tc>
          <w:tcPr>
            <w:tcW w:w="204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负责组织有关医疗机构专业人员及时赶赴燃气突发事件现场开展伤病员的医疗救治和转运工作，及时向县燃气应急指挥部办公室通报伤病员医疗救治情况。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8" w:hRule="atLeast"/>
          <w:jc w:val="center"/>
        </w:trPr>
        <w:tc>
          <w:tcPr>
            <w:tcW w:w="26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6</w:t>
            </w:r>
          </w:p>
        </w:tc>
        <w:tc>
          <w:tcPr>
            <w:tcW w:w="568"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应急保障组</w:t>
            </w:r>
          </w:p>
        </w:tc>
        <w:tc>
          <w:tcPr>
            <w:tcW w:w="2117"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组长单位：县应急管理局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成员单位：事发地乡（镇）人民政府、县民政局、县能源局、县工信和科技局、县交通运输局、县城镇供水有限公司、国网交城县供电分公司、各通信运营企业</w:t>
            </w:r>
          </w:p>
        </w:tc>
        <w:tc>
          <w:tcPr>
            <w:tcW w:w="204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负责燃气突发事件事发地生活必需保障、社会稳定维护工作等。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6" w:hRule="atLeast"/>
          <w:jc w:val="center"/>
        </w:trPr>
        <w:tc>
          <w:tcPr>
            <w:tcW w:w="26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7</w:t>
            </w:r>
          </w:p>
        </w:tc>
        <w:tc>
          <w:tcPr>
            <w:tcW w:w="568"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信息报道组</w:t>
            </w:r>
          </w:p>
        </w:tc>
        <w:tc>
          <w:tcPr>
            <w:tcW w:w="2117"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组长单位：县委宣传部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成员单位：事发地乡（镇）人民政府、县融媒体中心、燃气经营企业</w:t>
            </w:r>
          </w:p>
        </w:tc>
        <w:tc>
          <w:tcPr>
            <w:tcW w:w="204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负责燃气突发事件现场的新闻报道工作，协助做好现场及网络舆情控制工作。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jc w:val="center"/>
        </w:trPr>
        <w:tc>
          <w:tcPr>
            <w:tcW w:w="26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8</w:t>
            </w:r>
          </w:p>
        </w:tc>
        <w:tc>
          <w:tcPr>
            <w:tcW w:w="568"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善后工作组</w:t>
            </w:r>
          </w:p>
        </w:tc>
        <w:tc>
          <w:tcPr>
            <w:tcW w:w="2117"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组长单位：县住房和城乡建设管理局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成员单位：县市场监督管理局、县民政局、县财政局、县人力资源和社会保障局、县能源局、县发展和改革局、县工信和科技局、事发地乡（镇）人民政府、交城经济开发区管理委员会、事发燃气经营企业</w:t>
            </w:r>
          </w:p>
        </w:tc>
        <w:tc>
          <w:tcPr>
            <w:tcW w:w="2046" w:type="pct"/>
            <w:noWrap w:val="0"/>
            <w:tcMar>
              <w:left w:w="28" w:type="dxa"/>
              <w:right w:w="2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负责善后处置工作，组织制定恢复与重建计划，及时恢复社会秩序，修复被破坏的城市基础设施，帮助企业恢复生产等工作。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79407"/>
    <w:rsid w:val="3F379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2026-01-15T10:00:00Z</dcterms:created>
  <dc:creator>greatwall</dc:creator>
  <cp:lastModifiedBy>greatwall</cp:lastModifiedBy>
  <dcterms:modified xsi:type="dcterms:W3CDTF">2026-01-15T10:01:03Z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