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4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第五章  优化发展环境</w:t>
      </w:r>
    </w:p>
    <w:p w14:paraId="361C4858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2426"/>
      <w:bookmarkStart w:id="1" w:name="_Toc21130"/>
      <w:bookmarkStart w:id="2" w:name="_Toc7830"/>
      <w:bookmarkStart w:id="3" w:name="_Toc614"/>
      <w:bookmarkStart w:id="4" w:name="_Toc27006"/>
      <w:bookmarkStart w:id="5" w:name="_Toc7436"/>
      <w:bookmarkStart w:id="6" w:name="_Toc21407"/>
      <w:bookmarkStart w:id="7" w:name="_Toc9840"/>
      <w:bookmarkStart w:id="8" w:name="_Toc32338"/>
    </w:p>
    <w:p w14:paraId="0117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第一节  创建一流法治环境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CED91C2"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11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依法保护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合法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权益。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深化拓展支持中小企业发展的法律法规，在市场准入、审批许可、经营运行、招标投标、军民融合等方面为中小企业打造公平竞争的法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治</w:t>
      </w:r>
      <w:bookmarkStart w:id="50" w:name="_GoBack"/>
      <w:bookmarkEnd w:id="50"/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环境。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坚决保护企业及其出资人的财产权和其他合法权益，任何单位和个人不得侵犯企业合法权益。认真贯彻落实《中华人民共和国中小企业促进法》和中央办公厅、国务院办公厅印发的《关于促进中小企业健康发展的指导意见》，依法保障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健康发展。</w:t>
      </w:r>
    </w:p>
    <w:p w14:paraId="7359C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依法处理涉企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依法打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击侵犯专业镇企业知识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产权等违法犯罪，保障中小企业公平参与市场竞争，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最大限度降低对企业正常生产经营活动的影响。构建规范化、市场化的企业退出机制，简化破产企业注销程序。妥善处理历史遗留形成的产权纠纷，保障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债权及时实现。加大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司法救助力度和法律服务力度。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强化对涉及企业及其经营者诉讼活动的法律监督，依法纠正对涉案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违法查封、冻结、扣押等行为，维护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正常生产经营秩序和企业家合法权益。</w:t>
      </w:r>
      <w:bookmarkStart w:id="9" w:name="_Toc26560"/>
      <w:bookmarkStart w:id="10" w:name="_Toc22786"/>
      <w:bookmarkStart w:id="11" w:name="_Toc22162"/>
      <w:bookmarkStart w:id="12" w:name="_Toc24396"/>
      <w:bookmarkStart w:id="13" w:name="_Toc18823"/>
      <w:bookmarkStart w:id="14" w:name="_Toc17331"/>
      <w:bookmarkStart w:id="15" w:name="_Toc20200"/>
    </w:p>
    <w:p w14:paraId="5E05FF00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20434"/>
      <w:bookmarkStart w:id="17" w:name="_Toc8313"/>
    </w:p>
    <w:p w14:paraId="4961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第二节  营造一流政务环境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8FC58E1"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F3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简化行政审批事项。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推进相对集中行政许可权改革，在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一枚印章管审批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审批服务事项划转基础上，建立行政审批与事中事后监管相对分离、相互制约又相互协调的工作机制。完善支持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发展的政策体系，及时公布促进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发展的相关税收优惠政策，以及政府性基金目录、政府定价的经营服务性收费目录、行政事业性收费目录等清单。</w:t>
      </w:r>
    </w:p>
    <w:p w14:paraId="67306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提高行政审批效率。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实现政务服务事项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颗粒化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管理，编制统一、规范的办事指南，完善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马上办、网上办、一次办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事项清单。加快推进线上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一网通办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和线下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只进一扇门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，推进政务服务事项集中办理。实行一站式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服务，精简审批环节，压缩审批时限，形成信息多流动、人员少跑动、线上多互动、线下多联动服务新格局。</w:t>
      </w:r>
      <w:bookmarkStart w:id="18" w:name="_Toc32277"/>
      <w:bookmarkStart w:id="19" w:name="_Toc28462"/>
      <w:bookmarkStart w:id="20" w:name="_Toc9439"/>
      <w:bookmarkStart w:id="21" w:name="_Toc9199"/>
      <w:bookmarkStart w:id="22" w:name="_Toc11917"/>
      <w:bookmarkStart w:id="23" w:name="_Toc15630"/>
      <w:bookmarkStart w:id="24" w:name="_Toc9382"/>
    </w:p>
    <w:p w14:paraId="4EAA1A54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_Toc29174"/>
      <w:bookmarkStart w:id="26" w:name="_Toc11618"/>
    </w:p>
    <w:p w14:paraId="0EF9F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第三节  构建公平发展环境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6714D933"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BB2E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营造公平竞争环境。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在发展环境、政策待遇上实现国有经济与民营经济发展权利平等、机会平等、规则平等，消除各种隐性壁垒，落实市场准入制度统一的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三平等、一统一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目标，努力消除制约民营经济发展的各种体制机制性障碍。加大舆论引导力度，大力宣扬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家创新创业创优的先进事迹，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选树为我市经济发展作出贡献的先进典型。探索建立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荣誉激励体系，健全企业家及高管、高技术人员荣誉认定、管理和服务机制。</w:t>
      </w:r>
    </w:p>
    <w:p w14:paraId="181F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优化一流政商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环境。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规范政商交往行为，明确机关单位工作人员的“负面清单”。完善领导干部联系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制度，党政领导干部应当加强对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的联系和服务，每年安排一定时间深入企业调研指导，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及时了解反映企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诉求，帮助解决实际问题。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健全党政领导干部和部门与企业家常态化联系沟通机制，主动邀请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、协会商会代表参加党委、政府有关会议，充分征求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意见建议。落实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参与相关决策制度，在制定涉及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重大利益的政府规章、规范性文件和作出有关决策前，充分听取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以及协会商会意见。</w:t>
      </w:r>
      <w:bookmarkStart w:id="27" w:name="_Toc565802153"/>
      <w:bookmarkStart w:id="28" w:name="_Toc3363"/>
      <w:bookmarkStart w:id="29" w:name="_Toc7929"/>
      <w:bookmarkStart w:id="30" w:name="_Toc23142"/>
      <w:bookmarkStart w:id="31" w:name="_Toc29454"/>
      <w:bookmarkStart w:id="32" w:name="_Toc22617"/>
      <w:bookmarkStart w:id="33" w:name="_Toc23232"/>
      <w:bookmarkStart w:id="34" w:name="_Toc28930"/>
    </w:p>
    <w:p w14:paraId="04153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5" w:name="_Toc20087"/>
      <w:bookmarkStart w:id="36" w:name="_Toc6914"/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第四节  优化人才发展环境</w:t>
      </w:r>
      <w:bookmarkEnd w:id="27"/>
      <w:bookmarkEnd w:id="35"/>
      <w:bookmarkEnd w:id="36"/>
    </w:p>
    <w:bookmarkEnd w:id="28"/>
    <w:bookmarkEnd w:id="29"/>
    <w:bookmarkEnd w:id="30"/>
    <w:bookmarkEnd w:id="31"/>
    <w:bookmarkEnd w:id="32"/>
    <w:bookmarkEnd w:id="33"/>
    <w:bookmarkEnd w:id="34"/>
    <w:p w14:paraId="313DE549"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579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实施人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才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培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养</w:t>
      </w: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专项行动。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经营管理人才队伍建设，开展重点民营骨干企业领军人才培训，实施百名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家培养计划，通过多种有效途径，培养造就一支思想政治素质好、创业创新能力强、现代经营管理水平高的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领军人才。开展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高级经营管理后备人才的培训，重点提升其现代企业管理能力和打造企业文化的能力。开展专业管理人才的培训，重点抓好财务管理、现代营销、项目管理、现代物流、法律顾问和人力资源管理等六大类专门人才的培训。加大技能型人才的培养力度，加快培养重大项目和战略产业急需技能人才。</w:t>
      </w:r>
    </w:p>
    <w:p w14:paraId="7DB7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优化引才发展环境。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创新各种人才政策激励体系，鼓励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吸引高层次人才，对成功引进海内外顶尖创新科研团队和领军人才的给予配套奖励。建立高层次人才对接帮扶机制，对“三高一特”重点培育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和高新技术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按其贡献给予企业一定人才认定指标。</w:t>
      </w:r>
    </w:p>
    <w:p w14:paraId="7B7388DD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37" w:name="_Toc19616"/>
      <w:bookmarkStart w:id="38" w:name="_Toc30251"/>
      <w:bookmarkStart w:id="39" w:name="_Toc608444172"/>
      <w:bookmarkStart w:id="40" w:name="_Toc15982"/>
      <w:bookmarkStart w:id="41" w:name="_Toc8651"/>
      <w:bookmarkStart w:id="42" w:name="_Toc28150"/>
      <w:bookmarkStart w:id="43" w:name="_Toc805"/>
    </w:p>
    <w:p w14:paraId="6751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第五节  创优金融支持</w:t>
      </w:r>
      <w:bookmarkEnd w:id="37"/>
      <w:bookmarkEnd w:id="38"/>
      <w:bookmarkEnd w:id="39"/>
      <w:bookmarkEnd w:id="40"/>
      <w:bookmarkEnd w:id="41"/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</w:t>
      </w:r>
      <w:bookmarkEnd w:id="42"/>
      <w:bookmarkEnd w:id="43"/>
    </w:p>
    <w:p w14:paraId="77D45BB7"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4" w:name="_Toc26468"/>
      <w:bookmarkStart w:id="45" w:name="_Toc31917"/>
      <w:bookmarkStart w:id="46" w:name="_Toc12637"/>
      <w:bookmarkStart w:id="47" w:name="_Toc14572"/>
      <w:bookmarkStart w:id="48" w:name="_Toc18597"/>
      <w:bookmarkStart w:id="49" w:name="_Toc18889"/>
    </w:p>
    <w:p w14:paraId="1A5CE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拓宽企业融资渠道。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鼓励金融机构设立面向中小企业的专门贷款机构，积极创新融资产品、融资机制。通过健全多层次信贷服务体系、强化基金支撑、开展应急转贷服务等措施，鼓励金融机构更多投向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。利用多层次资本市场融资渠道，支持符合条件的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通过发行企业债券进行直接融资。指导支持优质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利用主板、科创板、新三板改革政策机遇，实现上市、挂牌融资和债券融资。鼓励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发起设立或参与股权投资基金，参与基础设施、高端产业和公共事业等重点领域投资。</w:t>
      </w:r>
    </w:p>
    <w:p w14:paraId="29F86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强化政银保企合作。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搭建政银保企交流平台，建</w:t>
      </w:r>
      <w:r>
        <w:rPr>
          <w:rFonts w:ascii="Times New Roman" w:hAnsi="Times New Roman" w:eastAsia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立工作协调机制和客户推介机制。组织政、银、保、企合作活动，梳理中小企业客户需求，按照国家宏观经济政策、产业发展政策和信贷、担保业务特点、业务流程及风险偏好等要求，建立四方有效衔接的合作机制。</w:t>
      </w:r>
      <w:bookmarkEnd w:id="44"/>
      <w:bookmarkEnd w:id="45"/>
      <w:bookmarkEnd w:id="46"/>
      <w:bookmarkEnd w:id="47"/>
      <w:bookmarkEnd w:id="48"/>
      <w:bookmarkEnd w:id="49"/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动核心企业为上下游链条企业增信，促进上下游企业获得订单融资、应收应付账款融资。发挥好企业资金链应急周转保障资金作用。支持金融机构开展差别化信贷和投贷联动等融资服务。推进产融结合，鼓励国内外金融机构设立为科技企业提供服务的专营机构，营造科技、金融、产业一体化的生态环境。</w:t>
      </w:r>
    </w:p>
    <w:p w14:paraId="28478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35BE8"/>
    <w:rsid w:val="49BF4AEF"/>
    <w:rsid w:val="5AD3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2062</Words>
  <Characters>2062</Characters>
  <Lines>0</Lines>
  <Paragraphs>0</Paragraphs>
  <TotalTime>0</TotalTime>
  <ScaleCrop>false</ScaleCrop>
  <LinksUpToDate>false</LinksUpToDate>
  <CharactersWithSpaces>2074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2024-11-13T10:44:00Z</dcterms:created>
  <dc:creator>greatwall</dc:creator>
  <cp:lastModifiedBy>成</cp:lastModifiedBy>
  <dcterms:modified xsi:type="dcterms:W3CDTF">2025-09-12T02:19:55Z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eyJoZGlkIjoiYzhiZDY4YjQ3MTExMWUwZTQzNDEyNzQxZDIxMzNjZTQiLCJ1c2VySWQiOiIxMTQ5OTg3NTc2In0=</vt:lpwstr>
  </property>
  <property fmtid="{D5CDD505-2E9C-101B-9397-08002B2CF9AE}" pid="4" name="ICV">
    <vt:lpwstr>85214766236C42B1BE50819FDFD0EC86_12</vt:lpwstr>
  </property>
</Properties>
</file>