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after="0" w:line="578" w:lineRule="exact"/>
        <w:ind w:firstLine="0" w:firstLineChars="0"/>
        <w:jc w:val="center"/>
        <w:textAlignment w:val="auto"/>
        <w:outlineLvl w:val="9"/>
        <w:rPr>
          <w:rFonts w:hint="eastAsia" w:ascii="黑体" w:hAnsi="黑体" w:eastAsia="黑体" w:cs="黑体"/>
          <w:b w:val="0"/>
          <w:bCs w:val="0"/>
          <w:color w:val="000000" w:themeColor="text1"/>
          <w:spacing w:val="0"/>
          <w:sz w:val="32"/>
          <w:szCs w:val="32"/>
          <w:lang w:val="en-US" w:eastAsia="zh-CN"/>
          <w14:textFill>
            <w14:solidFill>
              <w14:schemeClr w14:val="tx1"/>
            </w14:solidFill>
          </w14:textFill>
        </w:rPr>
      </w:pPr>
      <w:bookmarkStart w:id="31" w:name="_GoBack"/>
      <w:bookmarkStart w:id="0" w:name="_Toc26020"/>
      <w:r>
        <w:rPr>
          <w:rFonts w:hint="eastAsia" w:ascii="黑体" w:hAnsi="黑体" w:eastAsia="黑体" w:cs="黑体"/>
          <w:b w:val="0"/>
          <w:bCs w:val="0"/>
          <w:color w:val="000000" w:themeColor="text1"/>
          <w:spacing w:val="0"/>
          <w:sz w:val="32"/>
          <w:szCs w:val="32"/>
          <w:lang w:val="en-US" w:eastAsia="zh-CN"/>
          <w14:textFill>
            <w14:solidFill>
              <w14:schemeClr w14:val="tx1"/>
            </w14:solidFill>
          </w14:textFill>
        </w:rPr>
        <w:t>第一章  规划背景</w:t>
      </w:r>
      <w:bookmarkEnd w:id="0"/>
    </w:p>
    <w:bookmarkEnd w:id="31"/>
    <w:p>
      <w:pPr>
        <w:keepNext w:val="0"/>
        <w:keepLines w:val="0"/>
        <w:pageBreakBefore w:val="0"/>
        <w:widowControl w:val="0"/>
        <w:kinsoku/>
        <w:wordWrap/>
        <w:overflowPunct/>
        <w:topLinePunct w:val="0"/>
        <w:autoSpaceDE/>
        <w:autoSpaceDN/>
        <w:bidi w:val="0"/>
        <w:adjustRightInd/>
        <w:snapToGrid/>
        <w:spacing w:line="578" w:lineRule="exact"/>
        <w:ind w:firstLine="0" w:firstLineChars="0"/>
        <w:jc w:val="both"/>
        <w:textAlignment w:val="auto"/>
        <w:outlineLvl w:val="9"/>
        <w:rPr>
          <w:rFonts w:hint="eastAsia" w:ascii="楷体" w:hAnsi="楷体" w:eastAsia="楷体" w:cs="楷体"/>
          <w:color w:val="000000" w:themeColor="text1"/>
          <w:spacing w:val="0"/>
          <w:sz w:val="32"/>
          <w:szCs w:val="32"/>
          <w14:textFill>
            <w14:solidFill>
              <w14:schemeClr w14:val="tx1"/>
            </w14:solidFill>
          </w14:textFill>
        </w:rPr>
      </w:pPr>
      <w:bookmarkStart w:id="1" w:name="_Toc25438"/>
      <w:bookmarkStart w:id="2" w:name="_Toc10288"/>
      <w:bookmarkStart w:id="3" w:name="_Toc13097"/>
      <w:bookmarkStart w:id="4" w:name="_Toc24166"/>
      <w:bookmarkStart w:id="5" w:name="_Toc14797"/>
      <w:bookmarkStart w:id="6" w:name="_Toc26021"/>
      <w:bookmarkStart w:id="7" w:name="_Toc1809"/>
      <w:bookmarkStart w:id="8" w:name="_Toc20665"/>
      <w:bookmarkStart w:id="9" w:name="_Toc30215"/>
    </w:p>
    <w:p>
      <w:pPr>
        <w:keepNext w:val="0"/>
        <w:keepLines w:val="0"/>
        <w:pageBreakBefore w:val="0"/>
        <w:widowControl w:val="0"/>
        <w:kinsoku/>
        <w:wordWrap/>
        <w:overflowPunct/>
        <w:topLinePunct w:val="0"/>
        <w:autoSpaceDE/>
        <w:autoSpaceDN/>
        <w:bidi w:val="0"/>
        <w:adjustRightInd/>
        <w:snapToGrid/>
        <w:spacing w:line="578" w:lineRule="exact"/>
        <w:ind w:firstLine="0" w:firstLineChars="0"/>
        <w:jc w:val="center"/>
        <w:textAlignment w:val="auto"/>
        <w:outlineLvl w:val="9"/>
        <w:rPr>
          <w:rFonts w:hint="eastAsia" w:ascii="楷体_GB2312" w:hAnsi="楷体_GB2312" w:eastAsia="楷体_GB2312" w:cs="楷体_GB2312"/>
          <w:b w:val="0"/>
          <w:bCs/>
          <w:color w:val="000000" w:themeColor="text1"/>
          <w:spacing w:val="0"/>
          <w:kern w:val="2"/>
          <w:sz w:val="32"/>
          <w:szCs w:val="32"/>
          <w:lang w:val="en-US" w:eastAsia="zh-CN" w:bidi="ar-SA"/>
          <w14:textFill>
            <w14:solidFill>
              <w14:schemeClr w14:val="tx1"/>
            </w14:solidFill>
          </w14:textFill>
        </w:rPr>
      </w:pPr>
      <w:r>
        <w:rPr>
          <w:rFonts w:hint="eastAsia" w:ascii="楷体_GB2312" w:hAnsi="楷体_GB2312" w:eastAsia="楷体_GB2312" w:cs="楷体_GB2312"/>
          <w:color w:val="000000" w:themeColor="text1"/>
          <w:spacing w:val="0"/>
          <w:sz w:val="32"/>
          <w:szCs w:val="32"/>
          <w14:textFill>
            <w14:solidFill>
              <w14:schemeClr w14:val="tx1"/>
            </w14:solidFill>
          </w14:textFill>
        </w:rPr>
        <w:t xml:space="preserve">第一节  </w:t>
      </w:r>
      <w:r>
        <w:rPr>
          <w:rFonts w:hint="eastAsia" w:ascii="楷体_GB2312" w:hAnsi="楷体_GB2312" w:eastAsia="楷体_GB2312" w:cs="楷体_GB2312"/>
          <w:color w:val="000000" w:themeColor="text1"/>
          <w:spacing w:val="0"/>
          <w:sz w:val="32"/>
          <w:szCs w:val="32"/>
          <w:lang w:val="en-US" w:eastAsia="zh-CN"/>
          <w14:textFill>
            <w14:solidFill>
              <w14:schemeClr w14:val="tx1"/>
            </w14:solidFill>
          </w14:textFill>
        </w:rPr>
        <w:t>发展基础</w:t>
      </w:r>
      <w:bookmarkEnd w:id="1"/>
      <w:bookmarkEnd w:id="2"/>
      <w:bookmarkEnd w:id="3"/>
      <w:bookmarkEnd w:id="4"/>
      <w:bookmarkEnd w:id="5"/>
      <w:bookmarkEnd w:id="6"/>
      <w:bookmarkEnd w:id="7"/>
      <w:bookmarkEnd w:id="8"/>
      <w:bookmarkEnd w:id="9"/>
    </w:p>
    <w:p>
      <w:pPr>
        <w:keepNext w:val="0"/>
        <w:keepLines w:val="0"/>
        <w:pageBreakBefore w:val="0"/>
        <w:widowControl w:val="0"/>
        <w:suppressLineNumbers w:val="0"/>
        <w:kinsoku/>
        <w:wordWrap/>
        <w:overflowPunct/>
        <w:topLinePunct w:val="0"/>
        <w:autoSpaceDE/>
        <w:autoSpaceDN/>
        <w:bidi w:val="0"/>
        <w:adjustRightInd/>
        <w:snapToGrid/>
        <w:spacing w:line="578" w:lineRule="exact"/>
        <w:jc w:val="both"/>
        <w:textAlignment w:val="auto"/>
        <w:outlineLvl w:val="9"/>
        <w:rPr>
          <w:rFonts w:hint="eastAsia" w:ascii="仿宋_GB2312" w:hAnsi="仿宋_GB2312" w:eastAsia="仿宋_GB2312" w:cs="仿宋_GB2312"/>
          <w:color w:val="000000" w:themeColor="text1"/>
          <w:spacing w:val="0"/>
          <w:kern w:val="0"/>
          <w:sz w:val="32"/>
          <w:szCs w:val="32"/>
          <w:lang w:val="en-US" w:eastAsia="zh-CN" w:bidi="ar"/>
          <w14:textFill>
            <w14:solidFill>
              <w14:schemeClr w14:val="tx1"/>
            </w14:solidFill>
          </w14:textFill>
        </w:rPr>
      </w:pPr>
    </w:p>
    <w:p>
      <w:pPr>
        <w:keepNext w:val="0"/>
        <w:keepLines w:val="0"/>
        <w:pageBreakBefore w:val="0"/>
        <w:widowControl w:val="0"/>
        <w:suppressLineNumbers w:val="0"/>
        <w:kinsoku/>
        <w:wordWrap/>
        <w:overflowPunct/>
        <w:topLinePunct w:val="0"/>
        <w:autoSpaceDE/>
        <w:autoSpaceDN/>
        <w:bidi w:val="0"/>
        <w:adjustRightInd/>
        <w:snapToGrid/>
        <w:spacing w:line="578" w:lineRule="exact"/>
        <w:ind w:firstLine="640" w:firstLineChars="200"/>
        <w:jc w:val="both"/>
        <w:textAlignment w:val="auto"/>
        <w:outlineLvl w:val="9"/>
        <w:rPr>
          <w:rFonts w:hint="eastAsia"/>
          <w:color w:val="000000" w:themeColor="text1"/>
          <w:spacing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kern w:val="0"/>
          <w:sz w:val="32"/>
          <w:szCs w:val="32"/>
          <w:lang w:val="en-US" w:eastAsia="zh-CN" w:bidi="ar"/>
          <w14:textFill>
            <w14:solidFill>
              <w14:schemeClr w14:val="tx1"/>
            </w14:solidFill>
          </w14:textFill>
        </w:rPr>
        <w:t>肥料产业作为交城县传统特色产业，</w:t>
      </w:r>
      <w:r>
        <w:rPr>
          <w:rFonts w:hint="eastAsia" w:ascii="仿宋_GB2312" w:hAnsi="仿宋_GB2312" w:eastAsia="仿宋_GB2312" w:cs="仿宋_GB2312"/>
          <w:color w:val="000000" w:themeColor="text1"/>
          <w:spacing w:val="0"/>
          <w:sz w:val="32"/>
          <w:szCs w:val="32"/>
          <w:highlight w:val="none"/>
          <w:shd w:val="clear" w:color="auto" w:fill="auto"/>
          <w:lang w:val="en-US" w:eastAsia="zh-CN"/>
          <w14:textFill>
            <w14:solidFill>
              <w14:schemeClr w14:val="tx1"/>
            </w14:solidFill>
          </w14:textFill>
        </w:rPr>
        <w:t>起步于上世纪</w:t>
      </w:r>
      <w:r>
        <w:rPr>
          <w:rFonts w:hint="default" w:ascii="仿宋_GB2312" w:hAnsi="仿宋_GB2312" w:eastAsia="仿宋_GB2312" w:cs="仿宋_GB2312"/>
          <w:color w:val="000000" w:themeColor="text1"/>
          <w:spacing w:val="0"/>
          <w:sz w:val="32"/>
          <w:szCs w:val="32"/>
          <w:highlight w:val="none"/>
          <w:shd w:val="clear" w:color="auto" w:fill="auto"/>
          <w:lang w:val="en-US" w:eastAsia="zh-CN"/>
          <w14:textFill>
            <w14:solidFill>
              <w14:schemeClr w14:val="tx1"/>
            </w14:solidFill>
          </w14:textFill>
        </w:rPr>
        <w:t>70年代初期，</w:t>
      </w:r>
      <w:r>
        <w:rPr>
          <w:rFonts w:hint="eastAsia" w:ascii="仿宋_GB2312" w:hAnsi="仿宋_GB2312" w:eastAsia="仿宋_GB2312" w:cs="仿宋_GB2312"/>
          <w:color w:val="000000" w:themeColor="text1"/>
          <w:spacing w:val="0"/>
          <w:sz w:val="32"/>
          <w:szCs w:val="32"/>
          <w:highlight w:val="none"/>
          <w:shd w:val="clear" w:color="auto" w:fill="auto"/>
          <w:lang w:val="en-US" w:eastAsia="zh-CN"/>
          <w14:textFill>
            <w14:solidFill>
              <w14:schemeClr w14:val="tx1"/>
            </w14:solidFill>
          </w14:textFill>
        </w:rPr>
        <w:t>至今在高质量发展道路上深耕30余载。</w:t>
      </w:r>
      <w:r>
        <w:rPr>
          <w:rFonts w:ascii="仿宋_GB2312" w:hAnsi="宋体" w:eastAsia="仿宋_GB2312" w:cs="仿宋_GB2312"/>
          <w:i w:val="0"/>
          <w:iCs w:val="0"/>
          <w:caps w:val="0"/>
          <w:color w:val="000000" w:themeColor="text1"/>
          <w:spacing w:val="0"/>
          <w:sz w:val="32"/>
          <w:szCs w:val="32"/>
          <w14:textFill>
            <w14:solidFill>
              <w14:schemeClr w14:val="tx1"/>
            </w14:solidFill>
          </w14:textFill>
        </w:rPr>
        <w:t>在省委、省政府和市委、市政府坚强领导下，全</w:t>
      </w:r>
      <w:r>
        <w:rPr>
          <w:rFonts w:hint="eastAsia" w:ascii="仿宋_GB2312" w:hAnsi="宋体" w:eastAsia="仿宋_GB2312" w:cs="仿宋_GB2312"/>
          <w:i w:val="0"/>
          <w:iCs w:val="0"/>
          <w:caps w:val="0"/>
          <w:color w:val="000000" w:themeColor="text1"/>
          <w:spacing w:val="0"/>
          <w:sz w:val="32"/>
          <w:szCs w:val="32"/>
          <w:lang w:val="en-US" w:eastAsia="zh-CN"/>
          <w14:textFill>
            <w14:solidFill>
              <w14:schemeClr w14:val="tx1"/>
            </w14:solidFill>
          </w14:textFill>
        </w:rPr>
        <w:t>县</w:t>
      </w:r>
      <w:r>
        <w:rPr>
          <w:rFonts w:hint="default" w:ascii="仿宋_GB2312" w:hAnsi="宋体" w:eastAsia="仿宋_GB2312" w:cs="仿宋_GB2312"/>
          <w:i w:val="0"/>
          <w:iCs w:val="0"/>
          <w:caps w:val="0"/>
          <w:color w:val="000000" w:themeColor="text1"/>
          <w:spacing w:val="0"/>
          <w:sz w:val="32"/>
          <w:szCs w:val="32"/>
          <w14:textFill>
            <w14:solidFill>
              <w14:schemeClr w14:val="tx1"/>
            </w14:solidFill>
          </w14:textFill>
        </w:rPr>
        <w:t>上下深入实施“工业强</w:t>
      </w:r>
      <w:r>
        <w:rPr>
          <w:rFonts w:hint="eastAsia" w:ascii="仿宋_GB2312" w:hAnsi="宋体" w:eastAsia="仿宋_GB2312" w:cs="仿宋_GB2312"/>
          <w:i w:val="0"/>
          <w:iCs w:val="0"/>
          <w:caps w:val="0"/>
          <w:color w:val="000000" w:themeColor="text1"/>
          <w:spacing w:val="0"/>
          <w:sz w:val="32"/>
          <w:szCs w:val="32"/>
          <w:lang w:val="en-US" w:eastAsia="zh-CN"/>
          <w14:textFill>
            <w14:solidFill>
              <w14:schemeClr w14:val="tx1"/>
            </w14:solidFill>
          </w14:textFill>
        </w:rPr>
        <w:t>县</w:t>
      </w:r>
      <w:r>
        <w:rPr>
          <w:rFonts w:hint="default" w:ascii="仿宋_GB2312" w:hAnsi="宋体" w:eastAsia="仿宋_GB2312" w:cs="仿宋_GB2312"/>
          <w:i w:val="0"/>
          <w:iCs w:val="0"/>
          <w:caps w:val="0"/>
          <w:color w:val="000000" w:themeColor="text1"/>
          <w:spacing w:val="0"/>
          <w:sz w:val="32"/>
          <w:szCs w:val="32"/>
          <w14:textFill>
            <w14:solidFill>
              <w14:schemeClr w14:val="tx1"/>
            </w14:solidFill>
          </w14:textFill>
        </w:rPr>
        <w:t>”战略，</w:t>
      </w:r>
      <w:r>
        <w:rPr>
          <w:rFonts w:ascii="仿宋_GB2312" w:hAnsi="仿宋_GB2312" w:eastAsia="仿宋_GB2312" w:cs="仿宋_GB2312"/>
          <w:color w:val="000000" w:themeColor="text1"/>
          <w:spacing w:val="0"/>
          <w:kern w:val="0"/>
          <w:sz w:val="32"/>
          <w:szCs w:val="32"/>
          <w:lang w:val="en-US" w:eastAsia="zh-CN" w:bidi="ar"/>
          <w14:textFill>
            <w14:solidFill>
              <w14:schemeClr w14:val="tx1"/>
            </w14:solidFill>
          </w14:textFill>
        </w:rPr>
        <w:t>锚定“转型引领</w:t>
      </w:r>
      <w:r>
        <w:rPr>
          <w:rFonts w:hint="eastAsia" w:ascii="仿宋" w:hAnsi="仿宋" w:eastAsia="仿宋" w:cs="仿宋"/>
          <w:color w:val="000000" w:themeColor="text1"/>
          <w:spacing w:val="0"/>
          <w:kern w:val="0"/>
          <w:sz w:val="32"/>
          <w:szCs w:val="32"/>
          <w:lang w:val="en-US" w:eastAsia="zh-CN" w:bidi="ar"/>
          <w14:textFill>
            <w14:solidFill>
              <w14:schemeClr w14:val="tx1"/>
            </w14:solidFill>
          </w14:textFill>
        </w:rPr>
        <w:t>蹚</w:t>
      </w:r>
      <w:r>
        <w:rPr>
          <w:rFonts w:ascii="仿宋_GB2312" w:hAnsi="仿宋_GB2312" w:eastAsia="仿宋_GB2312" w:cs="仿宋_GB2312"/>
          <w:color w:val="000000" w:themeColor="text1"/>
          <w:spacing w:val="0"/>
          <w:kern w:val="0"/>
          <w:sz w:val="32"/>
          <w:szCs w:val="32"/>
          <w:lang w:val="en-US" w:eastAsia="zh-CN" w:bidi="ar"/>
          <w14:textFill>
            <w14:solidFill>
              <w14:schemeClr w14:val="tx1"/>
            </w14:solidFill>
          </w14:textFill>
        </w:rPr>
        <w:t>出新路、挺进全省第一方阵”战略目标，</w:t>
      </w:r>
      <w:r>
        <w:rPr>
          <w:rFonts w:hint="eastAsia" w:ascii="仿宋_GB2312" w:hAnsi="仿宋_GB2312" w:eastAsia="仿宋_GB2312" w:cs="仿宋_GB2312"/>
          <w:color w:val="000000" w:themeColor="text1"/>
          <w:spacing w:val="0"/>
          <w:kern w:val="0"/>
          <w:sz w:val="32"/>
          <w:szCs w:val="32"/>
          <w:lang w:val="en-US" w:eastAsia="zh-CN" w:bidi="ar"/>
          <w14:textFill>
            <w14:solidFill>
              <w14:schemeClr w14:val="tx1"/>
            </w14:solidFill>
          </w14:textFill>
        </w:rPr>
        <w:t>主动</w:t>
      </w:r>
      <w:r>
        <w:rPr>
          <w:rFonts w:hint="eastAsia" w:ascii="Times New Roman" w:hAnsi="Times New Roman" w:eastAsia="仿宋_GB2312" w:cs="Times New Roman"/>
          <w:b w:val="0"/>
          <w:bCs/>
          <w:color w:val="000000" w:themeColor="text1"/>
          <w:spacing w:val="0"/>
          <w:kern w:val="2"/>
          <w:sz w:val="32"/>
          <w:szCs w:val="32"/>
          <w:lang w:val="en-US" w:eastAsia="zh-CN" w:bidi="ar-SA"/>
          <w14:textFill>
            <w14:solidFill>
              <w14:schemeClr w14:val="tx1"/>
            </w14:solidFill>
          </w14:textFill>
        </w:rPr>
        <w:t>探索和实践硝基复合肥产业高质量内涵式发展新路径，呈现出产业聚集度不断增强、质量效益稳步提高、龙头企业效应凸显、关键技术接续突破、产业链条合理延伸等特征，</w:t>
      </w:r>
      <w:r>
        <w:rPr>
          <w:rFonts w:ascii="仿宋_GB2312" w:hAnsi="仿宋_GB2312" w:eastAsia="仿宋_GB2312" w:cs="仿宋_GB2312"/>
          <w:color w:val="000000" w:themeColor="text1"/>
          <w:spacing w:val="0"/>
          <w:kern w:val="0"/>
          <w:sz w:val="32"/>
          <w:szCs w:val="32"/>
          <w:lang w:val="en-US" w:eastAsia="zh-CN" w:bidi="ar"/>
          <w14:textFill>
            <w14:solidFill>
              <w14:schemeClr w14:val="tx1"/>
            </w14:solidFill>
          </w14:textFill>
        </w:rPr>
        <w:t>具有良好基础和发展潜力的</w:t>
      </w:r>
      <w:r>
        <w:rPr>
          <w:rFonts w:hint="eastAsia" w:ascii="仿宋_GB2312" w:hAnsi="仿宋_GB2312" w:eastAsia="仿宋_GB2312" w:cs="仿宋_GB2312"/>
          <w:color w:val="000000" w:themeColor="text1"/>
          <w:spacing w:val="0"/>
          <w:kern w:val="0"/>
          <w:sz w:val="32"/>
          <w:szCs w:val="32"/>
          <w:lang w:val="en-US" w:eastAsia="zh-CN" w:bidi="ar"/>
          <w14:textFill>
            <w14:solidFill>
              <w14:schemeClr w14:val="tx1"/>
            </w14:solidFill>
          </w14:textFill>
        </w:rPr>
        <w:t>交城硝基复合肥</w:t>
      </w:r>
      <w:r>
        <w:rPr>
          <w:rFonts w:ascii="仿宋_GB2312" w:hAnsi="仿宋_GB2312" w:eastAsia="仿宋_GB2312" w:cs="仿宋_GB2312"/>
          <w:color w:val="000000" w:themeColor="text1"/>
          <w:spacing w:val="0"/>
          <w:kern w:val="0"/>
          <w:sz w:val="32"/>
          <w:szCs w:val="32"/>
          <w:lang w:val="en-US" w:eastAsia="zh-CN" w:bidi="ar"/>
          <w14:textFill>
            <w14:solidFill>
              <w14:schemeClr w14:val="tx1"/>
            </w14:solidFill>
          </w14:textFill>
        </w:rPr>
        <w:t>产业集群</w:t>
      </w:r>
      <w:r>
        <w:rPr>
          <w:rFonts w:hint="eastAsia" w:ascii="仿宋_GB2312" w:hAnsi="仿宋_GB2312" w:eastAsia="仿宋_GB2312" w:cs="仿宋_GB2312"/>
          <w:color w:val="000000" w:themeColor="text1"/>
          <w:spacing w:val="0"/>
          <w:kern w:val="0"/>
          <w:sz w:val="32"/>
          <w:szCs w:val="32"/>
          <w:lang w:val="en-US" w:eastAsia="zh-CN" w:bidi="ar"/>
          <w14:textFill>
            <w14:solidFill>
              <w14:schemeClr w14:val="tx1"/>
            </w14:solidFill>
          </w14:textFill>
        </w:rPr>
        <w:t>基本</w:t>
      </w:r>
      <w:r>
        <w:rPr>
          <w:rFonts w:ascii="仿宋_GB2312" w:hAnsi="仿宋_GB2312" w:eastAsia="仿宋_GB2312" w:cs="仿宋_GB2312"/>
          <w:color w:val="000000" w:themeColor="text1"/>
          <w:spacing w:val="0"/>
          <w:kern w:val="0"/>
          <w:sz w:val="32"/>
          <w:szCs w:val="32"/>
          <w:lang w:val="en-US" w:eastAsia="zh-CN" w:bidi="ar"/>
          <w14:textFill>
            <w14:solidFill>
              <w14:schemeClr w14:val="tx1"/>
            </w14:solidFill>
          </w14:textFill>
        </w:rPr>
        <w:t>形成</w:t>
      </w:r>
      <w:r>
        <w:rPr>
          <w:rFonts w:hint="eastAsia" w:ascii="仿宋_GB2312" w:hAnsi="仿宋_GB2312" w:eastAsia="仿宋_GB2312" w:cs="仿宋_GB2312"/>
          <w:color w:val="000000" w:themeColor="text1"/>
          <w:spacing w:val="0"/>
          <w:kern w:val="0"/>
          <w:sz w:val="32"/>
          <w:szCs w:val="32"/>
          <w:lang w:val="en-US" w:eastAsia="zh-CN" w:bidi="ar"/>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2" w:firstLineChars="200"/>
        <w:jc w:val="both"/>
        <w:textAlignment w:val="auto"/>
        <w:outlineLvl w:val="9"/>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pPr>
      <w:r>
        <w:rPr>
          <w:rFonts w:ascii="Times New Roman" w:hAnsi="Times New Roman" w:eastAsia="仿宋_GB2312"/>
          <w:b/>
          <w:bCs/>
          <w:color w:val="000000" w:themeColor="text1"/>
          <w:spacing w:val="0"/>
          <w:sz w:val="32"/>
          <w:szCs w:val="32"/>
          <w14:textFill>
            <w14:solidFill>
              <w14:schemeClr w14:val="tx1"/>
            </w14:solidFill>
          </w14:textFill>
        </w:rPr>
        <w:t>规模效益稳定增长。</w:t>
      </w:r>
      <w:r>
        <w:rPr>
          <w:rFonts w:hint="eastAsia" w:ascii="Times New Roman" w:hAnsi="Times New Roman" w:eastAsia="仿宋_GB2312"/>
          <w:b w:val="0"/>
          <w:bCs w:val="0"/>
          <w:color w:val="000000" w:themeColor="text1"/>
          <w:spacing w:val="0"/>
          <w:sz w:val="32"/>
          <w:szCs w:val="32"/>
          <w:lang w:val="en-US" w:eastAsia="zh-CN"/>
          <w14:textFill>
            <w14:solidFill>
              <w14:schemeClr w14:val="tx1"/>
            </w14:solidFill>
          </w14:textFill>
        </w:rPr>
        <w:t>交</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城硝基复合肥专业镇有注册登记肥料</w:t>
      </w:r>
      <w:r>
        <w:rPr>
          <w:rFonts w:hint="default" w:ascii="仿宋_GB2312" w:hAnsi="仿宋_GB2312" w:eastAsia="仿宋_GB2312" w:cs="仿宋_GB2312"/>
          <w:color w:val="000000" w:themeColor="text1"/>
          <w:spacing w:val="0"/>
          <w:sz w:val="32"/>
          <w:szCs w:val="32"/>
          <w:lang w:val="en-US" w:eastAsia="zh-CN"/>
          <w14:textFill>
            <w14:solidFill>
              <w14:schemeClr w14:val="tx1"/>
            </w14:solidFill>
          </w14:textFill>
        </w:rPr>
        <w:t>企业</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32家</w:t>
      </w:r>
      <w:r>
        <w:rPr>
          <w:rFonts w:hint="default" w:ascii="仿宋_GB2312" w:hAnsi="仿宋_GB2312" w:eastAsia="仿宋_GB2312" w:cs="仿宋_GB2312"/>
          <w:color w:val="000000" w:themeColor="text1"/>
          <w:spacing w:val="0"/>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其中正常生产经营企业28家，</w:t>
      </w:r>
      <w:r>
        <w:rPr>
          <w:rFonts w:hint="default" w:ascii="仿宋_GB2312" w:hAnsi="仿宋_GB2312" w:eastAsia="仿宋_GB2312" w:cs="仿宋_GB2312"/>
          <w:color w:val="000000" w:themeColor="text1"/>
          <w:spacing w:val="0"/>
          <w:sz w:val="32"/>
          <w:szCs w:val="32"/>
          <w:lang w:val="en-US" w:eastAsia="zh-CN"/>
          <w14:textFill>
            <w14:solidFill>
              <w14:schemeClr w14:val="tx1"/>
            </w14:solidFill>
          </w14:textFill>
        </w:rPr>
        <w:t>硝</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基</w:t>
      </w:r>
      <w:r>
        <w:rPr>
          <w:rFonts w:hint="default" w:ascii="仿宋_GB2312" w:hAnsi="仿宋_GB2312" w:eastAsia="仿宋_GB2312" w:cs="仿宋_GB2312"/>
          <w:color w:val="000000" w:themeColor="text1"/>
          <w:spacing w:val="0"/>
          <w:sz w:val="32"/>
          <w:szCs w:val="32"/>
          <w:lang w:val="en-US" w:eastAsia="zh-CN"/>
          <w14:textFill>
            <w14:solidFill>
              <w14:schemeClr w14:val="tx1"/>
            </w14:solidFill>
          </w14:textFill>
        </w:rPr>
        <w:t>复合肥产能达300万吨，</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2023年实现产值55.52亿元，占县域工业比重20.88%，营收55.9亿元。</w:t>
      </w:r>
      <w:r>
        <w:rPr>
          <w:rFonts w:hint="default" w:ascii="仿宋_GB2312" w:hAnsi="仿宋_GB2312" w:eastAsia="仿宋_GB2312" w:cs="仿宋_GB2312"/>
          <w:color w:val="000000" w:themeColor="text1"/>
          <w:spacing w:val="0"/>
          <w:sz w:val="32"/>
          <w:szCs w:val="32"/>
          <w:lang w:val="en-US" w:eastAsia="zh-CN"/>
          <w14:textFill>
            <w14:solidFill>
              <w14:schemeClr w14:val="tx1"/>
            </w14:solidFill>
          </w14:textFill>
        </w:rPr>
        <w:t>主导产品包括硝酸铵钙、硝酸钙、硝酸镁</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等</w:t>
      </w:r>
      <w:r>
        <w:rPr>
          <w:rFonts w:hint="default" w:ascii="仿宋_GB2312" w:hAnsi="仿宋_GB2312" w:eastAsia="仿宋_GB2312" w:cs="仿宋_GB2312"/>
          <w:color w:val="000000" w:themeColor="text1"/>
          <w:spacing w:val="0"/>
          <w:sz w:val="32"/>
          <w:szCs w:val="32"/>
          <w:lang w:val="en-US" w:eastAsia="zh-CN"/>
          <w14:textFill>
            <w14:solidFill>
              <w14:schemeClr w14:val="tx1"/>
            </w14:solidFill>
          </w14:textFill>
        </w:rPr>
        <w:t>35个品种</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，产品畅销全国20多个省市区，出口</w:t>
      </w:r>
      <w:r>
        <w:rPr>
          <w:rFonts w:hint="default" w:ascii="仿宋_GB2312" w:hAnsi="仿宋_GB2312" w:eastAsia="仿宋_GB2312" w:cs="仿宋_GB2312"/>
          <w:color w:val="000000" w:themeColor="text1"/>
          <w:spacing w:val="0"/>
          <w:sz w:val="32"/>
          <w:szCs w:val="32"/>
          <w:lang w:val="en-US" w:eastAsia="zh-CN"/>
          <w14:textFill>
            <w14:solidFill>
              <w14:schemeClr w14:val="tx1"/>
            </w14:solidFill>
          </w14:textFill>
        </w:rPr>
        <w:t>澳大利亚</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w:t>
      </w:r>
      <w:r>
        <w:rPr>
          <w:rFonts w:hint="default" w:ascii="仿宋_GB2312" w:hAnsi="仿宋_GB2312" w:eastAsia="仿宋_GB2312" w:cs="仿宋_GB2312"/>
          <w:color w:val="000000" w:themeColor="text1"/>
          <w:spacing w:val="0"/>
          <w:sz w:val="32"/>
          <w:szCs w:val="32"/>
          <w:lang w:val="en-US" w:eastAsia="zh-CN"/>
          <w14:textFill>
            <w14:solidFill>
              <w14:schemeClr w14:val="tx1"/>
            </w14:solidFill>
          </w14:textFill>
        </w:rPr>
        <w:t>加拿大、智利、西班牙、法国</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等70多个国家，</w:t>
      </w:r>
      <w:r>
        <w:rPr>
          <w:rFonts w:hint="eastAsia" w:ascii="仿宋_GB2312" w:hAnsi="仿宋_GB2312" w:eastAsia="仿宋_GB2312" w:cs="仿宋_GB2312"/>
          <w:color w:val="000000" w:themeColor="text1"/>
          <w:spacing w:val="0"/>
          <w:sz w:val="32"/>
          <w:szCs w:val="32"/>
          <w:highlight w:val="none"/>
          <w:shd w:val="clear" w:color="auto" w:fill="auto"/>
          <w:lang w:val="en-US" w:eastAsia="zh-CN"/>
          <w14:textFill>
            <w14:solidFill>
              <w14:schemeClr w14:val="tx1"/>
            </w14:solidFill>
          </w14:textFill>
        </w:rPr>
        <w:t>其中硝酸钙、硝酸镁、硝酸铵钙国内市场占有率达87%、80%、82%，出口占比达85%、72%、63%，需求量以年均20%的速度递增，</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“交城·中国钙都（硝基肥）”金字招牌享誉全球</w:t>
      </w:r>
      <w:r>
        <w:rPr>
          <w:rFonts w:hint="default" w:ascii="仿宋_GB2312" w:hAnsi="仿宋_GB2312" w:eastAsia="仿宋_GB2312" w:cs="仿宋_GB2312"/>
          <w:color w:val="000000" w:themeColor="text1"/>
          <w:spacing w:val="0"/>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jc w:val="both"/>
        <w:textAlignment w:val="auto"/>
        <w:outlineLvl w:val="9"/>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pPr>
    </w:p>
    <w:tbl>
      <w:tblPr>
        <w:tblStyle w:val="7"/>
        <w:tblW w:w="8799" w:type="dxa"/>
        <w:tblInd w:w="76" w:type="dxa"/>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Layout w:type="fixed"/>
        <w:tblCellMar>
          <w:top w:w="0" w:type="dxa"/>
          <w:left w:w="0" w:type="dxa"/>
          <w:bottom w:w="0" w:type="dxa"/>
          <w:right w:w="0" w:type="dxa"/>
        </w:tblCellMar>
      </w:tblPr>
      <w:tblGrid>
        <w:gridCol w:w="8799"/>
      </w:tblGrid>
      <w:tr>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613" w:hRule="atLeast"/>
        </w:trPr>
        <w:tc>
          <w:tcPr>
            <w:tcW w:w="8799" w:type="dxa"/>
            <w:vAlign w:val="top"/>
          </w:tcPr>
          <w:p>
            <w:pPr>
              <w:spacing w:before="93" w:beforeLines="30" w:after="93" w:afterLines="30" w:line="400" w:lineRule="exact"/>
              <w:jc w:val="center"/>
              <w:rPr>
                <w:rFonts w:ascii="黑体" w:hAnsi="黑体" w:eastAsia="黑体" w:cs="黑体"/>
                <w:color w:val="000000" w:themeColor="text1"/>
                <w:spacing w:val="0"/>
                <w:sz w:val="22"/>
                <w:szCs w:val="22"/>
                <w14:textFill>
                  <w14:solidFill>
                    <w14:schemeClr w14:val="tx1"/>
                  </w14:solidFill>
                </w14:textFill>
              </w:rPr>
            </w:pPr>
            <w:r>
              <w:rPr>
                <w:rFonts w:hint="eastAsia" w:ascii="黑体" w:hAnsi="黑体" w:eastAsia="黑体" w:cs="黑体"/>
                <w:b w:val="0"/>
                <w:bCs w:val="0"/>
                <w:color w:val="000000" w:themeColor="text1"/>
                <w:spacing w:val="0"/>
                <w:sz w:val="28"/>
                <w:szCs w:val="28"/>
                <w14:textFill>
                  <w14:solidFill>
                    <w14:schemeClr w14:val="tx1"/>
                  </w14:solidFill>
                </w14:textFill>
              </w:rPr>
              <w:t>专栏</w:t>
            </w:r>
            <w:r>
              <w:rPr>
                <w:rFonts w:hint="eastAsia" w:ascii="黑体" w:hAnsi="黑体" w:eastAsia="黑体" w:cs="黑体"/>
                <w:b w:val="0"/>
                <w:bCs w:val="0"/>
                <w:color w:val="000000" w:themeColor="text1"/>
                <w:spacing w:val="0"/>
                <w:sz w:val="28"/>
                <w:szCs w:val="28"/>
                <w:lang w:val="en-US" w:eastAsia="zh-CN"/>
                <w14:textFill>
                  <w14:solidFill>
                    <w14:schemeClr w14:val="tx1"/>
                  </w14:solidFill>
                </w14:textFill>
              </w:rPr>
              <w:t>1  交城硝基复合肥专业镇</w:t>
            </w:r>
            <w:r>
              <w:rPr>
                <w:rFonts w:hint="eastAsia" w:ascii="黑体" w:hAnsi="黑体" w:eastAsia="黑体" w:cs="黑体"/>
                <w:b w:val="0"/>
                <w:bCs w:val="0"/>
                <w:color w:val="000000" w:themeColor="text1"/>
                <w:spacing w:val="0"/>
                <w:sz w:val="28"/>
                <w:szCs w:val="28"/>
                <w14:textFill>
                  <w14:solidFill>
                    <w14:schemeClr w14:val="tx1"/>
                  </w14:solidFill>
                </w14:textFill>
              </w:rPr>
              <w:t>企业</w:t>
            </w:r>
            <w:r>
              <w:rPr>
                <w:rFonts w:hint="eastAsia" w:ascii="黑体" w:hAnsi="黑体" w:eastAsia="黑体" w:cs="黑体"/>
                <w:b w:val="0"/>
                <w:bCs w:val="0"/>
                <w:color w:val="000000" w:themeColor="text1"/>
                <w:spacing w:val="0"/>
                <w:sz w:val="28"/>
                <w:szCs w:val="28"/>
                <w:lang w:val="en-US" w:eastAsia="zh-CN"/>
                <w14:textFill>
                  <w14:solidFill>
                    <w14:schemeClr w14:val="tx1"/>
                  </w14:solidFill>
                </w14:textFill>
              </w:rPr>
              <w:t>名录</w:t>
            </w:r>
          </w:p>
        </w:tc>
      </w:tr>
      <w:tr>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CellMar>
            <w:top w:w="0" w:type="dxa"/>
            <w:left w:w="0" w:type="dxa"/>
            <w:bottom w:w="0" w:type="dxa"/>
            <w:right w:w="0" w:type="dxa"/>
          </w:tblCellMar>
        </w:tblPrEx>
        <w:trPr>
          <w:trHeight w:val="3721" w:hRule="atLeast"/>
        </w:trPr>
        <w:tc>
          <w:tcPr>
            <w:tcW w:w="8799" w:type="dxa"/>
            <w:vAlign w:val="top"/>
          </w:tcPr>
          <w:p>
            <w:pPr>
              <w:spacing w:line="400" w:lineRule="exact"/>
              <w:ind w:firstLine="481" w:firstLineChars="200"/>
              <w:jc w:val="both"/>
              <w:rPr>
                <w:rFonts w:hint="eastAsia" w:ascii="仿宋_GB2312" w:hAnsi="仿宋_GB2312" w:eastAsia="仿宋_GB2312" w:cs="仿宋_GB2312"/>
                <w:b w:val="0"/>
                <w:bCs w:val="0"/>
                <w:color w:val="000000" w:themeColor="text1"/>
                <w:spacing w:val="0"/>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b/>
                <w:bCs/>
                <w:color w:val="000000" w:themeColor="text1"/>
                <w:spacing w:val="0"/>
                <w:sz w:val="24"/>
                <w:szCs w:val="24"/>
                <w:shd w:val="clear" w:color="auto" w:fill="FFFFFF"/>
                <w:lang w:val="en-US" w:eastAsia="zh-CN"/>
                <w14:textFill>
                  <w14:solidFill>
                    <w14:schemeClr w14:val="tx1"/>
                  </w14:solidFill>
                </w14:textFill>
              </w:rPr>
              <w:t>5家龙头企业：</w:t>
            </w:r>
            <w:r>
              <w:rPr>
                <w:rFonts w:hint="eastAsia" w:ascii="仿宋_GB2312" w:hAnsi="仿宋_GB2312" w:eastAsia="仿宋_GB2312" w:cs="仿宋_GB2312"/>
                <w:b w:val="0"/>
                <w:bCs w:val="0"/>
                <w:color w:val="000000" w:themeColor="text1"/>
                <w:spacing w:val="0"/>
                <w:sz w:val="24"/>
                <w:szCs w:val="24"/>
                <w:shd w:val="clear" w:color="auto" w:fill="FFFFFF"/>
                <w:lang w:val="en-US" w:eastAsia="zh-CN"/>
                <w14:textFill>
                  <w14:solidFill>
                    <w14:schemeClr w14:val="tx1"/>
                  </w14:solidFill>
                </w14:textFill>
              </w:rPr>
              <w:t>山西东锦肥业有限公司、山西华鑫肥业股份有限公司、山西磊鑫化工股份有限公司、交城县三喜化工有限公司、</w:t>
            </w:r>
            <w:r>
              <w:rPr>
                <w:rFonts w:hint="eastAsia" w:ascii="仿宋_GB2312" w:hAnsi="仿宋_GB2312" w:eastAsia="仿宋_GB2312" w:cs="仿宋_GB2312"/>
                <w:i w:val="0"/>
                <w:iCs w:val="0"/>
                <w:color w:val="000000" w:themeColor="text1"/>
                <w:spacing w:val="0"/>
                <w:kern w:val="0"/>
                <w:sz w:val="24"/>
                <w:szCs w:val="24"/>
                <w:u w:val="none"/>
                <w:lang w:val="en-US" w:eastAsia="zh-CN" w:bidi="ar"/>
                <w14:textFill>
                  <w14:solidFill>
                    <w14:schemeClr w14:val="tx1"/>
                  </w14:solidFill>
                </w14:textFill>
              </w:rPr>
              <w:t>山西省交城红星化工有限公司。</w:t>
            </w:r>
          </w:p>
          <w:p>
            <w:pPr>
              <w:spacing w:line="400" w:lineRule="exact"/>
              <w:ind w:firstLine="481" w:firstLineChars="200"/>
              <w:jc w:val="both"/>
              <w:rPr>
                <w:color w:val="000000" w:themeColor="text1"/>
                <w:spacing w:val="0"/>
                <w14:textFill>
                  <w14:solidFill>
                    <w14:schemeClr w14:val="tx1"/>
                  </w14:solidFill>
                </w14:textFill>
              </w:rPr>
            </w:pPr>
            <w:r>
              <w:rPr>
                <w:rFonts w:hint="eastAsia" w:ascii="仿宋_GB2312" w:hAnsi="仿宋_GB2312" w:eastAsia="仿宋_GB2312" w:cs="仿宋_GB2312"/>
                <w:b/>
                <w:bCs/>
                <w:color w:val="000000" w:themeColor="text1"/>
                <w:spacing w:val="0"/>
                <w:sz w:val="24"/>
                <w:szCs w:val="24"/>
                <w:shd w:val="clear" w:color="auto" w:fill="FFFFFF"/>
                <w:lang w:val="en-US" w:eastAsia="zh-CN"/>
                <w14:textFill>
                  <w14:solidFill>
                    <w14:schemeClr w14:val="tx1"/>
                  </w14:solidFill>
                </w14:textFill>
              </w:rPr>
              <w:t>23家非龙头企业：</w:t>
            </w:r>
            <w:r>
              <w:rPr>
                <w:rFonts w:hint="eastAsia" w:ascii="仿宋_GB2312" w:hAnsi="仿宋_GB2312" w:eastAsia="仿宋_GB2312" w:cs="仿宋_GB2312"/>
                <w:b w:val="0"/>
                <w:bCs w:val="0"/>
                <w:color w:val="000000" w:themeColor="text1"/>
                <w:spacing w:val="0"/>
                <w:sz w:val="24"/>
                <w:szCs w:val="24"/>
                <w:shd w:val="clear" w:color="auto" w:fill="FFFFFF"/>
                <w:lang w:val="en-US" w:eastAsia="zh-CN"/>
                <w14:textFill>
                  <w14:solidFill>
                    <w14:schemeClr w14:val="tx1"/>
                  </w14:solidFill>
                </w14:textFill>
              </w:rPr>
              <w:t>山西金兰化工股份有限公司、</w:t>
            </w:r>
            <w:r>
              <w:rPr>
                <w:rFonts w:hint="eastAsia" w:ascii="仿宋_GB2312" w:hAnsi="仿宋_GB2312" w:eastAsia="仿宋_GB2312" w:cs="仿宋_GB2312"/>
                <w:i w:val="0"/>
                <w:iCs w:val="0"/>
                <w:color w:val="000000" w:themeColor="text1"/>
                <w:spacing w:val="0"/>
                <w:kern w:val="0"/>
                <w:sz w:val="24"/>
                <w:szCs w:val="24"/>
                <w:u w:val="none"/>
                <w:lang w:val="en-US" w:eastAsia="zh-CN" w:bidi="ar"/>
                <w14:textFill>
                  <w14:solidFill>
                    <w14:schemeClr w14:val="tx1"/>
                  </w14:solidFill>
                </w14:textFill>
              </w:rPr>
              <w:t>交城县并盛化工有限公司、交城县德谦肥业有限公司、山西鼎鑫肥业股份有限公司、山西丰田肥业有限公司、交城县东龙肥业有限公司、山西广源新科化工股份有限公司、山西七星化工科技有限公司、山西润锦化工有限公司、山西省交城县天龙化工实业有限公司、山西天宁新材料有限公司、田丰化工（山西）集团股份有限公司、山西沃锦新材料股份有限公司、交城县植宝旺肥业有限公司、山西恩泽生物技术有限公司、山西宏特肥业有限公司、山西锦生华农业科技有限公司、交城县鑫农肥业有限公司、山西省交城晋盛化工有限公司、山西省交城明星化工有限公司、交城昊田肥业有限公司、交城县浩景肥业有限公司、山西鼎力化工股份有限公司。</w:t>
            </w:r>
          </w:p>
        </w:tc>
      </w:tr>
    </w:tbl>
    <w:p>
      <w:pPr>
        <w:bidi w:val="0"/>
        <w:rPr>
          <w:rFonts w:hint="default"/>
          <w:color w:val="000000" w:themeColor="text1"/>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8" w:lineRule="exact"/>
        <w:ind w:firstLine="642" w:firstLineChars="200"/>
        <w:jc w:val="both"/>
        <w:textAlignment w:val="auto"/>
        <w:outlineLvl w:val="9"/>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pPr>
      <w:r>
        <w:rPr>
          <w:rFonts w:hint="default" w:ascii="仿宋_GB2312" w:hAnsi="仿宋_GB2312" w:eastAsia="仿宋_GB2312" w:cs="仿宋_GB2312"/>
          <w:b/>
          <w:bCs/>
          <w:color w:val="000000" w:themeColor="text1"/>
          <w:spacing w:val="0"/>
          <w:sz w:val="32"/>
          <w:szCs w:val="32"/>
          <w:lang w:val="en-US" w:eastAsia="zh-CN"/>
          <w14:textFill>
            <w14:solidFill>
              <w14:schemeClr w14:val="tx1"/>
            </w14:solidFill>
          </w14:textFill>
        </w:rPr>
        <w:t>创新能力</w:t>
      </w:r>
      <w:r>
        <w:rPr>
          <w:rFonts w:hint="eastAsia" w:ascii="仿宋_GB2312" w:hAnsi="仿宋_GB2312" w:eastAsia="仿宋_GB2312" w:cs="仿宋_GB2312"/>
          <w:b/>
          <w:bCs/>
          <w:color w:val="000000" w:themeColor="text1"/>
          <w:spacing w:val="0"/>
          <w:sz w:val="32"/>
          <w:szCs w:val="32"/>
          <w:lang w:val="en-US" w:eastAsia="zh-CN"/>
          <w14:textFill>
            <w14:solidFill>
              <w14:schemeClr w14:val="tx1"/>
            </w14:solidFill>
          </w14:textFill>
        </w:rPr>
        <w:t>大幅增强</w:t>
      </w:r>
      <w:r>
        <w:rPr>
          <w:rFonts w:hint="default" w:ascii="仿宋_GB2312" w:hAnsi="仿宋_GB2312" w:eastAsia="仿宋_GB2312" w:cs="仿宋_GB2312"/>
          <w:b/>
          <w:bCs/>
          <w:color w:val="000000" w:themeColor="text1"/>
          <w:spacing w:val="0"/>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交城硝基复合肥专业镇</w:t>
      </w:r>
      <w:r>
        <w:rPr>
          <w:rFonts w:hint="default" w:ascii="仿宋_GB2312" w:hAnsi="仿宋_GB2312" w:eastAsia="仿宋_GB2312" w:cs="仿宋_GB2312"/>
          <w:color w:val="000000" w:themeColor="text1"/>
          <w:spacing w:val="0"/>
          <w:sz w:val="32"/>
          <w:szCs w:val="32"/>
          <w:lang w:val="en-US" w:eastAsia="zh-CN"/>
          <w14:textFill>
            <w14:solidFill>
              <w14:schemeClr w14:val="tx1"/>
            </w14:solidFill>
          </w14:textFill>
        </w:rPr>
        <w:t>拥有25</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家</w:t>
      </w:r>
      <w:r>
        <w:rPr>
          <w:rFonts w:hint="default" w:ascii="仿宋_GB2312" w:hAnsi="仿宋_GB2312" w:eastAsia="仿宋_GB2312" w:cs="仿宋_GB2312"/>
          <w:color w:val="000000" w:themeColor="text1"/>
          <w:spacing w:val="0"/>
          <w:sz w:val="32"/>
          <w:szCs w:val="32"/>
          <w:lang w:val="en-US" w:eastAsia="zh-CN"/>
          <w14:textFill>
            <w14:solidFill>
              <w14:schemeClr w14:val="tx1"/>
            </w14:solidFill>
          </w14:textFill>
        </w:rPr>
        <w:t>自营出口权</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企业</w:t>
      </w:r>
      <w:r>
        <w:rPr>
          <w:rFonts w:hint="default" w:ascii="仿宋_GB2312" w:hAnsi="仿宋_GB2312" w:eastAsia="仿宋_GB2312" w:cs="仿宋_GB2312"/>
          <w:color w:val="000000" w:themeColor="text1"/>
          <w:spacing w:val="0"/>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国家级</w:t>
      </w:r>
      <w:r>
        <w:rPr>
          <w:rFonts w:hint="default" w:ascii="仿宋_GB2312" w:hAnsi="仿宋_GB2312" w:eastAsia="仿宋_GB2312" w:cs="仿宋_GB2312"/>
          <w:color w:val="000000" w:themeColor="text1"/>
          <w:spacing w:val="0"/>
          <w:sz w:val="32"/>
          <w:szCs w:val="32"/>
          <w:lang w:val="en-US" w:eastAsia="zh-CN"/>
          <w14:textFill>
            <w14:solidFill>
              <w14:schemeClr w14:val="tx1"/>
            </w14:solidFill>
          </w14:textFill>
        </w:rPr>
        <w:t>高新技术企业14家，</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省级</w:t>
      </w:r>
      <w:r>
        <w:rPr>
          <w:rFonts w:hint="default" w:ascii="仿宋_GB2312" w:hAnsi="仿宋_GB2312" w:eastAsia="仿宋_GB2312" w:cs="仿宋_GB2312"/>
          <w:color w:val="000000" w:themeColor="text1"/>
          <w:spacing w:val="0"/>
          <w:sz w:val="32"/>
          <w:szCs w:val="32"/>
          <w:lang w:val="en-US" w:eastAsia="zh-CN"/>
          <w14:textFill>
            <w14:solidFill>
              <w14:schemeClr w14:val="tx1"/>
            </w14:solidFill>
          </w14:textFill>
        </w:rPr>
        <w:t>专精特新中小企业1</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2</w:t>
      </w:r>
      <w:r>
        <w:rPr>
          <w:rFonts w:hint="default" w:ascii="仿宋_GB2312" w:hAnsi="仿宋_GB2312" w:eastAsia="仿宋_GB2312" w:cs="仿宋_GB2312"/>
          <w:color w:val="000000" w:themeColor="text1"/>
          <w:spacing w:val="0"/>
          <w:sz w:val="32"/>
          <w:szCs w:val="32"/>
          <w:lang w:val="en-US" w:eastAsia="zh-CN"/>
          <w14:textFill>
            <w14:solidFill>
              <w14:schemeClr w14:val="tx1"/>
            </w14:solidFill>
          </w14:textFill>
        </w:rPr>
        <w:t>家，省级</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专精特新“小巨人”企业4</w:t>
      </w:r>
      <w:r>
        <w:rPr>
          <w:rFonts w:hint="default" w:ascii="仿宋_GB2312" w:hAnsi="仿宋_GB2312" w:eastAsia="仿宋_GB2312" w:cs="仿宋_GB2312"/>
          <w:color w:val="000000" w:themeColor="text1"/>
          <w:spacing w:val="0"/>
          <w:sz w:val="32"/>
          <w:szCs w:val="32"/>
          <w:lang w:val="en-US" w:eastAsia="zh-CN"/>
          <w14:textFill>
            <w14:solidFill>
              <w14:schemeClr w14:val="tx1"/>
            </w14:solidFill>
          </w14:textFill>
        </w:rPr>
        <w:t>家</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，省级创新型中小企业3家，“新三板”挂牌企业1家；建有</w:t>
      </w:r>
      <w:r>
        <w:rPr>
          <w:rFonts w:hint="default" w:ascii="仿宋_GB2312" w:hAnsi="仿宋_GB2312" w:eastAsia="仿宋_GB2312" w:cs="仿宋_GB2312"/>
          <w:color w:val="000000" w:themeColor="text1"/>
          <w:spacing w:val="0"/>
          <w:sz w:val="32"/>
          <w:szCs w:val="32"/>
          <w:lang w:val="en-US" w:eastAsia="zh-CN"/>
          <w14:textFill>
            <w14:solidFill>
              <w14:schemeClr w14:val="tx1"/>
            </w14:solidFill>
          </w14:textFill>
        </w:rPr>
        <w:t>省级企业技术中心2个，</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省级技术创新中心</w:t>
      </w:r>
      <w:r>
        <w:rPr>
          <w:rFonts w:hint="default" w:ascii="仿宋_GB2312" w:hAnsi="仿宋_GB2312" w:eastAsia="仿宋_GB2312" w:cs="仿宋_GB2312"/>
          <w:color w:val="000000" w:themeColor="text1"/>
          <w:spacing w:val="0"/>
          <w:sz w:val="32"/>
          <w:szCs w:val="32"/>
          <w:lang w:val="en-US" w:eastAsia="zh-CN"/>
          <w14:textFill>
            <w14:solidFill>
              <w14:schemeClr w14:val="tx1"/>
            </w14:solidFill>
          </w14:textFill>
        </w:rPr>
        <w:t>1个，省中小企业技术中心1个，省级科技成果转化示范企业1家，省级智能制造试点示范企业1家，省博士创新站1</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个，市级企业技术中心6个，市中小企业技术中心1个，市级重点实验室1个，市科技创新平台基地1个。企业授权专利248项，其中发明专利40项、外观设计专利2项、实用新型专利206项；制定参与国家标准2个、行业标准5个、团体标准3个；注册创立“</w:t>
      </w:r>
      <w:r>
        <w:rPr>
          <w:rFonts w:hint="default" w:ascii="仿宋_GB2312" w:hAnsi="仿宋_GB2312" w:eastAsia="仿宋_GB2312" w:cs="仿宋_GB2312"/>
          <w:color w:val="000000" w:themeColor="text1"/>
          <w:spacing w:val="0"/>
          <w:sz w:val="32"/>
          <w:szCs w:val="32"/>
          <w:lang w:val="en-US" w:eastAsia="zh-CN"/>
          <w14:textFill>
            <w14:solidFill>
              <w14:schemeClr w14:val="tx1"/>
            </w14:solidFill>
          </w14:textFill>
        </w:rPr>
        <w:t>CEM</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w:t>
      </w:r>
      <w:r>
        <w:rPr>
          <w:rFonts w:hint="default" w:ascii="仿宋_GB2312" w:hAnsi="仿宋_GB2312" w:eastAsia="仿宋_GB2312" w:cs="仿宋_GB2312"/>
          <w:color w:val="000000" w:themeColor="text1"/>
          <w:spacing w:val="0"/>
          <w:sz w:val="32"/>
          <w:szCs w:val="32"/>
          <w:lang w:val="en-US" w:eastAsia="zh-CN"/>
          <w14:textFill>
            <w14:solidFill>
              <w14:schemeClr w14:val="tx1"/>
            </w14:solidFill>
          </w14:textFill>
        </w:rPr>
        <w:t>IK</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w:t>
      </w:r>
      <w:r>
        <w:rPr>
          <w:rFonts w:hint="default" w:ascii="仿宋_GB2312" w:hAnsi="仿宋_GB2312" w:eastAsia="仿宋_GB2312" w:cs="仿宋_GB2312"/>
          <w:color w:val="000000" w:themeColor="text1"/>
          <w:spacing w:val="0"/>
          <w:sz w:val="32"/>
          <w:szCs w:val="32"/>
          <w:lang w:val="en-US" w:eastAsia="zh-CN"/>
          <w14:textFill>
            <w14:solidFill>
              <w14:schemeClr w14:val="tx1"/>
            </w14:solidFill>
          </w14:textFill>
        </w:rPr>
        <w:t>乾冠</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w:t>
      </w:r>
      <w:r>
        <w:rPr>
          <w:rFonts w:hint="default" w:ascii="仿宋_GB2312" w:hAnsi="仿宋_GB2312" w:eastAsia="仿宋_GB2312" w:cs="仿宋_GB2312"/>
          <w:color w:val="000000" w:themeColor="text1"/>
          <w:spacing w:val="0"/>
          <w:sz w:val="32"/>
          <w:szCs w:val="32"/>
          <w:lang w:val="en-US" w:eastAsia="zh-CN"/>
          <w14:textFill>
            <w14:solidFill>
              <w14:schemeClr w14:val="tx1"/>
            </w14:solidFill>
          </w14:textFill>
        </w:rPr>
        <w:t>等</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246</w:t>
      </w:r>
      <w:r>
        <w:rPr>
          <w:rFonts w:hint="default" w:ascii="仿宋_GB2312" w:hAnsi="仿宋_GB2312" w:eastAsia="仿宋_GB2312" w:cs="仿宋_GB2312"/>
          <w:color w:val="000000" w:themeColor="text1"/>
          <w:spacing w:val="0"/>
          <w:sz w:val="32"/>
          <w:szCs w:val="32"/>
          <w:lang w:val="en-US" w:eastAsia="zh-CN"/>
          <w14:textFill>
            <w14:solidFill>
              <w14:schemeClr w14:val="tx1"/>
            </w14:solidFill>
          </w14:textFill>
        </w:rPr>
        <w:t>个商标，</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其中</w:t>
      </w:r>
      <w:r>
        <w:rPr>
          <w:rFonts w:hint="default" w:ascii="仿宋_GB2312" w:hAnsi="仿宋_GB2312" w:eastAsia="仿宋_GB2312" w:cs="仿宋_GB2312"/>
          <w:color w:val="000000" w:themeColor="text1"/>
          <w:spacing w:val="0"/>
          <w:sz w:val="32"/>
          <w:szCs w:val="32"/>
          <w:lang w:val="en-US" w:eastAsia="zh-CN"/>
          <w14:textFill>
            <w14:solidFill>
              <w14:schemeClr w14:val="tx1"/>
            </w14:solidFill>
          </w14:textFill>
        </w:rPr>
        <w:t>省</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级以上</w:t>
      </w:r>
      <w:r>
        <w:rPr>
          <w:rFonts w:hint="default" w:ascii="仿宋_GB2312" w:hAnsi="仿宋_GB2312" w:eastAsia="仿宋_GB2312" w:cs="仿宋_GB2312"/>
          <w:color w:val="000000" w:themeColor="text1"/>
          <w:spacing w:val="0"/>
          <w:sz w:val="32"/>
          <w:szCs w:val="32"/>
          <w:lang w:val="en-US" w:eastAsia="zh-CN"/>
          <w14:textFill>
            <w14:solidFill>
              <w14:schemeClr w14:val="tx1"/>
            </w14:solidFill>
          </w14:textFill>
        </w:rPr>
        <w:t>著名商标</w:t>
      </w: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24个</w:t>
      </w:r>
      <w:r>
        <w:rPr>
          <w:rFonts w:hint="default" w:ascii="仿宋_GB2312" w:hAnsi="仿宋_GB2312" w:eastAsia="仿宋_GB2312" w:cs="仿宋_GB2312"/>
          <w:color w:val="000000" w:themeColor="text1"/>
          <w:spacing w:val="0"/>
          <w:sz w:val="32"/>
          <w:szCs w:val="32"/>
          <w:lang w:val="en-US" w:eastAsia="zh-CN"/>
          <w14:textFill>
            <w14:solidFill>
              <w14:schemeClr w14:val="tx1"/>
            </w14:solidFill>
          </w14:textFill>
        </w:rPr>
        <w:t>。</w:t>
      </w:r>
      <w:bookmarkStart w:id="10" w:name="_Toc30983"/>
    </w:p>
    <w:tbl>
      <w:tblPr>
        <w:tblStyle w:val="7"/>
        <w:tblW w:w="8799" w:type="dxa"/>
        <w:tblInd w:w="76" w:type="dxa"/>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Layout w:type="fixed"/>
        <w:tblCellMar>
          <w:top w:w="0" w:type="dxa"/>
          <w:left w:w="0" w:type="dxa"/>
          <w:bottom w:w="0" w:type="dxa"/>
          <w:right w:w="0" w:type="dxa"/>
        </w:tblCellMar>
      </w:tblPr>
      <w:tblGrid>
        <w:gridCol w:w="8799"/>
      </w:tblGrid>
      <w:tr>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PrEx>
        <w:trPr>
          <w:trHeight w:val="613" w:hRule="atLeast"/>
        </w:trPr>
        <w:tc>
          <w:tcPr>
            <w:tcW w:w="8799" w:type="dxa"/>
            <w:vAlign w:val="top"/>
          </w:tcPr>
          <w:p>
            <w:pPr>
              <w:spacing w:before="93" w:beforeLines="30" w:after="93" w:afterLines="30" w:line="400" w:lineRule="exact"/>
              <w:jc w:val="center"/>
              <w:rPr>
                <w:rFonts w:ascii="黑体" w:hAnsi="黑体" w:eastAsia="黑体" w:cs="黑体"/>
                <w:color w:val="000000" w:themeColor="text1"/>
                <w:spacing w:val="0"/>
                <w:sz w:val="22"/>
                <w:szCs w:val="22"/>
                <w14:textFill>
                  <w14:solidFill>
                    <w14:schemeClr w14:val="tx1"/>
                  </w14:solidFill>
                </w14:textFill>
              </w:rPr>
            </w:pPr>
            <w:r>
              <w:rPr>
                <w:rFonts w:hint="default" w:ascii="黑体" w:hAnsi="黑体" w:eastAsia="黑体" w:cs="黑体"/>
                <w:b w:val="0"/>
                <w:bCs w:val="0"/>
                <w:color w:val="000000" w:themeColor="text1"/>
                <w:spacing w:val="0"/>
                <w:sz w:val="28"/>
                <w:szCs w:val="28"/>
                <w14:textFill>
                  <w14:solidFill>
                    <w14:schemeClr w14:val="tx1"/>
                  </w14:solidFill>
                </w14:textFill>
              </w:rPr>
              <w:t>专栏</w:t>
            </w:r>
            <w:r>
              <w:rPr>
                <w:rFonts w:hint="default" w:ascii="黑体" w:hAnsi="黑体" w:eastAsia="黑体" w:cs="黑体"/>
                <w:b w:val="0"/>
                <w:bCs w:val="0"/>
                <w:color w:val="000000" w:themeColor="text1"/>
                <w:spacing w:val="0"/>
                <w:sz w:val="28"/>
                <w:szCs w:val="28"/>
                <w:lang w:val="en-US" w:eastAsia="zh-CN"/>
                <w14:textFill>
                  <w14:solidFill>
                    <w14:schemeClr w14:val="tx1"/>
                  </w14:solidFill>
                </w14:textFill>
              </w:rPr>
              <w:t>2</w:t>
            </w:r>
            <w:r>
              <w:rPr>
                <w:rFonts w:hint="eastAsia" w:ascii="黑体" w:hAnsi="黑体" w:eastAsia="黑体" w:cs="黑体"/>
                <w:b w:val="0"/>
                <w:bCs w:val="0"/>
                <w:color w:val="000000" w:themeColor="text1"/>
                <w:spacing w:val="0"/>
                <w:sz w:val="28"/>
                <w:szCs w:val="28"/>
                <w:lang w:val="en-US" w:eastAsia="zh-CN"/>
                <w14:textFill>
                  <w14:solidFill>
                    <w14:schemeClr w14:val="tx1"/>
                  </w14:solidFill>
                </w14:textFill>
              </w:rPr>
              <w:t xml:space="preserve">  技术研发平台</w:t>
            </w:r>
          </w:p>
        </w:tc>
      </w:tr>
      <w:tr>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PrEx>
        <w:trPr>
          <w:trHeight w:val="3721" w:hRule="atLeast"/>
        </w:trPr>
        <w:tc>
          <w:tcPr>
            <w:tcW w:w="8799" w:type="dxa"/>
            <w:vAlign w:val="top"/>
          </w:tcPr>
          <w:p>
            <w:pPr>
              <w:keepNext w:val="0"/>
              <w:keepLines w:val="0"/>
              <w:pageBreakBefore w:val="0"/>
              <w:widowControl w:val="0"/>
              <w:kinsoku/>
              <w:wordWrap/>
              <w:overflowPunct/>
              <w:topLinePunct w:val="0"/>
              <w:autoSpaceDE/>
              <w:autoSpaceDN/>
              <w:bidi w:val="0"/>
              <w:adjustRightInd/>
              <w:snapToGrid/>
              <w:spacing w:line="400" w:lineRule="exact"/>
              <w:ind w:firstLine="481" w:firstLineChars="200"/>
              <w:jc w:val="both"/>
              <w:textAlignment w:val="auto"/>
              <w:rPr>
                <w:rFonts w:hint="eastAsia" w:ascii="仿宋_GB2312" w:hAnsi="仿宋_GB2312" w:eastAsia="仿宋_GB2312" w:cs="仿宋_GB2312"/>
                <w:b w:val="0"/>
                <w:bCs w:val="0"/>
                <w:color w:val="000000" w:themeColor="text1"/>
                <w:spacing w:val="0"/>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b/>
                <w:bCs/>
                <w:color w:val="000000" w:themeColor="text1"/>
                <w:spacing w:val="0"/>
                <w:sz w:val="24"/>
                <w:szCs w:val="24"/>
                <w:shd w:val="clear" w:color="auto" w:fill="FFFFFF"/>
                <w:lang w:val="en-US" w:eastAsia="zh-CN"/>
                <w14:textFill>
                  <w14:solidFill>
                    <w14:schemeClr w14:val="tx1"/>
                  </w14:solidFill>
                </w14:textFill>
              </w:rPr>
              <w:t>省级企业技术中心2个：</w:t>
            </w:r>
            <w:r>
              <w:rPr>
                <w:rFonts w:hint="eastAsia" w:ascii="仿宋_GB2312" w:hAnsi="仿宋_GB2312" w:eastAsia="仿宋_GB2312" w:cs="仿宋_GB2312"/>
                <w:b w:val="0"/>
                <w:bCs w:val="0"/>
                <w:color w:val="000000" w:themeColor="text1"/>
                <w:spacing w:val="0"/>
                <w:sz w:val="24"/>
                <w:szCs w:val="24"/>
                <w:shd w:val="clear" w:color="auto" w:fill="FFFFFF"/>
                <w:lang w:val="en-US" w:eastAsia="zh-CN"/>
                <w14:textFill>
                  <w14:solidFill>
                    <w14:schemeClr w14:val="tx1"/>
                  </w14:solidFill>
                </w14:textFill>
              </w:rPr>
              <w:t>山西华鑫肥业股份有限公司、山西金兰化工股份有限公司。</w:t>
            </w:r>
          </w:p>
          <w:p>
            <w:pPr>
              <w:keepNext w:val="0"/>
              <w:keepLines w:val="0"/>
              <w:pageBreakBefore w:val="0"/>
              <w:widowControl w:val="0"/>
              <w:kinsoku/>
              <w:wordWrap/>
              <w:overflowPunct/>
              <w:topLinePunct w:val="0"/>
              <w:autoSpaceDE/>
              <w:autoSpaceDN/>
              <w:bidi w:val="0"/>
              <w:adjustRightInd/>
              <w:snapToGrid/>
              <w:spacing w:line="400" w:lineRule="exact"/>
              <w:ind w:firstLine="481" w:firstLineChars="200"/>
              <w:jc w:val="both"/>
              <w:textAlignment w:val="auto"/>
              <w:rPr>
                <w:rFonts w:hint="eastAsia" w:ascii="仿宋_GB2312" w:hAnsi="仿宋_GB2312" w:eastAsia="仿宋_GB2312" w:cs="仿宋_GB2312"/>
                <w:b/>
                <w:bCs/>
                <w:color w:val="000000" w:themeColor="text1"/>
                <w:spacing w:val="0"/>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b/>
                <w:bCs/>
                <w:color w:val="000000" w:themeColor="text1"/>
                <w:spacing w:val="0"/>
                <w:sz w:val="24"/>
                <w:szCs w:val="24"/>
                <w:shd w:val="clear" w:color="auto" w:fill="FFFFFF"/>
                <w:lang w:val="en-US" w:eastAsia="zh-CN"/>
                <w14:textFill>
                  <w14:solidFill>
                    <w14:schemeClr w14:val="tx1"/>
                  </w14:solidFill>
                </w14:textFill>
              </w:rPr>
              <w:t>省级技术创新中心1个：</w:t>
            </w:r>
            <w:r>
              <w:rPr>
                <w:rFonts w:hint="eastAsia" w:ascii="仿宋_GB2312" w:hAnsi="仿宋_GB2312" w:eastAsia="仿宋_GB2312" w:cs="仿宋_GB2312"/>
                <w:b w:val="0"/>
                <w:bCs w:val="0"/>
                <w:color w:val="000000" w:themeColor="text1"/>
                <w:spacing w:val="0"/>
                <w:sz w:val="24"/>
                <w:szCs w:val="24"/>
                <w:shd w:val="clear" w:color="auto" w:fill="FFFFFF"/>
                <w:lang w:val="en-US" w:eastAsia="zh-CN"/>
                <w14:textFill>
                  <w14:solidFill>
                    <w14:schemeClr w14:val="tx1"/>
                  </w14:solidFill>
                </w14:textFill>
              </w:rPr>
              <w:t>山西金兰化工股份有限公司。</w:t>
            </w:r>
          </w:p>
          <w:p>
            <w:pPr>
              <w:keepNext w:val="0"/>
              <w:keepLines w:val="0"/>
              <w:pageBreakBefore w:val="0"/>
              <w:widowControl w:val="0"/>
              <w:kinsoku/>
              <w:wordWrap/>
              <w:overflowPunct/>
              <w:topLinePunct w:val="0"/>
              <w:autoSpaceDE/>
              <w:autoSpaceDN/>
              <w:bidi w:val="0"/>
              <w:adjustRightInd/>
              <w:snapToGrid/>
              <w:spacing w:line="400" w:lineRule="exact"/>
              <w:ind w:firstLine="481" w:firstLineChars="200"/>
              <w:jc w:val="both"/>
              <w:textAlignment w:val="auto"/>
              <w:rPr>
                <w:rFonts w:hint="eastAsia" w:ascii="仿宋_GB2312" w:hAnsi="仿宋_GB2312" w:eastAsia="仿宋_GB2312" w:cs="仿宋_GB2312"/>
                <w:b/>
                <w:bCs/>
                <w:color w:val="000000" w:themeColor="text1"/>
                <w:spacing w:val="0"/>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b/>
                <w:bCs/>
                <w:color w:val="000000" w:themeColor="text1"/>
                <w:spacing w:val="0"/>
                <w:sz w:val="24"/>
                <w:szCs w:val="24"/>
                <w:shd w:val="clear" w:color="auto" w:fill="FFFFFF"/>
                <w:lang w:val="en-US" w:eastAsia="zh-CN"/>
                <w14:textFill>
                  <w14:solidFill>
                    <w14:schemeClr w14:val="tx1"/>
                  </w14:solidFill>
                </w14:textFill>
              </w:rPr>
              <w:t>省中小企业技术中心1个：</w:t>
            </w:r>
            <w:r>
              <w:rPr>
                <w:rFonts w:hint="eastAsia" w:ascii="仿宋_GB2312" w:hAnsi="仿宋_GB2312" w:eastAsia="仿宋_GB2312" w:cs="仿宋_GB2312"/>
                <w:b w:val="0"/>
                <w:bCs w:val="0"/>
                <w:color w:val="000000" w:themeColor="text1"/>
                <w:spacing w:val="0"/>
                <w:sz w:val="24"/>
                <w:szCs w:val="24"/>
                <w:shd w:val="clear" w:color="auto" w:fill="FFFFFF"/>
                <w:lang w:val="en-US" w:eastAsia="zh-CN"/>
                <w14:textFill>
                  <w14:solidFill>
                    <w14:schemeClr w14:val="tx1"/>
                  </w14:solidFill>
                </w14:textFill>
              </w:rPr>
              <w:t>交城县三喜化工有限公司。</w:t>
            </w:r>
          </w:p>
          <w:p>
            <w:pPr>
              <w:keepNext w:val="0"/>
              <w:keepLines w:val="0"/>
              <w:pageBreakBefore w:val="0"/>
              <w:widowControl w:val="0"/>
              <w:kinsoku/>
              <w:wordWrap/>
              <w:overflowPunct/>
              <w:topLinePunct w:val="0"/>
              <w:autoSpaceDE/>
              <w:autoSpaceDN/>
              <w:bidi w:val="0"/>
              <w:adjustRightInd/>
              <w:snapToGrid/>
              <w:spacing w:line="400" w:lineRule="exact"/>
              <w:ind w:firstLine="481" w:firstLineChars="200"/>
              <w:jc w:val="both"/>
              <w:textAlignment w:val="auto"/>
              <w:rPr>
                <w:rFonts w:hint="eastAsia" w:ascii="仿宋_GB2312" w:hAnsi="仿宋_GB2312" w:eastAsia="仿宋_GB2312" w:cs="仿宋_GB2312"/>
                <w:b/>
                <w:bCs/>
                <w:color w:val="000000" w:themeColor="text1"/>
                <w:spacing w:val="0"/>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b/>
                <w:bCs/>
                <w:color w:val="000000" w:themeColor="text1"/>
                <w:spacing w:val="0"/>
                <w:sz w:val="24"/>
                <w:szCs w:val="24"/>
                <w:shd w:val="clear" w:color="auto" w:fill="FFFFFF"/>
                <w:lang w:val="en-US" w:eastAsia="zh-CN"/>
                <w14:textFill>
                  <w14:solidFill>
                    <w14:schemeClr w14:val="tx1"/>
                  </w14:solidFill>
                </w14:textFill>
              </w:rPr>
              <w:t>省博士创新站1个：</w:t>
            </w:r>
            <w:r>
              <w:rPr>
                <w:rFonts w:hint="eastAsia" w:ascii="仿宋_GB2312" w:hAnsi="仿宋_GB2312" w:eastAsia="仿宋_GB2312" w:cs="仿宋_GB2312"/>
                <w:b w:val="0"/>
                <w:bCs w:val="0"/>
                <w:color w:val="000000" w:themeColor="text1"/>
                <w:spacing w:val="0"/>
                <w:sz w:val="24"/>
                <w:szCs w:val="24"/>
                <w:shd w:val="clear" w:color="auto" w:fill="FFFFFF"/>
                <w:lang w:val="en-US" w:eastAsia="zh-CN"/>
                <w14:textFill>
                  <w14:solidFill>
                    <w14:schemeClr w14:val="tx1"/>
                  </w14:solidFill>
                </w14:textFill>
              </w:rPr>
              <w:t>山西东锦肥业有限公司。</w:t>
            </w:r>
          </w:p>
          <w:p>
            <w:pPr>
              <w:keepNext w:val="0"/>
              <w:keepLines w:val="0"/>
              <w:pageBreakBefore w:val="0"/>
              <w:widowControl w:val="0"/>
              <w:kinsoku/>
              <w:wordWrap/>
              <w:overflowPunct/>
              <w:topLinePunct w:val="0"/>
              <w:autoSpaceDE/>
              <w:autoSpaceDN/>
              <w:bidi w:val="0"/>
              <w:adjustRightInd/>
              <w:snapToGrid/>
              <w:spacing w:line="400" w:lineRule="exact"/>
              <w:ind w:firstLine="481" w:firstLineChars="200"/>
              <w:jc w:val="both"/>
              <w:textAlignment w:val="auto"/>
              <w:rPr>
                <w:rFonts w:hint="eastAsia" w:ascii="仿宋_GB2312" w:hAnsi="仿宋_GB2312" w:eastAsia="仿宋_GB2312" w:cs="仿宋_GB2312"/>
                <w:b w:val="0"/>
                <w:bCs w:val="0"/>
                <w:color w:val="000000" w:themeColor="text1"/>
                <w:spacing w:val="0"/>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b/>
                <w:bCs/>
                <w:color w:val="000000" w:themeColor="text1"/>
                <w:spacing w:val="0"/>
                <w:sz w:val="24"/>
                <w:szCs w:val="24"/>
                <w:shd w:val="clear" w:color="auto" w:fill="FFFFFF"/>
                <w:lang w:val="en-US" w:eastAsia="zh-CN"/>
                <w14:textFill>
                  <w14:solidFill>
                    <w14:schemeClr w14:val="tx1"/>
                  </w14:solidFill>
                </w14:textFill>
              </w:rPr>
              <w:t>市级企业技术中心6个：</w:t>
            </w:r>
            <w:r>
              <w:rPr>
                <w:rFonts w:hint="eastAsia" w:ascii="仿宋_GB2312" w:hAnsi="仿宋_GB2312" w:eastAsia="仿宋_GB2312" w:cs="仿宋_GB2312"/>
                <w:b w:val="0"/>
                <w:bCs w:val="0"/>
                <w:color w:val="000000" w:themeColor="text1"/>
                <w:spacing w:val="0"/>
                <w:sz w:val="24"/>
                <w:szCs w:val="24"/>
                <w:shd w:val="clear" w:color="auto" w:fill="FFFFFF"/>
                <w:lang w:val="en-US" w:eastAsia="zh-CN"/>
                <w14:textFill>
                  <w14:solidFill>
                    <w14:schemeClr w14:val="tx1"/>
                  </w14:solidFill>
                </w14:textFill>
              </w:rPr>
              <w:t>山西恩泽生物技术有限公司、山西七星化工科技有限公司、交城县三喜化工有限公司、山西磊鑫化工股份有限公司、山西沃锦新材料股份有限公司、山西东锦肥业有限公司。</w:t>
            </w:r>
          </w:p>
          <w:p>
            <w:pPr>
              <w:keepNext w:val="0"/>
              <w:keepLines w:val="0"/>
              <w:pageBreakBefore w:val="0"/>
              <w:widowControl w:val="0"/>
              <w:kinsoku/>
              <w:wordWrap/>
              <w:overflowPunct/>
              <w:topLinePunct w:val="0"/>
              <w:autoSpaceDE/>
              <w:autoSpaceDN/>
              <w:bidi w:val="0"/>
              <w:adjustRightInd/>
              <w:snapToGrid/>
              <w:spacing w:line="400" w:lineRule="exact"/>
              <w:ind w:firstLine="481" w:firstLineChars="200"/>
              <w:jc w:val="both"/>
              <w:textAlignment w:val="auto"/>
              <w:rPr>
                <w:rFonts w:hint="eastAsia" w:ascii="仿宋_GB2312" w:hAnsi="仿宋_GB2312" w:eastAsia="仿宋_GB2312" w:cs="仿宋_GB2312"/>
                <w:b/>
                <w:bCs/>
                <w:color w:val="000000" w:themeColor="text1"/>
                <w:spacing w:val="0"/>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b/>
                <w:bCs/>
                <w:color w:val="000000" w:themeColor="text1"/>
                <w:spacing w:val="0"/>
                <w:sz w:val="24"/>
                <w:szCs w:val="24"/>
                <w:shd w:val="clear" w:color="auto" w:fill="FFFFFF"/>
                <w:lang w:val="en-US" w:eastAsia="zh-CN"/>
                <w14:textFill>
                  <w14:solidFill>
                    <w14:schemeClr w14:val="tx1"/>
                  </w14:solidFill>
                </w14:textFill>
              </w:rPr>
              <w:t>市中小企业技术中心1个：</w:t>
            </w:r>
            <w:r>
              <w:rPr>
                <w:rFonts w:hint="eastAsia" w:ascii="仿宋_GB2312" w:hAnsi="仿宋_GB2312" w:eastAsia="仿宋_GB2312" w:cs="仿宋_GB2312"/>
                <w:b w:val="0"/>
                <w:bCs w:val="0"/>
                <w:color w:val="000000" w:themeColor="text1"/>
                <w:spacing w:val="0"/>
                <w:sz w:val="24"/>
                <w:szCs w:val="24"/>
                <w:shd w:val="clear" w:color="auto" w:fill="FFFFFF"/>
                <w:lang w:val="en-US" w:eastAsia="zh-CN"/>
                <w14:textFill>
                  <w14:solidFill>
                    <w14:schemeClr w14:val="tx1"/>
                  </w14:solidFill>
                </w14:textFill>
              </w:rPr>
              <w:t>山西丰田肥业有限公司。</w:t>
            </w:r>
          </w:p>
          <w:p>
            <w:pPr>
              <w:keepNext w:val="0"/>
              <w:keepLines w:val="0"/>
              <w:pageBreakBefore w:val="0"/>
              <w:widowControl w:val="0"/>
              <w:kinsoku/>
              <w:wordWrap/>
              <w:overflowPunct/>
              <w:topLinePunct w:val="0"/>
              <w:autoSpaceDE/>
              <w:autoSpaceDN/>
              <w:bidi w:val="0"/>
              <w:adjustRightInd/>
              <w:snapToGrid/>
              <w:spacing w:line="400" w:lineRule="exact"/>
              <w:ind w:firstLine="481" w:firstLineChars="200"/>
              <w:jc w:val="both"/>
              <w:textAlignment w:val="auto"/>
              <w:rPr>
                <w:rFonts w:hint="eastAsia" w:ascii="仿宋_GB2312" w:hAnsi="仿宋_GB2312" w:eastAsia="仿宋_GB2312" w:cs="仿宋_GB2312"/>
                <w:b w:val="0"/>
                <w:bCs w:val="0"/>
                <w:color w:val="000000" w:themeColor="text1"/>
                <w:spacing w:val="0"/>
                <w:kern w:val="2"/>
                <w:sz w:val="24"/>
                <w:szCs w:val="24"/>
                <w:lang w:val="en-US" w:eastAsia="zh-CN" w:bidi="ar-SA"/>
                <w14:textFill>
                  <w14:solidFill>
                    <w14:schemeClr w14:val="tx1"/>
                  </w14:solidFill>
                </w14:textFill>
              </w:rPr>
            </w:pPr>
            <w:r>
              <w:rPr>
                <w:rFonts w:hint="eastAsia" w:ascii="仿宋_GB2312" w:hAnsi="仿宋_GB2312" w:eastAsia="仿宋_GB2312" w:cs="仿宋_GB2312"/>
                <w:b/>
                <w:bCs/>
                <w:color w:val="000000" w:themeColor="text1"/>
                <w:spacing w:val="0"/>
                <w:sz w:val="24"/>
                <w:szCs w:val="24"/>
                <w:shd w:val="clear" w:color="auto" w:fill="FFFFFF"/>
                <w:lang w:val="en-US" w:eastAsia="zh-CN"/>
                <w14:textFill>
                  <w14:solidFill>
                    <w14:schemeClr w14:val="tx1"/>
                  </w14:solidFill>
                </w14:textFill>
              </w:rPr>
              <w:t>市级重点实验室1个：</w:t>
            </w:r>
            <w:r>
              <w:rPr>
                <w:rFonts w:hint="eastAsia" w:ascii="仿宋_GB2312" w:hAnsi="仿宋_GB2312" w:eastAsia="仿宋_GB2312" w:cs="仿宋_GB2312"/>
                <w:b w:val="0"/>
                <w:bCs w:val="0"/>
                <w:color w:val="000000" w:themeColor="text1"/>
                <w:spacing w:val="0"/>
                <w:sz w:val="24"/>
                <w:szCs w:val="24"/>
                <w:shd w:val="clear" w:color="auto" w:fill="FFFFFF"/>
                <w:lang w:val="en-US" w:eastAsia="zh-CN"/>
                <w14:textFill>
                  <w14:solidFill>
                    <w14:schemeClr w14:val="tx1"/>
                  </w14:solidFill>
                </w14:textFill>
              </w:rPr>
              <w:t>山西丰田肥业有限公司。</w:t>
            </w:r>
          </w:p>
          <w:p>
            <w:pPr>
              <w:spacing w:line="400" w:lineRule="exact"/>
              <w:ind w:firstLine="481" w:firstLineChars="200"/>
              <w:jc w:val="both"/>
              <w:rPr>
                <w:color w:val="000000" w:themeColor="text1"/>
                <w:spacing w:val="0"/>
                <w14:textFill>
                  <w14:solidFill>
                    <w14:schemeClr w14:val="tx1"/>
                  </w14:solidFill>
                </w14:textFill>
              </w:rPr>
            </w:pPr>
            <w:r>
              <w:rPr>
                <w:rFonts w:hint="eastAsia" w:ascii="仿宋_GB2312" w:hAnsi="仿宋_GB2312" w:eastAsia="仿宋_GB2312" w:cs="仿宋_GB2312"/>
                <w:b/>
                <w:bCs/>
                <w:color w:val="000000" w:themeColor="text1"/>
                <w:spacing w:val="0"/>
                <w:sz w:val="24"/>
                <w:szCs w:val="24"/>
                <w:shd w:val="clear" w:color="auto" w:fill="FFFFFF"/>
                <w:lang w:val="en-US" w:eastAsia="zh-CN"/>
                <w14:textFill>
                  <w14:solidFill>
                    <w14:schemeClr w14:val="tx1"/>
                  </w14:solidFill>
                </w14:textFill>
              </w:rPr>
              <w:t>市科技创新平台基地1个：</w:t>
            </w:r>
            <w:r>
              <w:rPr>
                <w:rFonts w:hint="eastAsia" w:ascii="仿宋_GB2312" w:hAnsi="仿宋_GB2312" w:eastAsia="仿宋_GB2312" w:cs="仿宋_GB2312"/>
                <w:b w:val="0"/>
                <w:bCs w:val="0"/>
                <w:color w:val="000000" w:themeColor="text1"/>
                <w:spacing w:val="0"/>
                <w:sz w:val="24"/>
                <w:szCs w:val="24"/>
                <w:shd w:val="clear" w:color="auto" w:fill="FFFFFF"/>
                <w:lang w:val="en-US" w:eastAsia="zh-CN"/>
                <w14:textFill>
                  <w14:solidFill>
                    <w14:schemeClr w14:val="tx1"/>
                  </w14:solidFill>
                </w14:textFill>
              </w:rPr>
              <w:t>山西丰田肥业有限公司。</w:t>
            </w:r>
          </w:p>
        </w:tc>
      </w:tr>
    </w:tbl>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78" w:lineRule="exact"/>
        <w:jc w:val="both"/>
        <w:textAlignment w:val="auto"/>
        <w:outlineLvl w:val="9"/>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pPr>
    </w:p>
    <w:tbl>
      <w:tblPr>
        <w:tblStyle w:val="7"/>
        <w:tblW w:w="8799" w:type="dxa"/>
        <w:tblInd w:w="76" w:type="dxa"/>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Layout w:type="fixed"/>
        <w:tblCellMar>
          <w:top w:w="0" w:type="dxa"/>
          <w:left w:w="0" w:type="dxa"/>
          <w:bottom w:w="0" w:type="dxa"/>
          <w:right w:w="0" w:type="dxa"/>
        </w:tblCellMar>
      </w:tblPr>
      <w:tblGrid>
        <w:gridCol w:w="8799"/>
      </w:tblGrid>
      <w:tr>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PrEx>
        <w:trPr>
          <w:trHeight w:val="613" w:hRule="atLeast"/>
        </w:trPr>
        <w:tc>
          <w:tcPr>
            <w:tcW w:w="8799" w:type="dxa"/>
            <w:vAlign w:val="top"/>
          </w:tcPr>
          <w:p>
            <w:pPr>
              <w:spacing w:before="93" w:beforeLines="30" w:after="93" w:afterLines="30" w:line="400" w:lineRule="exact"/>
              <w:jc w:val="center"/>
              <w:rPr>
                <w:rFonts w:ascii="黑体" w:hAnsi="黑体" w:eastAsia="黑体" w:cs="黑体"/>
                <w:color w:val="000000" w:themeColor="text1"/>
                <w:spacing w:val="0"/>
                <w:sz w:val="22"/>
                <w:szCs w:val="22"/>
                <w14:textFill>
                  <w14:solidFill>
                    <w14:schemeClr w14:val="tx1"/>
                  </w14:solidFill>
                </w14:textFill>
              </w:rPr>
            </w:pPr>
            <w:r>
              <w:rPr>
                <w:rFonts w:hint="default" w:ascii="黑体" w:hAnsi="黑体" w:eastAsia="黑体" w:cs="黑体"/>
                <w:b w:val="0"/>
                <w:bCs w:val="0"/>
                <w:color w:val="000000" w:themeColor="text1"/>
                <w:spacing w:val="0"/>
                <w:sz w:val="28"/>
                <w:szCs w:val="28"/>
                <w14:textFill>
                  <w14:solidFill>
                    <w14:schemeClr w14:val="tx1"/>
                  </w14:solidFill>
                </w14:textFill>
              </w:rPr>
              <w:t>专栏</w:t>
            </w:r>
            <w:r>
              <w:rPr>
                <w:rFonts w:hint="default" w:ascii="黑体" w:hAnsi="黑体" w:eastAsia="黑体" w:cs="黑体"/>
                <w:b w:val="0"/>
                <w:bCs w:val="0"/>
                <w:color w:val="000000" w:themeColor="text1"/>
                <w:spacing w:val="0"/>
                <w:sz w:val="28"/>
                <w:szCs w:val="28"/>
                <w:lang w:val="en-US" w:eastAsia="zh-CN"/>
                <w14:textFill>
                  <w14:solidFill>
                    <w14:schemeClr w14:val="tx1"/>
                  </w14:solidFill>
                </w14:textFill>
              </w:rPr>
              <w:t>3</w:t>
            </w:r>
            <w:r>
              <w:rPr>
                <w:rFonts w:hint="eastAsia" w:ascii="黑体" w:hAnsi="黑体" w:eastAsia="黑体" w:cs="黑体"/>
                <w:b w:val="0"/>
                <w:bCs w:val="0"/>
                <w:color w:val="000000" w:themeColor="text1"/>
                <w:spacing w:val="0"/>
                <w:sz w:val="28"/>
                <w:szCs w:val="28"/>
                <w:lang w:val="en-US" w:eastAsia="zh-CN"/>
                <w14:textFill>
                  <w14:solidFill>
                    <w14:schemeClr w14:val="tx1"/>
                  </w14:solidFill>
                </w14:textFill>
              </w:rPr>
              <w:t xml:space="preserve">  企业获评专精特新中小企业等称号</w:t>
            </w:r>
          </w:p>
        </w:tc>
      </w:tr>
      <w:tr>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PrEx>
        <w:trPr>
          <w:trHeight w:val="3721" w:hRule="atLeast"/>
        </w:trPr>
        <w:tc>
          <w:tcPr>
            <w:tcW w:w="8799" w:type="dxa"/>
            <w:vAlign w:val="top"/>
          </w:tcPr>
          <w:p>
            <w:pPr>
              <w:keepNext w:val="0"/>
              <w:keepLines w:val="0"/>
              <w:pageBreakBefore w:val="0"/>
              <w:widowControl w:val="0"/>
              <w:kinsoku/>
              <w:wordWrap/>
              <w:overflowPunct/>
              <w:topLinePunct w:val="0"/>
              <w:autoSpaceDE/>
              <w:autoSpaceDN/>
              <w:bidi w:val="0"/>
              <w:adjustRightInd/>
              <w:snapToGrid/>
              <w:spacing w:line="400" w:lineRule="exact"/>
              <w:ind w:firstLine="481" w:firstLineChars="200"/>
              <w:jc w:val="both"/>
              <w:textAlignment w:val="auto"/>
              <w:rPr>
                <w:rFonts w:hint="eastAsia" w:ascii="仿宋_GB2312" w:hAnsi="仿宋_GB2312" w:eastAsia="仿宋_GB2312" w:cs="仿宋_GB2312"/>
                <w:b w:val="0"/>
                <w:bCs w:val="0"/>
                <w:color w:val="000000" w:themeColor="text1"/>
                <w:spacing w:val="0"/>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b/>
                <w:bCs/>
                <w:color w:val="000000" w:themeColor="text1"/>
                <w:spacing w:val="0"/>
                <w:sz w:val="24"/>
                <w:szCs w:val="24"/>
                <w:shd w:val="clear" w:color="auto" w:fill="FFFFFF"/>
                <w:lang w:val="en-US" w:eastAsia="zh-CN"/>
                <w14:textFill>
                  <w14:solidFill>
                    <w14:schemeClr w14:val="tx1"/>
                  </w14:solidFill>
                </w14:textFill>
              </w:rPr>
              <w:t>省级专精特新中小企业12家：</w:t>
            </w:r>
            <w:r>
              <w:rPr>
                <w:rFonts w:hint="eastAsia" w:ascii="仿宋_GB2312" w:hAnsi="仿宋_GB2312" w:eastAsia="仿宋_GB2312" w:cs="仿宋_GB2312"/>
                <w:b w:val="0"/>
                <w:bCs w:val="0"/>
                <w:color w:val="000000" w:themeColor="text1"/>
                <w:spacing w:val="0"/>
                <w:sz w:val="24"/>
                <w:szCs w:val="24"/>
                <w:shd w:val="clear" w:color="auto" w:fill="FFFFFF"/>
                <w:lang w:val="en-US" w:eastAsia="zh-CN"/>
                <w14:textFill>
                  <w14:solidFill>
                    <w14:schemeClr w14:val="tx1"/>
                  </w14:solidFill>
                </w14:textFill>
              </w:rPr>
              <w:t>山西金兰化工股份有限公司、山西东锦肥业有限公司、交城县三喜化工有限公司、山西七星化工科技有限公司、山西省交城红星化工有限公司、山西丰田肥业有限公司、田丰化工（山西）集团股份有限公司、山西沃锦新材料股份有限公司、山西鼎鑫肥业股份有限公司、山西恩泽生物技术有限公司、山西磊鑫化工股份有限公司、山西天宁新材料有限公司。</w:t>
            </w:r>
          </w:p>
          <w:p>
            <w:pPr>
              <w:keepNext w:val="0"/>
              <w:keepLines w:val="0"/>
              <w:pageBreakBefore w:val="0"/>
              <w:widowControl w:val="0"/>
              <w:kinsoku/>
              <w:wordWrap/>
              <w:overflowPunct/>
              <w:topLinePunct w:val="0"/>
              <w:autoSpaceDE/>
              <w:autoSpaceDN/>
              <w:bidi w:val="0"/>
              <w:adjustRightInd/>
              <w:snapToGrid/>
              <w:spacing w:line="400" w:lineRule="exact"/>
              <w:ind w:firstLine="481" w:firstLineChars="200"/>
              <w:jc w:val="both"/>
              <w:textAlignment w:val="auto"/>
              <w:rPr>
                <w:rFonts w:hint="eastAsia" w:ascii="仿宋_GB2312" w:hAnsi="仿宋_GB2312" w:eastAsia="仿宋_GB2312" w:cs="仿宋_GB2312"/>
                <w:b w:val="0"/>
                <w:bCs w:val="0"/>
                <w:color w:val="000000" w:themeColor="text1"/>
                <w:spacing w:val="0"/>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b/>
                <w:bCs/>
                <w:color w:val="000000" w:themeColor="text1"/>
                <w:spacing w:val="0"/>
                <w:sz w:val="24"/>
                <w:szCs w:val="24"/>
                <w:shd w:val="clear" w:color="auto" w:fill="FFFFFF"/>
                <w:lang w:val="en-US" w:eastAsia="zh-CN"/>
                <w14:textFill>
                  <w14:solidFill>
                    <w14:schemeClr w14:val="tx1"/>
                  </w14:solidFill>
                </w14:textFill>
              </w:rPr>
              <w:t>省级专精特新“小巨人”企业4家：</w:t>
            </w:r>
            <w:r>
              <w:rPr>
                <w:rFonts w:hint="eastAsia" w:ascii="仿宋_GB2312" w:hAnsi="仿宋_GB2312" w:eastAsia="仿宋_GB2312" w:cs="仿宋_GB2312"/>
                <w:b w:val="0"/>
                <w:bCs w:val="0"/>
                <w:color w:val="000000" w:themeColor="text1"/>
                <w:spacing w:val="0"/>
                <w:sz w:val="24"/>
                <w:szCs w:val="24"/>
                <w:shd w:val="clear" w:color="auto" w:fill="FFFFFF"/>
                <w:lang w:val="en-US" w:eastAsia="zh-CN"/>
                <w14:textFill>
                  <w14:solidFill>
                    <w14:schemeClr w14:val="tx1"/>
                  </w14:solidFill>
                </w14:textFill>
              </w:rPr>
              <w:t>山西金兰化工股份有限公司、山西磊鑫化工股份有限公司、交城县三喜化工有限公司、交城县并盛化工有限公司。</w:t>
            </w:r>
          </w:p>
          <w:p>
            <w:pPr>
              <w:keepNext w:val="0"/>
              <w:keepLines w:val="0"/>
              <w:pageBreakBefore w:val="0"/>
              <w:widowControl w:val="0"/>
              <w:kinsoku/>
              <w:wordWrap/>
              <w:overflowPunct/>
              <w:topLinePunct w:val="0"/>
              <w:autoSpaceDE/>
              <w:autoSpaceDN/>
              <w:bidi w:val="0"/>
              <w:adjustRightInd/>
              <w:snapToGrid/>
              <w:spacing w:line="400" w:lineRule="exact"/>
              <w:ind w:firstLine="481" w:firstLineChars="200"/>
              <w:jc w:val="both"/>
              <w:textAlignment w:val="auto"/>
              <w:rPr>
                <w:rFonts w:hint="eastAsia" w:ascii="仿宋_GB2312" w:hAnsi="仿宋_GB2312" w:eastAsia="仿宋_GB2312" w:cs="仿宋_GB2312"/>
                <w:b w:val="0"/>
                <w:bCs w:val="0"/>
                <w:color w:val="000000" w:themeColor="text1"/>
                <w:spacing w:val="0"/>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b/>
                <w:bCs/>
                <w:color w:val="000000" w:themeColor="text1"/>
                <w:spacing w:val="0"/>
                <w:sz w:val="24"/>
                <w:szCs w:val="24"/>
                <w:shd w:val="clear" w:color="auto" w:fill="FFFFFF"/>
                <w:lang w:val="en-US" w:eastAsia="zh-CN"/>
                <w14:textFill>
                  <w14:solidFill>
                    <w14:schemeClr w14:val="tx1"/>
                  </w14:solidFill>
                </w14:textFill>
              </w:rPr>
              <w:t>省级创新型中小企业3家：</w:t>
            </w:r>
            <w:r>
              <w:rPr>
                <w:rFonts w:hint="eastAsia" w:ascii="仿宋_GB2312" w:hAnsi="仿宋_GB2312" w:eastAsia="仿宋_GB2312" w:cs="仿宋_GB2312"/>
                <w:b w:val="0"/>
                <w:bCs w:val="0"/>
                <w:color w:val="000000" w:themeColor="text1"/>
                <w:spacing w:val="0"/>
                <w:sz w:val="24"/>
                <w:szCs w:val="24"/>
                <w:shd w:val="clear" w:color="auto" w:fill="FFFFFF"/>
                <w:lang w:val="en-US" w:eastAsia="zh-CN"/>
                <w14:textFill>
                  <w14:solidFill>
                    <w14:schemeClr w14:val="tx1"/>
                  </w14:solidFill>
                </w14:textFill>
              </w:rPr>
              <w:t>山西七星化工科技有限公司、山西华鑫肥业股份有限公司、交城县德谦肥业有限公司。</w:t>
            </w:r>
          </w:p>
          <w:p>
            <w:pPr>
              <w:keepNext w:val="0"/>
              <w:keepLines w:val="0"/>
              <w:pageBreakBefore w:val="0"/>
              <w:widowControl w:val="0"/>
              <w:kinsoku/>
              <w:wordWrap/>
              <w:overflowPunct/>
              <w:topLinePunct w:val="0"/>
              <w:autoSpaceDE/>
              <w:autoSpaceDN/>
              <w:bidi w:val="0"/>
              <w:adjustRightInd/>
              <w:snapToGrid/>
              <w:spacing w:line="400" w:lineRule="exact"/>
              <w:ind w:firstLine="481" w:firstLineChars="200"/>
              <w:jc w:val="both"/>
              <w:textAlignment w:val="auto"/>
              <w:rPr>
                <w:rFonts w:hint="eastAsia" w:ascii="仿宋_GB2312" w:hAnsi="仿宋_GB2312" w:eastAsia="仿宋_GB2312" w:cs="仿宋_GB2312"/>
                <w:b/>
                <w:bCs/>
                <w:color w:val="000000" w:themeColor="text1"/>
                <w:spacing w:val="0"/>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b/>
                <w:bCs/>
                <w:color w:val="000000" w:themeColor="text1"/>
                <w:spacing w:val="0"/>
                <w:sz w:val="24"/>
                <w:szCs w:val="24"/>
                <w:shd w:val="clear" w:color="auto" w:fill="FFFFFF"/>
                <w:lang w:val="en-US" w:eastAsia="zh-CN"/>
                <w14:textFill>
                  <w14:solidFill>
                    <w14:schemeClr w14:val="tx1"/>
                  </w14:solidFill>
                </w14:textFill>
              </w:rPr>
              <w:t>省级智能制造试点示范企业1家：</w:t>
            </w:r>
            <w:r>
              <w:rPr>
                <w:rFonts w:hint="eastAsia" w:ascii="仿宋_GB2312" w:hAnsi="仿宋_GB2312" w:eastAsia="仿宋_GB2312" w:cs="仿宋_GB2312"/>
                <w:b w:val="0"/>
                <w:bCs w:val="0"/>
                <w:color w:val="000000" w:themeColor="text1"/>
                <w:spacing w:val="0"/>
                <w:sz w:val="24"/>
                <w:szCs w:val="24"/>
                <w:shd w:val="clear" w:color="auto" w:fill="FFFFFF"/>
                <w:lang w:val="en-US" w:eastAsia="zh-CN"/>
                <w14:textFill>
                  <w14:solidFill>
                    <w14:schemeClr w14:val="tx1"/>
                  </w14:solidFill>
                </w14:textFill>
              </w:rPr>
              <w:t>山西东锦肥业有限公司。</w:t>
            </w:r>
          </w:p>
          <w:p>
            <w:pPr>
              <w:keepNext w:val="0"/>
              <w:keepLines w:val="0"/>
              <w:pageBreakBefore w:val="0"/>
              <w:widowControl w:val="0"/>
              <w:kinsoku/>
              <w:wordWrap/>
              <w:overflowPunct/>
              <w:topLinePunct w:val="0"/>
              <w:autoSpaceDE/>
              <w:autoSpaceDN/>
              <w:bidi w:val="0"/>
              <w:adjustRightInd/>
              <w:snapToGrid/>
              <w:spacing w:line="400" w:lineRule="exact"/>
              <w:ind w:firstLine="481" w:firstLineChars="200"/>
              <w:jc w:val="both"/>
              <w:textAlignment w:val="auto"/>
              <w:rPr>
                <w:color w:val="000000" w:themeColor="text1"/>
                <w:spacing w:val="0"/>
                <w14:textFill>
                  <w14:solidFill>
                    <w14:schemeClr w14:val="tx1"/>
                  </w14:solidFill>
                </w14:textFill>
              </w:rPr>
            </w:pPr>
            <w:r>
              <w:rPr>
                <w:rFonts w:hint="eastAsia" w:ascii="仿宋_GB2312" w:hAnsi="仿宋_GB2312" w:eastAsia="仿宋_GB2312" w:cs="仿宋_GB2312"/>
                <w:b/>
                <w:bCs/>
                <w:color w:val="000000" w:themeColor="text1"/>
                <w:spacing w:val="0"/>
                <w:sz w:val="24"/>
                <w:szCs w:val="24"/>
                <w:shd w:val="clear" w:color="auto" w:fill="FFFFFF"/>
                <w:lang w:val="en-US" w:eastAsia="zh-CN"/>
                <w14:textFill>
                  <w14:solidFill>
                    <w14:schemeClr w14:val="tx1"/>
                  </w14:solidFill>
                </w14:textFill>
              </w:rPr>
              <w:t>省“四新”中小企业1家：</w:t>
            </w:r>
            <w:r>
              <w:rPr>
                <w:rFonts w:hint="eastAsia" w:ascii="仿宋_GB2312" w:hAnsi="仿宋_GB2312" w:eastAsia="仿宋_GB2312" w:cs="仿宋_GB2312"/>
                <w:b w:val="0"/>
                <w:bCs w:val="0"/>
                <w:color w:val="000000" w:themeColor="text1"/>
                <w:spacing w:val="0"/>
                <w:sz w:val="24"/>
                <w:szCs w:val="24"/>
                <w:shd w:val="clear" w:color="auto" w:fill="FFFFFF"/>
                <w:lang w:val="en-US" w:eastAsia="zh-CN"/>
                <w14:textFill>
                  <w14:solidFill>
                    <w14:schemeClr w14:val="tx1"/>
                  </w14:solidFill>
                </w14:textFill>
              </w:rPr>
              <w:t>山西恩泽生物技术有限公司。</w:t>
            </w:r>
          </w:p>
        </w:tc>
      </w:tr>
    </w:tbl>
    <w:p>
      <w:pPr>
        <w:bidi w:val="0"/>
        <w:rPr>
          <w:rFonts w:hint="eastAsia"/>
          <w:color w:val="000000" w:themeColor="text1"/>
          <w:lang w:val="en-US"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78" w:lineRule="exact"/>
        <w:ind w:firstLine="642" w:firstLineChars="200"/>
        <w:jc w:val="both"/>
        <w:textAlignment w:val="auto"/>
        <w:outlineLvl w:val="9"/>
        <w:rPr>
          <w:rFonts w:hint="default"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pPr>
      <w:r>
        <w:rPr>
          <w:rFonts w:hint="eastAsia" w:ascii="Times New Roman" w:hAnsi="Times New Roman" w:eastAsia="仿宋_GB2312" w:cs="Times New Roman"/>
          <w:b/>
          <w:bCs w:val="0"/>
          <w:color w:val="000000" w:themeColor="text1"/>
          <w:spacing w:val="0"/>
          <w:kern w:val="2"/>
          <w:sz w:val="32"/>
          <w:szCs w:val="32"/>
          <w:lang w:val="en-US" w:eastAsia="zh-CN" w:bidi="ar-SA"/>
          <w14:textFill>
            <w14:solidFill>
              <w14:schemeClr w14:val="tx1"/>
            </w14:solidFill>
          </w14:textFill>
        </w:rPr>
        <w:t>龙头企业</w:t>
      </w:r>
      <w:bookmarkEnd w:id="10"/>
      <w:r>
        <w:rPr>
          <w:rFonts w:hint="eastAsia" w:ascii="Times New Roman" w:hAnsi="Times New Roman" w:eastAsia="仿宋_GB2312" w:cs="Times New Roman"/>
          <w:b/>
          <w:bCs w:val="0"/>
          <w:color w:val="000000" w:themeColor="text1"/>
          <w:spacing w:val="0"/>
          <w:kern w:val="2"/>
          <w:sz w:val="32"/>
          <w:szCs w:val="32"/>
          <w:lang w:val="en-US" w:eastAsia="zh-CN" w:bidi="ar-SA"/>
          <w14:textFill>
            <w14:solidFill>
              <w14:schemeClr w14:val="tx1"/>
            </w14:solidFill>
          </w14:textFill>
        </w:rPr>
        <w:t>地位突出。</w:t>
      </w:r>
      <w:r>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交城</w:t>
      </w:r>
      <w:r>
        <w:rPr>
          <w:rFonts w:hint="default"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硝基复合肥</w:t>
      </w:r>
      <w:r>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专业镇龙头企业有5家，</w:t>
      </w:r>
      <w:r>
        <w:rPr>
          <w:rFonts w:hint="default"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包括山西华鑫肥业股</w:t>
      </w:r>
      <w:r>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份有限公司、</w:t>
      </w:r>
      <w:r>
        <w:rPr>
          <w:rFonts w:hint="default"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山西</w:t>
      </w:r>
      <w:r>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东锦肥业</w:t>
      </w:r>
      <w:r>
        <w:rPr>
          <w:rFonts w:hint="default"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有限公司</w:t>
      </w:r>
      <w:r>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、山西磊鑫化工股份有限公司、交城县三喜化工有限公司、山西省交城红星化工有限公司。</w:t>
      </w:r>
      <w:r>
        <w:rPr>
          <w:rFonts w:hint="default"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其中</w:t>
      </w:r>
      <w:r>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w:t>
      </w:r>
      <w:r>
        <w:rPr>
          <w:rFonts w:hint="default"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龙头企业产品</w:t>
      </w:r>
      <w:r>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年</w:t>
      </w:r>
      <w:r>
        <w:rPr>
          <w:rFonts w:hint="default"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销售收入</w:t>
      </w:r>
      <w:r>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超出30亿元，占专业镇</w:t>
      </w:r>
      <w:r>
        <w:rPr>
          <w:rFonts w:hint="eastAsia" w:ascii="仿宋_GB2312" w:hAnsi="仿宋_GB2312" w:eastAsia="仿宋_GB2312" w:cs="仿宋_GB2312"/>
          <w:b w:val="0"/>
          <w:color w:val="000000" w:themeColor="text1"/>
          <w:spacing w:val="0"/>
          <w:kern w:val="2"/>
          <w:sz w:val="32"/>
          <w:szCs w:val="32"/>
          <w:highlight w:val="none"/>
          <w:lang w:val="en-US" w:eastAsia="zh-CN" w:bidi="ar-SA"/>
          <w14:textFill>
            <w14:solidFill>
              <w14:schemeClr w14:val="tx1"/>
            </w14:solidFill>
          </w14:textFill>
        </w:rPr>
        <w:t>总营收</w:t>
      </w:r>
      <w:r>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的56%，</w:t>
      </w:r>
      <w:r>
        <w:rPr>
          <w:rFonts w:hint="eastAsia" w:ascii="仿宋_GB2312" w:hAnsi="仿宋_GB2312" w:eastAsia="仿宋_GB2312" w:cs="仿宋_GB2312"/>
          <w:b w:val="0"/>
          <w:color w:val="000000" w:themeColor="text1"/>
          <w:spacing w:val="0"/>
          <w:kern w:val="2"/>
          <w:sz w:val="32"/>
          <w:szCs w:val="32"/>
          <w:highlight w:val="none"/>
          <w:lang w:val="en-US" w:eastAsia="zh-CN" w:bidi="ar-SA"/>
          <w14:textFill>
            <w14:solidFill>
              <w14:schemeClr w14:val="tx1"/>
            </w14:solidFill>
          </w14:textFill>
        </w:rPr>
        <w:t>销售收入、外贸出口额、净利润等主要经济指标年均增长达到25%，国</w:t>
      </w:r>
      <w:r>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内外市场影响力</w:t>
      </w:r>
      <w:r>
        <w:rPr>
          <w:rFonts w:hint="eastAsia" w:ascii="仿宋_GB2312" w:hAnsi="仿宋_GB2312" w:eastAsia="仿宋_GB2312" w:cs="仿宋_GB2312"/>
          <w:b w:val="0"/>
          <w:color w:val="000000" w:themeColor="text1"/>
          <w:spacing w:val="0"/>
          <w:kern w:val="2"/>
          <w:sz w:val="32"/>
          <w:szCs w:val="32"/>
          <w:highlight w:val="none"/>
          <w:lang w:val="en-US" w:eastAsia="zh-CN" w:bidi="ar-SA"/>
          <w14:textFill>
            <w14:solidFill>
              <w14:schemeClr w14:val="tx1"/>
            </w14:solidFill>
          </w14:textFill>
        </w:rPr>
        <w:t>显著增强</w:t>
      </w:r>
      <w:r>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，企业规模</w:t>
      </w:r>
      <w:r>
        <w:rPr>
          <w:rFonts w:hint="eastAsia" w:ascii="仿宋_GB2312" w:hAnsi="仿宋_GB2312" w:eastAsia="仿宋_GB2312" w:cs="仿宋_GB2312"/>
          <w:b w:val="0"/>
          <w:color w:val="000000" w:themeColor="text1"/>
          <w:spacing w:val="0"/>
          <w:kern w:val="2"/>
          <w:sz w:val="32"/>
          <w:szCs w:val="32"/>
          <w:highlight w:val="none"/>
          <w:lang w:val="en-US" w:eastAsia="zh-CN" w:bidi="ar-SA"/>
          <w14:textFill>
            <w14:solidFill>
              <w14:schemeClr w14:val="tx1"/>
            </w14:solidFill>
          </w14:textFill>
        </w:rPr>
        <w:t>不断壮大</w:t>
      </w:r>
      <w:r>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，技术水平国际先进、行业领先，在硝基复合肥领域具有举足轻重的地位。</w:t>
      </w:r>
    </w:p>
    <w:p>
      <w:pPr>
        <w:keepNext w:val="0"/>
        <w:keepLines w:val="0"/>
        <w:pageBreakBefore w:val="0"/>
        <w:widowControl w:val="0"/>
        <w:kinsoku/>
        <w:wordWrap/>
        <w:overflowPunct/>
        <w:topLinePunct w:val="0"/>
        <w:autoSpaceDE/>
        <w:autoSpaceDN/>
        <w:bidi w:val="0"/>
        <w:adjustRightInd/>
        <w:snapToGrid/>
        <w:spacing w:line="578" w:lineRule="exact"/>
        <w:ind w:firstLine="642" w:firstLineChars="200"/>
        <w:jc w:val="both"/>
        <w:textAlignment w:val="auto"/>
        <w:outlineLvl w:val="9"/>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pPr>
      <w:r>
        <w:rPr>
          <w:rFonts w:hint="eastAsia" w:ascii="Times New Roman" w:hAnsi="Times New Roman" w:eastAsia="仿宋_GB2312"/>
          <w:b/>
          <w:bCs/>
          <w:color w:val="000000" w:themeColor="text1"/>
          <w:spacing w:val="0"/>
          <w:sz w:val="32"/>
          <w:szCs w:val="32"/>
          <w:lang w:val="en-US" w:eastAsia="zh-CN"/>
          <w14:textFill>
            <w14:solidFill>
              <w14:schemeClr w14:val="tx1"/>
            </w14:solidFill>
          </w14:textFill>
        </w:rPr>
        <w:t>产校融合走深走实。</w:t>
      </w:r>
      <w:r>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山西金兰化工股份有限公司分别与山西农业大学资源环境学院、山西省化工设计院签订《产学研合作协议》，加速新型肥料科技成果转化。山西东锦肥业有限公司与太原理工大学签订《低品位能源高效利用重点实验室合作申报框架协议》。山西省交城红星化工有限公司与新加坡</w:t>
      </w:r>
      <w:r>
        <w:rPr>
          <w:rFonts w:hint="eastAsia" w:ascii="仿宋" w:hAnsi="仿宋" w:eastAsia="仿宋" w:cs="仿宋"/>
          <w:b w:val="0"/>
          <w:color w:val="000000" w:themeColor="text1"/>
          <w:spacing w:val="0"/>
          <w:kern w:val="2"/>
          <w:sz w:val="32"/>
          <w:szCs w:val="32"/>
          <w:lang w:val="en-US" w:eastAsia="zh-CN" w:bidi="ar-SA"/>
          <w14:textFill>
            <w14:solidFill>
              <w14:schemeClr w14:val="tx1"/>
            </w14:solidFill>
          </w14:textFill>
        </w:rPr>
        <w:t>AASTRPTE CTD</w:t>
      </w:r>
      <w:r>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公司联合研发全硝态氮中量元素水溶肥，达到国际先进水平，成为首例在国家农业部注册的产品。山西丰田肥业有限公司与忻州师范学院生物系共建土壤检测实验室、作物营养分析实验室，致力于农田土壤环境分析、智慧农业技术和服务“三农”。</w:t>
      </w:r>
    </w:p>
    <w:p>
      <w:pPr>
        <w:keepNext w:val="0"/>
        <w:keepLines w:val="0"/>
        <w:pageBreakBefore w:val="0"/>
        <w:widowControl w:val="0"/>
        <w:suppressLineNumbers w:val="0"/>
        <w:kinsoku/>
        <w:wordWrap/>
        <w:overflowPunct/>
        <w:topLinePunct w:val="0"/>
        <w:autoSpaceDE/>
        <w:autoSpaceDN/>
        <w:bidi w:val="0"/>
        <w:adjustRightInd/>
        <w:snapToGrid/>
        <w:spacing w:line="578" w:lineRule="exact"/>
        <w:ind w:firstLine="642" w:firstLineChars="200"/>
        <w:jc w:val="both"/>
        <w:textAlignment w:val="auto"/>
        <w:outlineLvl w:val="9"/>
        <w:rPr>
          <w:rFonts w:hint="default"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pPr>
      <w:r>
        <w:rPr>
          <w:rFonts w:ascii="Times New Roman" w:hAnsi="Times New Roman" w:eastAsia="仿宋_GB2312"/>
          <w:b/>
          <w:bCs/>
          <w:color w:val="000000" w:themeColor="text1"/>
          <w:spacing w:val="0"/>
          <w:sz w:val="32"/>
          <w:szCs w:val="32"/>
          <w14:textFill>
            <w14:solidFill>
              <w14:schemeClr w14:val="tx1"/>
            </w14:solidFill>
          </w14:textFill>
        </w:rPr>
        <w:t>服务体系</w:t>
      </w:r>
      <w:r>
        <w:rPr>
          <w:rFonts w:hint="eastAsia" w:ascii="Times New Roman" w:hAnsi="Times New Roman" w:eastAsia="仿宋_GB2312"/>
          <w:b/>
          <w:bCs/>
          <w:color w:val="000000" w:themeColor="text1"/>
          <w:spacing w:val="0"/>
          <w:sz w:val="32"/>
          <w:szCs w:val="32"/>
          <w:lang w:val="en-US" w:eastAsia="zh-CN"/>
          <w14:textFill>
            <w14:solidFill>
              <w14:schemeClr w14:val="tx1"/>
            </w14:solidFill>
          </w14:textFill>
        </w:rPr>
        <w:t>不断</w:t>
      </w:r>
      <w:r>
        <w:rPr>
          <w:rFonts w:ascii="Times New Roman" w:hAnsi="Times New Roman" w:eastAsia="仿宋_GB2312"/>
          <w:b/>
          <w:bCs/>
          <w:color w:val="000000" w:themeColor="text1"/>
          <w:spacing w:val="0"/>
          <w:sz w:val="32"/>
          <w:szCs w:val="32"/>
          <w14:textFill>
            <w14:solidFill>
              <w14:schemeClr w14:val="tx1"/>
            </w14:solidFill>
          </w14:textFill>
        </w:rPr>
        <w:t>健全。</w:t>
      </w:r>
      <w:r>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以专业镇企业实际需求为导向，搭建中小企业公共服务平台，形成功能完善、特色鲜明、运营规范、社会影响力大的服务体系。</w:t>
      </w:r>
      <w:r>
        <w:rPr>
          <w:rFonts w:hint="default"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专业镇公共服务平台主要有12家，其中政府主导的平台7家，社会资本主导的平台5家。公共服务平台主要服务功能涵盖研发设计、检验检测、实训培训、物流服务、信息咨询、知识产权保护、融资担保、产品展销服务、电子商务等。2022年交城县政府与太原晋阳海关签订战略合作备忘录，</w:t>
      </w:r>
      <w:r>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每年</w:t>
      </w:r>
      <w:r>
        <w:rPr>
          <w:rFonts w:hint="default"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拨付100万元支持海关检测</w:t>
      </w:r>
      <w:r>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，并</w:t>
      </w:r>
      <w:r>
        <w:rPr>
          <w:rFonts w:hint="default"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在交城</w:t>
      </w:r>
      <w:r>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经济</w:t>
      </w:r>
      <w:r>
        <w:rPr>
          <w:rFonts w:hint="default"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开发区</w:t>
      </w:r>
      <w:r>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提供办公场所</w:t>
      </w:r>
      <w:r>
        <w:rPr>
          <w:rFonts w:hint="default"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w:t>
      </w:r>
    </w:p>
    <w:p>
      <w:pPr>
        <w:bidi w:val="0"/>
        <w:rPr>
          <w:rFonts w:hint="eastAsia"/>
          <w:color w:val="000000" w:themeColor="text1"/>
          <w:lang w:val="en-US" w:eastAsia="zh-CN"/>
          <w14:textFill>
            <w14:solidFill>
              <w14:schemeClr w14:val="tx1"/>
            </w14:solidFill>
          </w14:textFill>
        </w:rPr>
      </w:pPr>
    </w:p>
    <w:tbl>
      <w:tblPr>
        <w:tblStyle w:val="7"/>
        <w:tblW w:w="8799" w:type="dxa"/>
        <w:tblInd w:w="76" w:type="dxa"/>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Layout w:type="fixed"/>
        <w:tblCellMar>
          <w:top w:w="0" w:type="dxa"/>
          <w:left w:w="0" w:type="dxa"/>
          <w:bottom w:w="0" w:type="dxa"/>
          <w:right w:w="0" w:type="dxa"/>
        </w:tblCellMar>
      </w:tblPr>
      <w:tblGrid>
        <w:gridCol w:w="8799"/>
      </w:tblGrid>
      <w:tr>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PrEx>
        <w:trPr>
          <w:trHeight w:val="613" w:hRule="atLeast"/>
        </w:trPr>
        <w:tc>
          <w:tcPr>
            <w:tcW w:w="8799" w:type="dxa"/>
            <w:vAlign w:val="top"/>
          </w:tcPr>
          <w:p>
            <w:pPr>
              <w:spacing w:before="93" w:beforeLines="30" w:after="93" w:afterLines="30" w:line="400" w:lineRule="exact"/>
              <w:jc w:val="center"/>
              <w:rPr>
                <w:rFonts w:hint="eastAsia" w:ascii="黑体" w:hAnsi="黑体" w:eastAsia="黑体" w:cs="黑体"/>
                <w:b w:val="0"/>
                <w:bCs w:val="0"/>
                <w:color w:val="000000" w:themeColor="text1"/>
                <w:spacing w:val="0"/>
                <w:sz w:val="32"/>
                <w:szCs w:val="32"/>
                <w:lang w:val="en-US" w:eastAsia="zh-CN"/>
                <w14:textFill>
                  <w14:solidFill>
                    <w14:schemeClr w14:val="tx1"/>
                  </w14:solidFill>
                </w14:textFill>
              </w:rPr>
            </w:pPr>
            <w:r>
              <w:rPr>
                <w:rFonts w:hint="default" w:ascii="黑体" w:hAnsi="黑体" w:eastAsia="黑体" w:cs="黑体"/>
                <w:b w:val="0"/>
                <w:bCs w:val="0"/>
                <w:color w:val="000000" w:themeColor="text1"/>
                <w:spacing w:val="0"/>
                <w:sz w:val="28"/>
                <w:szCs w:val="28"/>
                <w14:textFill>
                  <w14:solidFill>
                    <w14:schemeClr w14:val="tx1"/>
                  </w14:solidFill>
                </w14:textFill>
              </w:rPr>
              <w:t>专栏</w:t>
            </w:r>
            <w:r>
              <w:rPr>
                <w:rFonts w:hint="eastAsia" w:ascii="黑体" w:hAnsi="黑体" w:eastAsia="黑体" w:cs="黑体"/>
                <w:b w:val="0"/>
                <w:bCs w:val="0"/>
                <w:color w:val="000000" w:themeColor="text1"/>
                <w:spacing w:val="0"/>
                <w:sz w:val="28"/>
                <w:szCs w:val="28"/>
                <w:lang w:val="en-US" w:eastAsia="zh-CN"/>
                <w14:textFill>
                  <w14:solidFill>
                    <w14:schemeClr w14:val="tx1"/>
                  </w14:solidFill>
                </w14:textFill>
              </w:rPr>
              <w:t>4  公共服务平台建设</w:t>
            </w:r>
          </w:p>
        </w:tc>
      </w:tr>
      <w:tr>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PrEx>
        <w:trPr>
          <w:trHeight w:val="3316" w:hRule="atLeast"/>
        </w:trPr>
        <w:tc>
          <w:tcPr>
            <w:tcW w:w="8799" w:type="dxa"/>
            <w:vAlign w:val="top"/>
          </w:tcPr>
          <w:p>
            <w:pPr>
              <w:pStyle w:val="3"/>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both"/>
              <w:textAlignment w:val="auto"/>
              <w:rPr>
                <w:rFonts w:hint="eastAsia" w:ascii="仿宋" w:hAnsi="仿宋" w:eastAsia="仿宋" w:cs="仿宋"/>
                <w:i w:val="0"/>
                <w:iCs w:val="0"/>
                <w:color w:val="000000" w:themeColor="text1"/>
                <w:spacing w:val="0"/>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spacing w:val="0"/>
                <w:kern w:val="0"/>
                <w:sz w:val="24"/>
                <w:szCs w:val="24"/>
                <w:u w:val="none"/>
                <w:lang w:val="en-US" w:eastAsia="zh-CN" w:bidi="ar"/>
                <w14:textFill>
                  <w14:solidFill>
                    <w14:schemeClr w14:val="tx1"/>
                  </w14:solidFill>
                </w14:textFill>
              </w:rPr>
              <w:t>硝基复合肥专业镇研发设计由硝基肥料省技术创新中心（山西金兰化工股份有限公司）承接；检验检测由交城县综合检验检测中心承接；实训培训由交城经济开发区管理委员会人才和科技服务平台（特设窗口）、交城县创业就业服务中心承接；物流服务由山西甲一物流发展有限公司、山西甲一网络科技有限公司、吉旗物联科技（天津）有限公司、交城县民丰物流有限公司承接；信息咨询由交城经济开发区管理委员会化工园区信息指挥中心、交城县科技服务平台（政企共建）承接；知识产权保护由交城县科技服务平台（政企共建）承接；产品展销由山西中鼎云铸科技有限公司承接；电子商务由交城县肥料乡村e镇承接。</w:t>
            </w:r>
          </w:p>
        </w:tc>
      </w:tr>
    </w:tbl>
    <w:p>
      <w:pPr>
        <w:bidi w:val="0"/>
        <w:rPr>
          <w:color w:val="000000" w:themeColor="text1"/>
          <w14:textFill>
            <w14:solidFill>
              <w14:schemeClr w14:val="tx1"/>
            </w14:solidFill>
          </w14:textFill>
        </w:rPr>
      </w:pPr>
    </w:p>
    <w:p>
      <w:pPr>
        <w:keepNext w:val="0"/>
        <w:keepLines w:val="0"/>
        <w:pageBreakBefore w:val="0"/>
        <w:widowControl w:val="0"/>
        <w:suppressLineNumbers w:val="0"/>
        <w:kinsoku/>
        <w:wordWrap/>
        <w:overflowPunct/>
        <w:topLinePunct w:val="0"/>
        <w:autoSpaceDE/>
        <w:autoSpaceDN/>
        <w:bidi w:val="0"/>
        <w:adjustRightInd/>
        <w:snapToGrid/>
        <w:spacing w:line="578" w:lineRule="exact"/>
        <w:ind w:firstLine="642" w:firstLineChars="200"/>
        <w:jc w:val="both"/>
        <w:textAlignment w:val="auto"/>
        <w:outlineLvl w:val="9"/>
        <w:rPr>
          <w:rFonts w:hint="default"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pPr>
      <w:r>
        <w:rPr>
          <w:rFonts w:hint="default" w:ascii="仿宋_GB2312" w:hAnsi="仿宋_GB2312" w:eastAsia="仿宋_GB2312" w:cs="仿宋_GB2312"/>
          <w:b/>
          <w:bCs/>
          <w:color w:val="000000" w:themeColor="text1"/>
          <w:spacing w:val="0"/>
          <w:kern w:val="2"/>
          <w:sz w:val="32"/>
          <w:szCs w:val="32"/>
          <w:lang w:val="en-US" w:eastAsia="zh-CN" w:bidi="ar-SA"/>
          <w14:textFill>
            <w14:solidFill>
              <w14:schemeClr w14:val="tx1"/>
            </w14:solidFill>
          </w14:textFill>
        </w:rPr>
        <w:t>政策</w:t>
      </w:r>
      <w:r>
        <w:rPr>
          <w:rFonts w:hint="eastAsia" w:ascii="仿宋_GB2312" w:hAnsi="仿宋_GB2312" w:eastAsia="仿宋_GB2312" w:cs="仿宋_GB2312"/>
          <w:b/>
          <w:bCs/>
          <w:color w:val="000000" w:themeColor="text1"/>
          <w:spacing w:val="0"/>
          <w:kern w:val="2"/>
          <w:sz w:val="32"/>
          <w:szCs w:val="32"/>
          <w:lang w:val="en-US" w:eastAsia="zh-CN" w:bidi="ar-SA"/>
          <w14:textFill>
            <w14:solidFill>
              <w14:schemeClr w14:val="tx1"/>
            </w14:solidFill>
          </w14:textFill>
        </w:rPr>
        <w:t>红利落地见效</w:t>
      </w:r>
      <w:r>
        <w:rPr>
          <w:rFonts w:hint="default" w:ascii="仿宋_GB2312" w:hAnsi="仿宋_GB2312" w:eastAsia="仿宋_GB2312" w:cs="仿宋_GB2312"/>
          <w:b/>
          <w:bCs/>
          <w:color w:val="000000" w:themeColor="text1"/>
          <w:spacing w:val="0"/>
          <w:kern w:val="2"/>
          <w:sz w:val="32"/>
          <w:szCs w:val="32"/>
          <w:lang w:val="en-US" w:eastAsia="zh-CN" w:bidi="ar-SA"/>
          <w14:textFill>
            <w14:solidFill>
              <w14:schemeClr w14:val="tx1"/>
            </w14:solidFill>
          </w14:textFill>
        </w:rPr>
        <w:t>。</w:t>
      </w:r>
      <w:bookmarkStart w:id="11" w:name="_Toc30923"/>
      <w:bookmarkStart w:id="12" w:name="_Toc5632"/>
      <w:bookmarkStart w:id="13" w:name="_Toc26780"/>
      <w:bookmarkStart w:id="14" w:name="_Toc30082"/>
      <w:bookmarkStart w:id="15" w:name="_Toc21909"/>
      <w:bookmarkStart w:id="16" w:name="_Toc25695"/>
      <w:bookmarkStart w:id="17" w:name="_Toc13039"/>
      <w:r>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推动交城</w:t>
      </w:r>
      <w:r>
        <w:rPr>
          <w:rFonts w:hint="default"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硝基复合肥</w:t>
      </w:r>
      <w:r>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专业镇</w:t>
      </w:r>
      <w:r>
        <w:rPr>
          <w:rFonts w:hint="default"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高质量发展，出台《交城县人民政府办公室关于加快我县复合肥产业发展的指导意见》（交政办发〔201</w:t>
      </w:r>
      <w:r>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5</w:t>
      </w:r>
      <w:r>
        <w:rPr>
          <w:rFonts w:hint="default"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〕100号）、《中共交城县委</w:t>
      </w:r>
      <w:r>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 xml:space="preserve"> </w:t>
      </w:r>
      <w:r>
        <w:rPr>
          <w:rFonts w:hint="default"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交城县人民政府关于交城县2017年深化转型综改的实施意见</w:t>
      </w:r>
      <w:r>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w:t>
      </w:r>
      <w:r>
        <w:rPr>
          <w:rFonts w:hint="default"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试行</w:t>
      </w:r>
      <w:r>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w:t>
      </w:r>
      <w:r>
        <w:rPr>
          <w:rFonts w:hint="default"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w:t>
      </w:r>
      <w:r>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w:t>
      </w:r>
      <w:r>
        <w:rPr>
          <w:rFonts w:hint="default"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交发〔2017〕11号）、《中共交城县委关于印发</w:t>
      </w:r>
      <w:r>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w:t>
      </w:r>
      <w:r>
        <w:rPr>
          <w:rFonts w:hint="default"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交城县人才创新工程实施意见</w:t>
      </w:r>
      <w:r>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w:t>
      </w:r>
      <w:r>
        <w:rPr>
          <w:rFonts w:hint="default"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的通知》（交发〔2017〕27号）、《中共交城县委关于印发</w:t>
      </w:r>
      <w:r>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w:t>
      </w:r>
      <w:r>
        <w:rPr>
          <w:rFonts w:hint="default"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交城县引进高层次人才实施方案</w:t>
      </w:r>
      <w:r>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w:t>
      </w:r>
      <w:r>
        <w:rPr>
          <w:rFonts w:hint="default"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的通知》（交发〔2017〕28号）、《中共交城县委</w:t>
      </w:r>
      <w:r>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 xml:space="preserve"> </w:t>
      </w:r>
      <w:r>
        <w:rPr>
          <w:rFonts w:hint="default"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交城县人民政府关于印发</w:t>
      </w:r>
      <w:r>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w:t>
      </w:r>
      <w:r>
        <w:rPr>
          <w:rFonts w:hint="default"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交城县支持民营经济发展若干措施</w:t>
      </w:r>
      <w:r>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w:t>
      </w:r>
      <w:r>
        <w:rPr>
          <w:rFonts w:hint="default"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试行</w:t>
      </w:r>
      <w:r>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w:t>
      </w:r>
      <w:r>
        <w:rPr>
          <w:rFonts w:hint="default"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的通知》（交发〔2019〕9号）等政策；推动市级专业镇向省级专业镇迈进，出台《交城县人民政府办公室关于印发推动交城硝基肥专业镇高质量转型发展行动方案的通知》（交政办发〔2022〕38号）、《交城县人民政府办公室关于印发交城县促进专业镇高质量发展实施方案的通知》（交政办发〔2024〕15号）、《交城县人民政府办公室关于印发交城县支持专业镇高质量发展若干政策的通知》（交政办发〔2024〕16号）、《交城县人民政府办公室关于印发交城县硝基复合肥专业镇高质量发展2024年行动方案的通知》</w:t>
      </w:r>
      <w:r>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w:t>
      </w:r>
      <w:r>
        <w:rPr>
          <w:rFonts w:hint="default"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交政办发〔2024〕19号</w:t>
      </w:r>
      <w:r>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w:t>
      </w:r>
      <w:r>
        <w:rPr>
          <w:rFonts w:hint="default"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w:t>
      </w:r>
    </w:p>
    <w:p>
      <w:pPr>
        <w:bidi w:val="0"/>
        <w:rPr>
          <w:rFonts w:hint="eastAsia"/>
          <w:color w:val="000000" w:themeColor="text1"/>
          <w:lang w:val="en-US" w:eastAsia="zh-CN"/>
          <w14:textFill>
            <w14:solidFill>
              <w14:schemeClr w14:val="tx1"/>
            </w14:solidFill>
          </w14:textFill>
        </w:rPr>
      </w:pPr>
    </w:p>
    <w:tbl>
      <w:tblPr>
        <w:tblStyle w:val="7"/>
        <w:tblW w:w="8799" w:type="dxa"/>
        <w:tblInd w:w="76" w:type="dxa"/>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Layout w:type="fixed"/>
        <w:tblCellMar>
          <w:top w:w="0" w:type="dxa"/>
          <w:left w:w="0" w:type="dxa"/>
          <w:bottom w:w="0" w:type="dxa"/>
          <w:right w:w="0" w:type="dxa"/>
        </w:tblCellMar>
      </w:tblPr>
      <w:tblGrid>
        <w:gridCol w:w="8799"/>
      </w:tblGrid>
      <w:tr>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PrEx>
        <w:trPr>
          <w:trHeight w:val="613" w:hRule="atLeast"/>
        </w:trPr>
        <w:tc>
          <w:tcPr>
            <w:tcW w:w="8799" w:type="dxa"/>
            <w:vAlign w:val="top"/>
          </w:tcPr>
          <w:p>
            <w:pPr>
              <w:spacing w:before="93" w:beforeLines="30" w:after="93" w:afterLines="30" w:line="400" w:lineRule="exact"/>
              <w:jc w:val="center"/>
              <w:rPr>
                <w:rFonts w:hint="eastAsia" w:ascii="黑体" w:hAnsi="黑体" w:eastAsia="黑体" w:cs="黑体"/>
                <w:b w:val="0"/>
                <w:bCs w:val="0"/>
                <w:color w:val="000000" w:themeColor="text1"/>
                <w:spacing w:val="0"/>
                <w:sz w:val="32"/>
                <w:szCs w:val="32"/>
                <w:lang w:val="en-US" w:eastAsia="zh-CN"/>
                <w14:textFill>
                  <w14:solidFill>
                    <w14:schemeClr w14:val="tx1"/>
                  </w14:solidFill>
                </w14:textFill>
              </w:rPr>
            </w:pPr>
            <w:r>
              <w:rPr>
                <w:rFonts w:hint="default" w:ascii="黑体" w:hAnsi="黑体" w:eastAsia="黑体" w:cs="黑体"/>
                <w:b w:val="0"/>
                <w:bCs w:val="0"/>
                <w:color w:val="000000" w:themeColor="text1"/>
                <w:spacing w:val="0"/>
                <w:sz w:val="28"/>
                <w:szCs w:val="28"/>
                <w14:textFill>
                  <w14:solidFill>
                    <w14:schemeClr w14:val="tx1"/>
                  </w14:solidFill>
                </w14:textFill>
              </w:rPr>
              <w:t>专栏</w:t>
            </w:r>
            <w:r>
              <w:rPr>
                <w:rFonts w:hint="eastAsia" w:ascii="黑体" w:hAnsi="黑体" w:eastAsia="黑体" w:cs="黑体"/>
                <w:b w:val="0"/>
                <w:bCs w:val="0"/>
                <w:color w:val="000000" w:themeColor="text1"/>
                <w:spacing w:val="0"/>
                <w:sz w:val="28"/>
                <w:szCs w:val="28"/>
                <w:lang w:val="en-US" w:eastAsia="zh-CN"/>
                <w14:textFill>
                  <w14:solidFill>
                    <w14:schemeClr w14:val="tx1"/>
                  </w14:solidFill>
                </w14:textFill>
              </w:rPr>
              <w:t>5  省、市、县促进专业镇</w:t>
            </w:r>
            <w:r>
              <w:rPr>
                <w:rFonts w:hint="default" w:ascii="黑体" w:hAnsi="黑体" w:eastAsia="黑体" w:cs="黑体"/>
                <w:b w:val="0"/>
                <w:bCs w:val="0"/>
                <w:color w:val="000000" w:themeColor="text1"/>
                <w:spacing w:val="0"/>
                <w:sz w:val="28"/>
                <w:szCs w:val="28"/>
                <w14:textFill>
                  <w14:solidFill>
                    <w14:schemeClr w14:val="tx1"/>
                  </w14:solidFill>
                </w14:textFill>
              </w:rPr>
              <w:t>发展的</w:t>
            </w:r>
            <w:r>
              <w:rPr>
                <w:rFonts w:hint="eastAsia" w:ascii="黑体" w:hAnsi="黑体" w:eastAsia="黑体" w:cs="黑体"/>
                <w:b w:val="0"/>
                <w:bCs w:val="0"/>
                <w:color w:val="000000" w:themeColor="text1"/>
                <w:spacing w:val="0"/>
                <w:sz w:val="28"/>
                <w:szCs w:val="28"/>
                <w:lang w:val="en-US" w:eastAsia="zh-CN"/>
                <w14:textFill>
                  <w14:solidFill>
                    <w14:schemeClr w14:val="tx1"/>
                  </w14:solidFill>
                </w14:textFill>
              </w:rPr>
              <w:t>相关</w:t>
            </w:r>
            <w:r>
              <w:rPr>
                <w:rFonts w:hint="default" w:ascii="黑体" w:hAnsi="黑体" w:eastAsia="黑体" w:cs="黑体"/>
                <w:b w:val="0"/>
                <w:bCs w:val="0"/>
                <w:color w:val="000000" w:themeColor="text1"/>
                <w:spacing w:val="0"/>
                <w:sz w:val="28"/>
                <w:szCs w:val="28"/>
                <w14:textFill>
                  <w14:solidFill>
                    <w14:schemeClr w14:val="tx1"/>
                  </w14:solidFill>
                </w14:textFill>
              </w:rPr>
              <w:t>政策</w:t>
            </w:r>
          </w:p>
        </w:tc>
      </w:tr>
      <w:tr>
        <w:tblPrEx>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PrEx>
        <w:trPr>
          <w:trHeight w:val="871" w:hRule="atLeast"/>
        </w:trPr>
        <w:tc>
          <w:tcPr>
            <w:tcW w:w="8799" w:type="dxa"/>
            <w:vAlign w:val="top"/>
          </w:tcPr>
          <w:p>
            <w:pPr>
              <w:spacing w:line="400" w:lineRule="exact"/>
              <w:ind w:firstLine="481" w:firstLineChars="200"/>
              <w:jc w:val="both"/>
              <w:rPr>
                <w:rFonts w:hint="eastAsia" w:ascii="仿宋_GB2312" w:hAnsi="仿宋_GB2312" w:eastAsia="仿宋_GB2312" w:cs="仿宋_GB2312"/>
                <w:i w:val="0"/>
                <w:iCs w:val="0"/>
                <w:color w:val="000000" w:themeColor="text1"/>
                <w:spacing w:val="0"/>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
                <w:bCs/>
                <w:i w:val="0"/>
                <w:iCs w:val="0"/>
                <w:color w:val="000000" w:themeColor="text1"/>
                <w:spacing w:val="0"/>
                <w:kern w:val="0"/>
                <w:sz w:val="24"/>
                <w:szCs w:val="24"/>
                <w:u w:val="none"/>
                <w:lang w:val="en-US" w:eastAsia="zh-CN" w:bidi="ar"/>
                <w14:textFill>
                  <w14:solidFill>
                    <w14:schemeClr w14:val="tx1"/>
                  </w14:solidFill>
                </w14:textFill>
              </w:rPr>
              <w:t>山西省出台：</w:t>
            </w:r>
            <w:r>
              <w:rPr>
                <w:rFonts w:hint="eastAsia" w:ascii="仿宋_GB2312" w:hAnsi="仿宋_GB2312" w:eastAsia="仿宋_GB2312" w:cs="仿宋_GB2312"/>
                <w:i w:val="0"/>
                <w:iCs w:val="0"/>
                <w:color w:val="000000" w:themeColor="text1"/>
                <w:spacing w:val="0"/>
                <w:kern w:val="0"/>
                <w:sz w:val="24"/>
                <w:szCs w:val="24"/>
                <w:u w:val="none"/>
                <w:lang w:val="en-US" w:eastAsia="zh-CN" w:bidi="ar"/>
                <w14:textFill>
                  <w14:solidFill>
                    <w14:schemeClr w14:val="tx1"/>
                  </w14:solidFill>
                </w14:textFill>
              </w:rPr>
              <w:t>《山西省人民政府办公厅关于印发山西省促进专业镇高质量发展实施方案的通知》（晋政办发〔2022〕80号）、《山西省人民政府办公厅关于印发山西省支持专业镇高质量发展若干政策的通知》（晋政办发〔2022〕81号）。</w:t>
            </w:r>
          </w:p>
          <w:p>
            <w:pPr>
              <w:keepNext w:val="0"/>
              <w:keepLines w:val="0"/>
              <w:pageBreakBefore w:val="0"/>
              <w:widowControl w:val="0"/>
              <w:kinsoku/>
              <w:wordWrap/>
              <w:overflowPunct/>
              <w:topLinePunct w:val="0"/>
              <w:autoSpaceDE/>
              <w:autoSpaceDN/>
              <w:bidi w:val="0"/>
              <w:adjustRightInd/>
              <w:snapToGrid/>
              <w:spacing w:line="400" w:lineRule="exact"/>
              <w:ind w:firstLine="481" w:firstLineChars="200"/>
              <w:jc w:val="both"/>
              <w:textAlignment w:val="auto"/>
              <w:rPr>
                <w:rFonts w:hint="eastAsia" w:ascii="仿宋_GB2312" w:hAnsi="仿宋_GB2312" w:eastAsia="仿宋_GB2312" w:cs="仿宋_GB2312"/>
                <w:i w:val="0"/>
                <w:iCs w:val="0"/>
                <w:color w:val="000000" w:themeColor="text1"/>
                <w:spacing w:val="0"/>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
                <w:bCs/>
                <w:i w:val="0"/>
                <w:iCs w:val="0"/>
                <w:color w:val="000000" w:themeColor="text1"/>
                <w:spacing w:val="0"/>
                <w:kern w:val="0"/>
                <w:sz w:val="24"/>
                <w:szCs w:val="24"/>
                <w:u w:val="none"/>
                <w:lang w:val="en-US" w:eastAsia="zh-CN" w:bidi="ar"/>
                <w14:textFill>
                  <w14:solidFill>
                    <w14:schemeClr w14:val="tx1"/>
                  </w14:solidFill>
                </w14:textFill>
              </w:rPr>
              <w:t>吕梁市出台：</w:t>
            </w:r>
            <w:r>
              <w:rPr>
                <w:rFonts w:hint="eastAsia" w:ascii="仿宋_GB2312" w:hAnsi="仿宋_GB2312" w:eastAsia="仿宋_GB2312" w:cs="仿宋_GB2312"/>
                <w:i w:val="0"/>
                <w:iCs w:val="0"/>
                <w:color w:val="000000" w:themeColor="text1"/>
                <w:spacing w:val="0"/>
                <w:kern w:val="0"/>
                <w:sz w:val="24"/>
                <w:szCs w:val="24"/>
                <w:u w:val="none"/>
                <w:lang w:val="en-US" w:eastAsia="zh-CN" w:bidi="ar"/>
                <w14:textFill>
                  <w14:solidFill>
                    <w14:schemeClr w14:val="tx1"/>
                  </w14:solidFill>
                </w14:textFill>
              </w:rPr>
              <w:t>《吕梁市人民政府办公室关于印发吕梁市支持专业镇高质量发展若干政策的通知》（吕政办发〔2022〕56号）、《吕梁市人民政府办公室关于印发吕梁市促进专业镇高质量发展实施方案的通知》（吕政办发〔2023〕6号）、《吕梁市专业镇发展领导小组办公室关于印发〈吕梁市专业镇高质量发展2024年行动计划〉的通知》（吕专领办字〔2024〕1号）。</w:t>
            </w:r>
          </w:p>
          <w:p>
            <w:pPr>
              <w:pStyle w:val="3"/>
              <w:keepNext w:val="0"/>
              <w:keepLines w:val="0"/>
              <w:pageBreakBefore w:val="0"/>
              <w:widowControl w:val="0"/>
              <w:kinsoku/>
              <w:wordWrap/>
              <w:overflowPunct/>
              <w:topLinePunct w:val="0"/>
              <w:autoSpaceDE/>
              <w:autoSpaceDN/>
              <w:bidi w:val="0"/>
              <w:adjustRightInd/>
              <w:snapToGrid/>
              <w:spacing w:after="0" w:line="400" w:lineRule="exact"/>
              <w:ind w:firstLine="481" w:firstLineChars="200"/>
              <w:jc w:val="both"/>
              <w:textAlignment w:val="auto"/>
              <w:rPr>
                <w:rFonts w:hint="eastAsia" w:ascii="仿宋" w:hAnsi="仿宋" w:eastAsia="仿宋" w:cs="仿宋"/>
                <w:i w:val="0"/>
                <w:iCs w:val="0"/>
                <w:color w:val="000000" w:themeColor="text1"/>
                <w:spacing w:val="0"/>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
                <w:bCs/>
                <w:i w:val="0"/>
                <w:iCs w:val="0"/>
                <w:color w:val="000000" w:themeColor="text1"/>
                <w:spacing w:val="0"/>
                <w:kern w:val="0"/>
                <w:sz w:val="24"/>
                <w:szCs w:val="24"/>
                <w:u w:val="none"/>
                <w:lang w:val="en-US" w:eastAsia="zh-CN" w:bidi="ar"/>
                <w14:textFill>
                  <w14:solidFill>
                    <w14:schemeClr w14:val="tx1"/>
                  </w14:solidFill>
                </w14:textFill>
              </w:rPr>
              <w:t>交城县出台：</w:t>
            </w:r>
            <w:r>
              <w:rPr>
                <w:rFonts w:hint="eastAsia" w:ascii="仿宋_GB2312" w:hAnsi="仿宋_GB2312" w:eastAsia="仿宋_GB2312" w:cs="仿宋_GB2312"/>
                <w:i w:val="0"/>
                <w:iCs w:val="0"/>
                <w:color w:val="000000" w:themeColor="text1"/>
                <w:spacing w:val="0"/>
                <w:kern w:val="0"/>
                <w:sz w:val="24"/>
                <w:szCs w:val="24"/>
                <w:u w:val="none"/>
                <w:lang w:val="en-US" w:eastAsia="zh-CN" w:bidi="ar"/>
                <w14:textFill>
                  <w14:solidFill>
                    <w14:schemeClr w14:val="tx1"/>
                  </w14:solidFill>
                </w14:textFill>
              </w:rPr>
              <w:t>《交城县人民政府办公室关于加快我县复合肥产业发展的指导意见》（交政办发〔2015〕100号）、《中共交城县委 交城县人民政府关于交城县2017年深化转型综改的实施意见（试行）》（交发〔2017〕11号）、《中共交城县委关于印发〈交城县人才创新工程实施意见〉的通知》（交发〔2017〕27号）、《中共交城县委关于印发〈交城县引进高层次人才实施方案〉的通知》（交发〔2017〕28号）、《中共交城县委 交城县人民政府关于印发〈交城县支持民营经济发展若干措施（试行）〉的通知》（交发〔2019〕9号）、《交城县人民政府办公室关于印发推动交城硝基肥专业镇高质量转型发展行动方案的通知》（交政办发〔2022〕38号）、《交城县人民政府办公室关于印发交城县促进专业镇高质量发展实施方案的通知》（交政办发〔2024〕15号）、《</w:t>
            </w:r>
            <w:r>
              <w:rPr>
                <w:rFonts w:hint="eastAsia" w:ascii="仿宋_GB2312" w:hAnsi="仿宋_GB2312" w:eastAsia="仿宋_GB2312" w:cs="仿宋_GB2312"/>
                <w:b w:val="0"/>
                <w:color w:val="000000" w:themeColor="text1"/>
                <w:spacing w:val="0"/>
                <w:kern w:val="2"/>
                <w:sz w:val="24"/>
                <w:szCs w:val="24"/>
                <w:lang w:val="en-US" w:eastAsia="zh-CN" w:bidi="ar-SA"/>
                <w14:textFill>
                  <w14:solidFill>
                    <w14:schemeClr w14:val="tx1"/>
                  </w14:solidFill>
                </w14:textFill>
              </w:rPr>
              <w:t>交城县人民政府办公室关于印发交城县支持专业镇高质量发展若干政策的通知</w:t>
            </w:r>
            <w:r>
              <w:rPr>
                <w:rFonts w:hint="eastAsia" w:ascii="仿宋_GB2312" w:hAnsi="仿宋_GB2312" w:eastAsia="仿宋_GB2312" w:cs="仿宋_GB2312"/>
                <w:i w:val="0"/>
                <w:iCs w:val="0"/>
                <w:color w:val="000000" w:themeColor="text1"/>
                <w:spacing w:val="0"/>
                <w:kern w:val="0"/>
                <w:sz w:val="24"/>
                <w:szCs w:val="24"/>
                <w:u w:val="none"/>
                <w:lang w:val="en-US" w:eastAsia="zh-CN" w:bidi="ar"/>
                <w14:textFill>
                  <w14:solidFill>
                    <w14:schemeClr w14:val="tx1"/>
                  </w14:solidFill>
                </w14:textFill>
              </w:rPr>
              <w:t>》（交政办发〔2024〕16号）、《交城县人民政府办公室关于印发交城县硝基复合肥专业镇高质量发展2024年行动方案的通知》（交政办发〔2024〕19号）。</w:t>
            </w:r>
          </w:p>
        </w:tc>
      </w:tr>
    </w:tbl>
    <w:p>
      <w:pPr>
        <w:bidi w:val="0"/>
        <w:rPr>
          <w:rFonts w:hint="eastAsia"/>
          <w:color w:val="000000" w:themeColor="text1"/>
          <w:lang w:val="en-US" w:eastAsia="zh-CN"/>
          <w14:textFill>
            <w14:solidFill>
              <w14:schemeClr w14:val="tx1"/>
            </w14:solidFill>
          </w14:textFill>
        </w:rPr>
      </w:pPr>
    </w:p>
    <w:p>
      <w:pPr>
        <w:keepNext w:val="0"/>
        <w:keepLines w:val="0"/>
        <w:pageBreakBefore w:val="0"/>
        <w:widowControl w:val="0"/>
        <w:suppressLineNumbers w:val="0"/>
        <w:kinsoku/>
        <w:wordWrap/>
        <w:overflowPunct/>
        <w:topLinePunct w:val="0"/>
        <w:autoSpaceDE/>
        <w:autoSpaceDN/>
        <w:bidi w:val="0"/>
        <w:adjustRightInd/>
        <w:snapToGrid/>
        <w:spacing w:line="578" w:lineRule="exact"/>
        <w:ind w:firstLine="642" w:firstLineChars="200"/>
        <w:jc w:val="both"/>
        <w:textAlignment w:val="auto"/>
        <w:outlineLvl w:val="9"/>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spacing w:val="0"/>
          <w:kern w:val="2"/>
          <w:sz w:val="32"/>
          <w:szCs w:val="32"/>
          <w:lang w:val="en-US" w:eastAsia="zh-CN" w:bidi="ar-SA"/>
          <w14:textFill>
            <w14:solidFill>
              <w14:schemeClr w14:val="tx1"/>
            </w14:solidFill>
          </w14:textFill>
        </w:rPr>
        <w:t>社会效应显著提升。</w:t>
      </w:r>
      <w:r>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交城硝基复合肥专业镇企业主要集中在交城经济开发区，产业集群集聚效应明显，为我县吸就业、稳税收、促创业提供有力支撑。2023年专业镇企业直接从业人员4297人，全员劳动生产率达到126.13万元/人，人均收入58895.08元/年，比当地平均水平高161.79%，硝基复合肥产业成为全县吸纳就业的重要渠道、税收的重要来源、创业的重要载体，为就业创业和群众增收致富提供有力保障。</w:t>
      </w:r>
    </w:p>
    <w:p>
      <w:pPr>
        <w:bidi w:val="0"/>
        <w:rPr>
          <w:rFonts w:hint="eastAsia"/>
          <w:color w:val="000000" w:themeColor="text1"/>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楷体_GB2312" w:hAnsi="楷体_GB2312" w:eastAsia="楷体_GB2312" w:cs="楷体_GB2312"/>
          <w:color w:val="000000" w:themeColor="text1"/>
          <w:spacing w:val="0"/>
          <w:sz w:val="32"/>
          <w:szCs w:val="32"/>
          <w:lang w:eastAsia="zh-CN"/>
          <w14:textFill>
            <w14:solidFill>
              <w14:schemeClr w14:val="tx1"/>
            </w14:solidFill>
          </w14:textFill>
        </w:rPr>
      </w:pPr>
      <w:bookmarkStart w:id="18" w:name="_Toc15942"/>
      <w:bookmarkStart w:id="19" w:name="_Toc5564"/>
      <w:r>
        <w:rPr>
          <w:rFonts w:hint="eastAsia" w:ascii="楷体_GB2312" w:hAnsi="楷体_GB2312" w:eastAsia="楷体_GB2312" w:cs="楷体_GB2312"/>
          <w:color w:val="000000" w:themeColor="text1"/>
          <w:spacing w:val="0"/>
          <w:sz w:val="32"/>
          <w:szCs w:val="32"/>
          <w14:textFill>
            <w14:solidFill>
              <w14:schemeClr w14:val="tx1"/>
            </w14:solidFill>
          </w14:textFill>
        </w:rPr>
        <w:t>第二节</w:t>
      </w:r>
      <w:r>
        <w:rPr>
          <w:rFonts w:hint="eastAsia" w:ascii="楷体_GB2312" w:hAnsi="楷体_GB2312" w:eastAsia="楷体_GB2312" w:cs="楷体_GB2312"/>
          <w:color w:val="000000" w:themeColor="text1"/>
          <w:spacing w:val="0"/>
          <w:sz w:val="32"/>
          <w:szCs w:val="32"/>
          <w:lang w:val="en-US" w:eastAsia="zh-CN"/>
          <w14:textFill>
            <w14:solidFill>
              <w14:schemeClr w14:val="tx1"/>
            </w14:solidFill>
          </w14:textFill>
        </w:rPr>
        <w:t xml:space="preserve"> </w:t>
      </w:r>
      <w:r>
        <w:rPr>
          <w:rFonts w:hint="eastAsia" w:ascii="楷体_GB2312" w:hAnsi="楷体_GB2312" w:eastAsia="楷体_GB2312" w:cs="楷体_GB2312"/>
          <w:color w:val="000000" w:themeColor="text1"/>
          <w:spacing w:val="0"/>
          <w:sz w:val="32"/>
          <w:szCs w:val="32"/>
          <w14:textFill>
            <w14:solidFill>
              <w14:schemeClr w14:val="tx1"/>
            </w14:solidFill>
          </w14:textFill>
        </w:rPr>
        <w:t xml:space="preserve"> </w:t>
      </w:r>
      <w:bookmarkEnd w:id="11"/>
      <w:bookmarkEnd w:id="12"/>
      <w:bookmarkEnd w:id="13"/>
      <w:bookmarkEnd w:id="14"/>
      <w:bookmarkEnd w:id="15"/>
      <w:bookmarkEnd w:id="16"/>
      <w:bookmarkEnd w:id="17"/>
      <w:r>
        <w:rPr>
          <w:rFonts w:hint="eastAsia" w:ascii="楷体_GB2312" w:hAnsi="楷体_GB2312" w:eastAsia="楷体_GB2312" w:cs="楷体_GB2312"/>
          <w:color w:val="000000" w:themeColor="text1"/>
          <w:spacing w:val="0"/>
          <w:sz w:val="32"/>
          <w:szCs w:val="32"/>
          <w:lang w:eastAsia="zh-CN"/>
          <w14:textFill>
            <w14:solidFill>
              <w14:schemeClr w14:val="tx1"/>
            </w14:solidFill>
          </w14:textFill>
        </w:rPr>
        <w:t>发展机遇</w:t>
      </w:r>
      <w:bookmarkEnd w:id="18"/>
      <w:bookmarkEnd w:id="19"/>
      <w:bookmarkStart w:id="20" w:name="_Toc23280"/>
      <w:bookmarkStart w:id="21" w:name="_Toc12752"/>
    </w:p>
    <w:p>
      <w:pPr>
        <w:bidi w:val="0"/>
        <w:rPr>
          <w:rFonts w:hint="eastAsia"/>
          <w:color w:val="000000" w:themeColor="text1"/>
          <w:lang w:val="en-US" w:eastAsia="zh-CN"/>
          <w14:textFill>
            <w14:solidFill>
              <w14:schemeClr w14:val="tx1"/>
            </w14:solidFill>
          </w14:textFill>
        </w:rPr>
      </w:pPr>
      <w:bookmarkStart w:id="22" w:name="_Toc9954"/>
    </w:p>
    <w:p>
      <w:pPr>
        <w:keepNext w:val="0"/>
        <w:keepLines w:val="0"/>
        <w:pageBreakBefore w:val="0"/>
        <w:widowControl w:val="0"/>
        <w:suppressLineNumbers w:val="0"/>
        <w:kinsoku/>
        <w:wordWrap/>
        <w:overflowPunct/>
        <w:topLinePunct w:val="0"/>
        <w:autoSpaceDE/>
        <w:autoSpaceDN/>
        <w:bidi w:val="0"/>
        <w:adjustRightInd/>
        <w:snapToGrid/>
        <w:spacing w:line="578" w:lineRule="exact"/>
        <w:ind w:firstLine="640" w:firstLineChars="200"/>
        <w:jc w:val="both"/>
        <w:textAlignment w:val="auto"/>
        <w:outlineLvl w:val="9"/>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pPr>
      <w:r>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当前和今后一个时期，新一轮科技革命和产业变革加速演进，国际力量对比深刻调整，“碳达峰”和“碳中和”目标成为硬性约束，交城硝基复合肥产业发展面临的挑战与机遇都有新的变化。交城必须把握战略机遇，前瞻性谋划布局专业镇发展，为支撑交城经济社会高质量跨越式发展抢占先机和赢得主动。</w:t>
      </w:r>
      <w:bookmarkEnd w:id="22"/>
    </w:p>
    <w:p>
      <w:pPr>
        <w:keepNext w:val="0"/>
        <w:keepLines w:val="0"/>
        <w:pageBreakBefore w:val="0"/>
        <w:widowControl w:val="0"/>
        <w:suppressLineNumbers w:val="0"/>
        <w:kinsoku/>
        <w:wordWrap/>
        <w:overflowPunct/>
        <w:topLinePunct w:val="0"/>
        <w:autoSpaceDE/>
        <w:autoSpaceDN/>
        <w:bidi w:val="0"/>
        <w:adjustRightInd/>
        <w:snapToGrid/>
        <w:spacing w:line="578" w:lineRule="exact"/>
        <w:ind w:firstLine="642" w:firstLineChars="200"/>
        <w:jc w:val="both"/>
        <w:textAlignment w:val="auto"/>
        <w:outlineLvl w:val="9"/>
        <w:rPr>
          <w:rFonts w:hint="default"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spacing w:val="0"/>
          <w:kern w:val="2"/>
          <w:sz w:val="32"/>
          <w:szCs w:val="32"/>
          <w:lang w:val="en-US" w:eastAsia="zh-CN" w:bidi="ar-SA"/>
          <w14:textFill>
            <w14:solidFill>
              <w14:schemeClr w14:val="tx1"/>
            </w14:solidFill>
          </w14:textFill>
        </w:rPr>
        <w:t>国家粮食安全保障为交城硝基复合肥专业镇发展提供战略机遇。</w:t>
      </w:r>
      <w:r>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粮食安全与能源安全、金融安全并称国家三大安全，且粮食安全更具不可替代性。党的十八大以来，以习近平同志为核心的党中央把解决好十几亿人的吃饭问题作为治国理政的头等大事，提出“谷物基本自给、口粮绝对安全”的新粮食安全观，确立“以我为主、立足国内、确保产能、适度进口、科技支撑”的国家粮食安全战略。伴随着国家粮食安全战略的纵深推进和《中华人民共和国粮食安全保障法》的制定出台，作为全国硝基复合肥生产基地，交城县将紧抓机遇、乘势而上，致力于将交城硝基复合肥专业镇打造成为全球规模最大、最具影响力的绿色肥料生产航母，为国家粮食安全保驾护航。</w:t>
      </w:r>
    </w:p>
    <w:p>
      <w:pPr>
        <w:keepNext w:val="0"/>
        <w:keepLines w:val="0"/>
        <w:pageBreakBefore w:val="0"/>
        <w:widowControl w:val="0"/>
        <w:suppressLineNumbers w:val="0"/>
        <w:kinsoku/>
        <w:wordWrap/>
        <w:overflowPunct/>
        <w:topLinePunct w:val="0"/>
        <w:autoSpaceDE/>
        <w:autoSpaceDN/>
        <w:bidi w:val="0"/>
        <w:adjustRightInd/>
        <w:snapToGrid/>
        <w:spacing w:line="578" w:lineRule="exact"/>
        <w:ind w:firstLine="642" w:firstLineChars="200"/>
        <w:jc w:val="both"/>
        <w:textAlignment w:val="auto"/>
        <w:outlineLvl w:val="9"/>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spacing w:val="0"/>
          <w:kern w:val="2"/>
          <w:sz w:val="32"/>
          <w:szCs w:val="32"/>
          <w:lang w:val="en-US" w:eastAsia="zh-CN" w:bidi="ar-SA"/>
          <w14:textFill>
            <w14:solidFill>
              <w14:schemeClr w14:val="tx1"/>
            </w14:solidFill>
          </w14:textFill>
        </w:rPr>
        <w:t>肥料产业转型升级为交城硝基复合肥专业镇发展提供发展风向。</w:t>
      </w:r>
      <w:r>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传统肥料过量施用造成资源浪费和环境污染，传统化肥施用模式下肥料养分利用率低，作物高产建立在肥料高投入的基础上，通过过量施肥以保证作物养分充足供应的现象普遍存在。《农业农村部关于印发〈到2025年化肥减量化行动方案〉和〈到2025年化学农药减量化行动方案〉的通知》（农农发〔2022〕8号）提出要大力推进新肥料、新技术应用。重点开展农作物高产高效施肥技术探讨，开发速效和缓效、大量与中微量元素、有机与无机、养分形态与功能融合的新产品。加强新产品推广，示范推广缓释肥、水溶肥、液体肥、叶面肥、生物肥、土壤调理剂等高效新型肥料，不断提高肥料的利用率，推进肥料产业转型升级。《关于“十四五”推动石化化工行业高质量发展的指导意见》（工信部联原〔2022〕34号）指出，加强化肥生产要素保障，提高生产集中度和骨干企业产能利用率，确保化肥稳定供应。</w:t>
      </w:r>
      <w:bookmarkEnd w:id="20"/>
      <w:bookmarkEnd w:id="21"/>
      <w:bookmarkStart w:id="23" w:name="_Toc16472"/>
      <w:bookmarkStart w:id="24" w:name="_Toc21039"/>
      <w:r>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因此，全面建立新型高效肥料产品体系，推动传统肥料产业转型升级，是交城硝基复合肥专业镇发展的必然要求。</w:t>
      </w:r>
    </w:p>
    <w:bookmarkEnd w:id="23"/>
    <w:bookmarkEnd w:id="24"/>
    <w:p>
      <w:pPr>
        <w:keepNext w:val="0"/>
        <w:keepLines w:val="0"/>
        <w:pageBreakBefore w:val="0"/>
        <w:widowControl w:val="0"/>
        <w:suppressLineNumbers w:val="0"/>
        <w:kinsoku/>
        <w:wordWrap/>
        <w:overflowPunct/>
        <w:topLinePunct w:val="0"/>
        <w:autoSpaceDE/>
        <w:autoSpaceDN/>
        <w:bidi w:val="0"/>
        <w:adjustRightInd/>
        <w:snapToGrid/>
        <w:spacing w:line="578" w:lineRule="exact"/>
        <w:ind w:firstLine="642" w:firstLineChars="200"/>
        <w:jc w:val="both"/>
        <w:textAlignment w:val="auto"/>
        <w:outlineLvl w:val="9"/>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pPr>
      <w:bookmarkStart w:id="25" w:name="_Toc1862"/>
      <w:bookmarkStart w:id="26" w:name="_Toc20040"/>
      <w:r>
        <w:rPr>
          <w:rFonts w:hint="eastAsia" w:ascii="仿宋_GB2312" w:hAnsi="仿宋_GB2312" w:eastAsia="仿宋_GB2312" w:cs="仿宋_GB2312"/>
          <w:b/>
          <w:bCs/>
          <w:color w:val="000000" w:themeColor="text1"/>
          <w:spacing w:val="0"/>
          <w:kern w:val="2"/>
          <w:sz w:val="32"/>
          <w:szCs w:val="32"/>
          <w:lang w:val="en-US" w:eastAsia="zh-CN" w:bidi="ar-SA"/>
          <w14:textFill>
            <w14:solidFill>
              <w14:schemeClr w14:val="tx1"/>
            </w14:solidFill>
          </w14:textFill>
        </w:rPr>
        <w:t>创新驱动发展战略实施为交城硝基复合肥专业镇建设提供动力支撑</w:t>
      </w:r>
      <w:bookmarkEnd w:id="25"/>
      <w:bookmarkEnd w:id="26"/>
      <w:r>
        <w:rPr>
          <w:rFonts w:hint="eastAsia" w:ascii="仿宋_GB2312" w:hAnsi="仿宋_GB2312" w:eastAsia="仿宋_GB2312" w:cs="仿宋_GB2312"/>
          <w:b/>
          <w:bCs/>
          <w:color w:val="000000" w:themeColor="text1"/>
          <w:spacing w:val="0"/>
          <w:kern w:val="2"/>
          <w:sz w:val="32"/>
          <w:szCs w:val="32"/>
          <w:lang w:val="en-US" w:eastAsia="zh-CN" w:bidi="ar-SA"/>
          <w14:textFill>
            <w14:solidFill>
              <w14:schemeClr w14:val="tx1"/>
            </w14:solidFill>
          </w14:textFill>
        </w:rPr>
        <w:t>。</w:t>
      </w:r>
      <w:r>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我国处于科技革命加速向产业变革渗透的关键时期，《国家创新驱动发展战略纲要》提出到2030年跻身创新型国家前列、2050年建成世界科技创新强国。《山西省创新驱动高质量发展条例》明确要实施创新驱动，坚持以新发展理念为指导，以改革为动力，以科技创新为核心，以产业创新为重点，稳步推进高质量发展。因此，交城深入实施创新驱动发展战略，全力打造一流创新生态，创新硝基复合肥专业镇建设思路、方法、机</w:t>
      </w:r>
      <w:r>
        <w:rPr>
          <w:rFonts w:hint="default"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制，</w:t>
      </w:r>
      <w:r>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鼓励中小企业走“专精特新”发展之路，大力培育“专精特新”企业和制造业“单项冠军”企业，</w:t>
      </w:r>
      <w:r>
        <w:rPr>
          <w:rFonts w:hint="default"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努力走出一条特色鲜明、产镇融合、惠及群众的新型</w:t>
      </w:r>
      <w:r>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专业</w:t>
      </w:r>
      <w:r>
        <w:rPr>
          <w:rFonts w:hint="default"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镇之路。</w:t>
      </w:r>
    </w:p>
    <w:p>
      <w:pPr>
        <w:keepNext w:val="0"/>
        <w:keepLines w:val="0"/>
        <w:pageBreakBefore w:val="0"/>
        <w:widowControl w:val="0"/>
        <w:suppressLineNumbers w:val="0"/>
        <w:kinsoku/>
        <w:wordWrap/>
        <w:overflowPunct/>
        <w:topLinePunct w:val="0"/>
        <w:autoSpaceDE/>
        <w:autoSpaceDN/>
        <w:bidi w:val="0"/>
        <w:adjustRightInd/>
        <w:snapToGrid/>
        <w:spacing w:line="578" w:lineRule="exact"/>
        <w:ind w:firstLine="642" w:firstLineChars="200"/>
        <w:jc w:val="both"/>
        <w:textAlignment w:val="auto"/>
        <w:outlineLvl w:val="9"/>
        <w:rPr>
          <w:rFonts w:hint="eastAsia" w:ascii="楷体_GB2312" w:hAnsi="楷体_GB2312" w:eastAsia="楷体_GB2312" w:cs="楷体_GB2312"/>
          <w:color w:val="000000" w:themeColor="text1"/>
          <w:spacing w:val="0"/>
          <w:sz w:val="32"/>
          <w:szCs w:val="32"/>
          <w14:textFill>
            <w14:solidFill>
              <w14:schemeClr w14:val="tx1"/>
            </w14:solidFill>
          </w14:textFill>
        </w:rPr>
      </w:pPr>
      <w:bookmarkStart w:id="27" w:name="_Toc7634"/>
      <w:bookmarkStart w:id="28" w:name="_Toc16545"/>
      <w:r>
        <w:rPr>
          <w:rFonts w:hint="eastAsia" w:ascii="仿宋_GB2312" w:hAnsi="仿宋_GB2312" w:eastAsia="仿宋_GB2312" w:cs="仿宋_GB2312"/>
          <w:b/>
          <w:bCs/>
          <w:color w:val="000000" w:themeColor="text1"/>
          <w:spacing w:val="0"/>
          <w:kern w:val="2"/>
          <w:sz w:val="32"/>
          <w:szCs w:val="32"/>
          <w:lang w:val="en-US" w:eastAsia="zh-CN" w:bidi="ar-SA"/>
          <w14:textFill>
            <w14:solidFill>
              <w14:schemeClr w14:val="tx1"/>
            </w14:solidFill>
          </w14:textFill>
        </w:rPr>
        <w:t>政策红利加速释放为交城硝基复合肥专业镇建设提供</w:t>
      </w:r>
      <w:bookmarkEnd w:id="27"/>
      <w:bookmarkEnd w:id="28"/>
      <w:r>
        <w:rPr>
          <w:rFonts w:hint="eastAsia" w:ascii="仿宋_GB2312" w:hAnsi="仿宋_GB2312" w:eastAsia="仿宋_GB2312" w:cs="仿宋_GB2312"/>
          <w:b/>
          <w:bCs/>
          <w:color w:val="000000" w:themeColor="text1"/>
          <w:spacing w:val="0"/>
          <w:kern w:val="2"/>
          <w:sz w:val="32"/>
          <w:szCs w:val="32"/>
          <w:lang w:val="en-US" w:eastAsia="zh-CN" w:bidi="ar-SA"/>
          <w14:textFill>
            <w14:solidFill>
              <w14:schemeClr w14:val="tx1"/>
            </w14:solidFill>
          </w14:textFill>
        </w:rPr>
        <w:t>制度保障。</w:t>
      </w:r>
      <w:r>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为推进专业镇高质量发展，省、市及县先后出台一系列政策文件，</w:t>
      </w:r>
      <w:r>
        <w:rPr>
          <w:rFonts w:hint="default"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在产业、财政、土地、金融、人才等方面给予</w:t>
      </w:r>
      <w:r>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专业</w:t>
      </w:r>
      <w:r>
        <w:rPr>
          <w:rFonts w:hint="default"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镇政策支持。</w:t>
      </w:r>
      <w:bookmarkStart w:id="29" w:name="_Toc14864"/>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outlineLvl w:val="9"/>
        <w:rPr>
          <w:rFonts w:hint="eastAsia" w:ascii="楷体_GB2312" w:hAnsi="楷体_GB2312" w:eastAsia="楷体_GB2312" w:cs="楷体_GB2312"/>
          <w:color w:val="000000" w:themeColor="text1"/>
          <w:spacing w:val="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楷体_GB2312" w:hAnsi="楷体_GB2312" w:eastAsia="楷体_GB2312" w:cs="楷体_GB2312"/>
          <w:color w:val="000000" w:themeColor="text1"/>
          <w:spacing w:val="0"/>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pacing w:val="0"/>
          <w:sz w:val="32"/>
          <w:szCs w:val="32"/>
          <w14:textFill>
            <w14:solidFill>
              <w14:schemeClr w14:val="tx1"/>
            </w14:solidFill>
          </w14:textFill>
        </w:rPr>
        <w:t>第</w:t>
      </w:r>
      <w:r>
        <w:rPr>
          <w:rFonts w:hint="eastAsia" w:ascii="楷体_GB2312" w:hAnsi="楷体_GB2312" w:eastAsia="楷体_GB2312" w:cs="楷体_GB2312"/>
          <w:color w:val="000000" w:themeColor="text1"/>
          <w:spacing w:val="0"/>
          <w:sz w:val="32"/>
          <w:szCs w:val="32"/>
          <w:lang w:val="en-US" w:eastAsia="zh-CN"/>
          <w14:textFill>
            <w14:solidFill>
              <w14:schemeClr w14:val="tx1"/>
            </w14:solidFill>
          </w14:textFill>
        </w:rPr>
        <w:t>三</w:t>
      </w:r>
      <w:r>
        <w:rPr>
          <w:rFonts w:hint="eastAsia" w:ascii="楷体_GB2312" w:hAnsi="楷体_GB2312" w:eastAsia="楷体_GB2312" w:cs="楷体_GB2312"/>
          <w:color w:val="000000" w:themeColor="text1"/>
          <w:spacing w:val="0"/>
          <w:sz w:val="32"/>
          <w:szCs w:val="32"/>
          <w14:textFill>
            <w14:solidFill>
              <w14:schemeClr w14:val="tx1"/>
            </w14:solidFill>
          </w14:textFill>
        </w:rPr>
        <w:t xml:space="preserve">节  </w:t>
      </w:r>
      <w:r>
        <w:rPr>
          <w:rFonts w:hint="eastAsia" w:ascii="楷体_GB2312" w:hAnsi="楷体_GB2312" w:eastAsia="楷体_GB2312" w:cs="楷体_GB2312"/>
          <w:color w:val="000000" w:themeColor="text1"/>
          <w:spacing w:val="0"/>
          <w:sz w:val="32"/>
          <w:szCs w:val="32"/>
          <w:lang w:val="en-US" w:eastAsia="zh-CN"/>
          <w14:textFill>
            <w14:solidFill>
              <w14:schemeClr w14:val="tx1"/>
            </w14:solidFill>
          </w14:textFill>
        </w:rPr>
        <w:t>发展优势</w:t>
      </w:r>
      <w:bookmarkEnd w:id="29"/>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outlineLvl w:val="9"/>
        <w:rPr>
          <w:rFonts w:hint="eastAsia" w:ascii="楷体_GB2312" w:hAnsi="楷体_GB2312" w:eastAsia="楷体_GB2312" w:cs="楷体_GB2312"/>
          <w:color w:val="000000" w:themeColor="text1"/>
          <w:spacing w:val="0"/>
          <w:sz w:val="32"/>
          <w:szCs w:val="32"/>
          <w:lang w:val="en-US" w:eastAsia="zh-CN"/>
          <w14:textFill>
            <w14:solidFill>
              <w14:schemeClr w14:val="tx1"/>
            </w14:solidFill>
          </w14:textFill>
        </w:rPr>
      </w:pPr>
    </w:p>
    <w:p>
      <w:pPr>
        <w:keepNext w:val="0"/>
        <w:keepLines w:val="0"/>
        <w:pageBreakBefore w:val="0"/>
        <w:widowControl w:val="0"/>
        <w:suppressLineNumbers w:val="0"/>
        <w:kinsoku/>
        <w:wordWrap/>
        <w:overflowPunct/>
        <w:topLinePunct w:val="0"/>
        <w:autoSpaceDE/>
        <w:autoSpaceDN/>
        <w:bidi w:val="0"/>
        <w:adjustRightInd/>
        <w:snapToGrid/>
        <w:spacing w:line="578" w:lineRule="exact"/>
        <w:ind w:firstLine="642" w:firstLineChars="200"/>
        <w:jc w:val="both"/>
        <w:textAlignment w:val="auto"/>
        <w:outlineLvl w:val="9"/>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spacing w:val="0"/>
          <w:kern w:val="2"/>
          <w:sz w:val="32"/>
          <w:szCs w:val="32"/>
          <w:lang w:val="en-US" w:eastAsia="zh-CN" w:bidi="ar-SA"/>
          <w14:textFill>
            <w14:solidFill>
              <w14:schemeClr w14:val="tx1"/>
            </w14:solidFill>
          </w14:textFill>
        </w:rPr>
        <w:t>区位战略地位优越。</w:t>
      </w:r>
      <w:r>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山西中部城市群发展进入国家规划，是山西省在中部地区争先崛起、在全国版图彰显地位的重大机遇。</w:t>
      </w:r>
      <w:r>
        <w:rPr>
          <w:rFonts w:hint="default"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2021</w:t>
      </w:r>
      <w:r>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年</w:t>
      </w:r>
      <w:r>
        <w:rPr>
          <w:rFonts w:hint="default"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10</w:t>
      </w:r>
      <w:r>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月</w:t>
      </w:r>
      <w:r>
        <w:rPr>
          <w:rFonts w:hint="default"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25</w:t>
      </w:r>
      <w:r>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日，省第十二次党代会报告提出，加强统筹规划，加快要素和人口集聚，形成全省“一群两区三圈”的城乡区域发展新布局。从山西省“一群两区三圈”新的城乡区域发展格局看，交城县位于山西中部城市群，与汾阳、文水、孝义共同组成交汾文孝城镇组群，成为山西中部城市群发展的重要战略支点。</w:t>
      </w:r>
    </w:p>
    <w:p>
      <w:pPr>
        <w:keepNext w:val="0"/>
        <w:keepLines w:val="0"/>
        <w:pageBreakBefore w:val="0"/>
        <w:widowControl w:val="0"/>
        <w:suppressLineNumbers w:val="0"/>
        <w:kinsoku/>
        <w:wordWrap/>
        <w:overflowPunct/>
        <w:topLinePunct w:val="0"/>
        <w:autoSpaceDE/>
        <w:autoSpaceDN/>
        <w:bidi w:val="0"/>
        <w:adjustRightInd/>
        <w:snapToGrid/>
        <w:spacing w:line="578" w:lineRule="exact"/>
        <w:ind w:firstLine="642" w:firstLineChars="200"/>
        <w:jc w:val="both"/>
        <w:textAlignment w:val="auto"/>
        <w:outlineLvl w:val="9"/>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spacing w:val="0"/>
          <w:kern w:val="2"/>
          <w:sz w:val="32"/>
          <w:szCs w:val="32"/>
          <w:lang w:val="en-US" w:eastAsia="zh-CN" w:bidi="ar-SA"/>
          <w14:textFill>
            <w14:solidFill>
              <w14:schemeClr w14:val="tx1"/>
            </w14:solidFill>
          </w14:textFill>
        </w:rPr>
        <w:t>产业集聚已具雏形。</w:t>
      </w:r>
      <w:r>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交城</w:t>
      </w:r>
      <w:r>
        <w:rPr>
          <w:rFonts w:hint="default"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硝基复合肥</w:t>
      </w:r>
      <w:r>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专业镇龙头企业有5家，</w:t>
      </w:r>
      <w:r>
        <w:rPr>
          <w:rFonts w:hint="default"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包括华鑫肥业</w:t>
      </w:r>
      <w:r>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、东锦肥业、磊鑫化工、三喜化工、红星化工。依托龙头企业，分别带动上下游企业</w:t>
      </w:r>
      <w:r>
        <w:rPr>
          <w:rFonts w:hint="default"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27</w:t>
      </w:r>
      <w:r>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家、</w:t>
      </w:r>
      <w:r>
        <w:rPr>
          <w:rFonts w:hint="default"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20</w:t>
      </w:r>
      <w:r>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家、</w:t>
      </w:r>
      <w:r>
        <w:rPr>
          <w:rFonts w:hint="default"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25家</w:t>
      </w:r>
      <w:r>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、10家、9家。</w:t>
      </w:r>
      <w:r>
        <w:rPr>
          <w:rFonts w:hint="eastAsia" w:ascii="仿宋_GB2312" w:hAnsi="仿宋_GB2312" w:eastAsia="仿宋_GB2312" w:cs="仿宋_GB2312"/>
          <w:b w:val="0"/>
          <w:color w:val="000000" w:themeColor="text1"/>
          <w:spacing w:val="0"/>
          <w:kern w:val="2"/>
          <w:sz w:val="32"/>
          <w:szCs w:val="32"/>
          <w:highlight w:val="none"/>
          <w:lang w:val="en-US" w:eastAsia="zh-CN" w:bidi="ar-SA"/>
          <w14:textFill>
            <w14:solidFill>
              <w14:schemeClr w14:val="tx1"/>
            </w14:solidFill>
          </w14:textFill>
        </w:rPr>
        <w:t>产业布局梯度有序，产业集群雏形已现。</w:t>
      </w:r>
      <w:r>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未来将通过招商引资，吸引更多优质企业入驻，实现补链与强链，打造规模硝基复合肥专业镇。</w:t>
      </w:r>
    </w:p>
    <w:p>
      <w:pPr>
        <w:keepNext w:val="0"/>
        <w:keepLines w:val="0"/>
        <w:pageBreakBefore w:val="0"/>
        <w:widowControl w:val="0"/>
        <w:suppressLineNumbers w:val="0"/>
        <w:kinsoku/>
        <w:wordWrap/>
        <w:overflowPunct/>
        <w:topLinePunct w:val="0"/>
        <w:autoSpaceDE/>
        <w:autoSpaceDN/>
        <w:bidi w:val="0"/>
        <w:adjustRightInd/>
        <w:snapToGrid/>
        <w:spacing w:line="578" w:lineRule="exact"/>
        <w:ind w:firstLine="642" w:firstLineChars="200"/>
        <w:jc w:val="both"/>
        <w:textAlignment w:val="auto"/>
        <w:outlineLvl w:val="9"/>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spacing w:val="0"/>
          <w:kern w:val="2"/>
          <w:sz w:val="32"/>
          <w:szCs w:val="32"/>
          <w:lang w:val="en-US" w:eastAsia="zh-CN" w:bidi="ar-SA"/>
          <w14:textFill>
            <w14:solidFill>
              <w14:schemeClr w14:val="tx1"/>
            </w14:solidFill>
          </w14:textFill>
        </w:rPr>
        <w:t>现代市场体系健全。</w:t>
      </w:r>
      <w:r>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依托硝基复合肥拳头产品以及完整的产业链优势，交城县新型肥料行业围绕“专、精、特、新”做大做强，掌握自主核心技术，提高生产效率，降低能耗水平，实现绿色创新、低碳创效，主导产品以全水溶、零污染、高效率绿色发展为方向，不断优化结构与配方，相比同类型氮肥，产品纯度远超国际标准，新型硝基肥料利用率提升2—3倍，硝基肥中的硝态氮和钾、钙、镁等中量元素更易吸收，满足植物不同生长需求，满足各种土壤施用。</w:t>
      </w:r>
    </w:p>
    <w:p>
      <w:pPr>
        <w:keepNext w:val="0"/>
        <w:keepLines w:val="0"/>
        <w:pageBreakBefore w:val="0"/>
        <w:widowControl w:val="0"/>
        <w:suppressLineNumbers w:val="0"/>
        <w:kinsoku/>
        <w:wordWrap/>
        <w:overflowPunct/>
        <w:topLinePunct w:val="0"/>
        <w:autoSpaceDE/>
        <w:autoSpaceDN/>
        <w:bidi w:val="0"/>
        <w:adjustRightInd/>
        <w:snapToGrid/>
        <w:spacing w:line="578" w:lineRule="exact"/>
        <w:ind w:firstLine="642" w:firstLineChars="200"/>
        <w:jc w:val="both"/>
        <w:textAlignment w:val="auto"/>
        <w:outlineLvl w:val="9"/>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spacing w:val="0"/>
          <w:kern w:val="2"/>
          <w:sz w:val="32"/>
          <w:szCs w:val="32"/>
          <w:lang w:val="en-US" w:eastAsia="zh-CN" w:bidi="ar-SA"/>
          <w14:textFill>
            <w14:solidFill>
              <w14:schemeClr w14:val="tx1"/>
            </w14:solidFill>
          </w14:textFill>
        </w:rPr>
        <w:t>项目建设稳步推进。</w:t>
      </w:r>
      <w:r>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硝酸铵钙造粒系统绿色节能智能化升级改造项目、硝基肥料生产装置安全、环保、节能和自动化技改项目和46万吨绿色新材料项目相继投产。东锦肥业和金兰化工自动化、智能化、信息化改造提升项目、红星化工26万吨/年节水型农业新肥料及熔盐储能新材料改扩建项目、磊鑫化工原“三万吨/年硝酸铵钙技改扩产项目”中硝酸工段氮氧化物节能减排和十万吨/年水溶肥系列产品提升为滚筒造粒技改项目已完成。三喜化工多维复合肥智能库房建设项目、田丰化工硝酸铵钙生产线绿色节能智能化升级改造项目、沃锦新材料光热熔盐储供能示范项目和并盛化工熔盐储能供热和发电多能互补综合能源调峰示范项目待开工。</w:t>
      </w:r>
    </w:p>
    <w:p>
      <w:pPr>
        <w:keepNext w:val="0"/>
        <w:keepLines w:val="0"/>
        <w:pageBreakBefore w:val="0"/>
        <w:widowControl w:val="0"/>
        <w:suppressLineNumbers w:val="0"/>
        <w:kinsoku/>
        <w:wordWrap/>
        <w:overflowPunct/>
        <w:topLinePunct w:val="0"/>
        <w:autoSpaceDE/>
        <w:autoSpaceDN/>
        <w:bidi w:val="0"/>
        <w:adjustRightInd/>
        <w:snapToGrid/>
        <w:spacing w:line="578" w:lineRule="exact"/>
        <w:ind w:firstLine="642" w:firstLineChars="200"/>
        <w:jc w:val="both"/>
        <w:textAlignment w:val="auto"/>
        <w:outlineLvl w:val="9"/>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spacing w:val="0"/>
          <w:kern w:val="2"/>
          <w:sz w:val="32"/>
          <w:szCs w:val="32"/>
          <w:lang w:val="en-US" w:eastAsia="zh-CN" w:bidi="ar-SA"/>
          <w14:textFill>
            <w14:solidFill>
              <w14:schemeClr w14:val="tx1"/>
            </w14:solidFill>
          </w14:textFill>
        </w:rPr>
        <w:t>科技创新要素集聚。</w:t>
      </w:r>
      <w:r>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以产品研发和技术攻关为重点，积极与山西农大资源环境学院、山西省化工设计院、</w:t>
      </w:r>
      <w:r>
        <w:rPr>
          <w:rFonts w:hint="default"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太原理工</w:t>
      </w:r>
      <w:r>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大学、忻州师范学院生物系开展产学研合作，加大研发投入。截至2024年，专业镇授权专利248项，其中发明专利40项，外观设计专利2项，实用新型专利206项。制定国家标准2个，行业标准5个，团体标准3个。</w:t>
      </w:r>
    </w:p>
    <w:p>
      <w:pPr>
        <w:keepNext w:val="0"/>
        <w:keepLines w:val="0"/>
        <w:pageBreakBefore w:val="0"/>
        <w:widowControl w:val="0"/>
        <w:suppressLineNumbers w:val="0"/>
        <w:kinsoku/>
        <w:wordWrap/>
        <w:overflowPunct/>
        <w:topLinePunct w:val="0"/>
        <w:autoSpaceDE/>
        <w:autoSpaceDN/>
        <w:bidi w:val="0"/>
        <w:adjustRightInd/>
        <w:snapToGrid/>
        <w:spacing w:line="578" w:lineRule="exact"/>
        <w:ind w:firstLine="642" w:firstLineChars="200"/>
        <w:jc w:val="both"/>
        <w:textAlignment w:val="auto"/>
        <w:outlineLvl w:val="9"/>
        <w:rPr>
          <w:rFonts w:hint="default"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spacing w:val="0"/>
          <w:kern w:val="2"/>
          <w:sz w:val="32"/>
          <w:szCs w:val="32"/>
          <w:lang w:val="en-US" w:eastAsia="zh-CN" w:bidi="ar-SA"/>
          <w14:textFill>
            <w14:solidFill>
              <w14:schemeClr w14:val="tx1"/>
            </w14:solidFill>
          </w14:textFill>
        </w:rPr>
        <w:t>人才生态体系一流。</w:t>
      </w:r>
      <w:r>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w:t>
      </w:r>
      <w:r>
        <w:rPr>
          <w:rFonts w:hint="default"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老、中、青</w:t>
      </w:r>
      <w:r>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w:t>
      </w:r>
      <w:r>
        <w:rPr>
          <w:rFonts w:hint="default"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三代企业家和高端技术人才为核心</w:t>
      </w:r>
      <w:r>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的人才体系已经构建。专业镇企业从业人员有大专以</w:t>
      </w:r>
      <w:r>
        <w:rPr>
          <w:rFonts w:hint="default"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上专业技术人员1565人，</w:t>
      </w:r>
      <w:r>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其中具有</w:t>
      </w:r>
      <w:r>
        <w:rPr>
          <w:rFonts w:hint="default"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高级技术职称的专业人员50人</w:t>
      </w:r>
      <w:r>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w:t>
      </w:r>
      <w:r>
        <w:rPr>
          <w:rFonts w:hint="default"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从事对外贸易的专业人员800人，技术熟练工2410人</w:t>
      </w:r>
      <w:r>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w:t>
      </w:r>
      <w:r>
        <w:rPr>
          <w:rFonts w:hint="default"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企业管理层中拥有高级技术人员526人</w:t>
      </w:r>
      <w:r>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w:t>
      </w:r>
      <w:r>
        <w:rPr>
          <w:rFonts w:hint="default"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培育和引进</w:t>
      </w:r>
      <w:r>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3名</w:t>
      </w:r>
      <w:r>
        <w:rPr>
          <w:rFonts w:hint="default"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国家级专家、博士生导师。</w:t>
      </w:r>
      <w:bookmarkStart w:id="30" w:name="_Toc14103"/>
    </w:p>
    <w:p>
      <w:pPr>
        <w:bidi w:val="0"/>
        <w:rPr>
          <w:rFonts w:hint="eastAsia"/>
          <w:color w:val="000000" w:themeColor="text1"/>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楷体_GB2312" w:hAnsi="楷体_GB2312" w:eastAsia="楷体_GB2312" w:cs="楷体_GB2312"/>
          <w:color w:val="000000" w:themeColor="text1"/>
          <w:spacing w:val="0"/>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pacing w:val="0"/>
          <w:sz w:val="32"/>
          <w:szCs w:val="32"/>
          <w:lang w:val="en-US" w:eastAsia="zh-CN"/>
          <w14:textFill>
            <w14:solidFill>
              <w14:schemeClr w14:val="tx1"/>
            </w14:solidFill>
          </w14:textFill>
        </w:rPr>
        <w:t>第四节  面临挑战</w:t>
      </w:r>
      <w:bookmarkEnd w:id="30"/>
    </w:p>
    <w:p>
      <w:pPr>
        <w:bidi w:val="0"/>
        <w:rPr>
          <w:rFonts w:hint="eastAsia"/>
          <w:color w:val="000000" w:themeColor="text1"/>
          <w:lang w:val="en-US" w:eastAsia="zh-CN"/>
          <w14:textFill>
            <w14:solidFill>
              <w14:schemeClr w14:val="tx1"/>
            </w14:solidFill>
          </w14:textFill>
        </w:rPr>
      </w:pPr>
    </w:p>
    <w:p>
      <w:pPr>
        <w:keepNext w:val="0"/>
        <w:keepLines w:val="0"/>
        <w:pageBreakBefore w:val="0"/>
        <w:widowControl w:val="0"/>
        <w:suppressLineNumbers w:val="0"/>
        <w:kinsoku/>
        <w:wordWrap/>
        <w:overflowPunct/>
        <w:topLinePunct w:val="0"/>
        <w:autoSpaceDE/>
        <w:autoSpaceDN/>
        <w:bidi w:val="0"/>
        <w:adjustRightInd/>
        <w:snapToGrid/>
        <w:spacing w:line="578" w:lineRule="exact"/>
        <w:ind w:firstLine="642" w:firstLineChars="200"/>
        <w:jc w:val="both"/>
        <w:textAlignment w:val="auto"/>
        <w:outlineLvl w:val="9"/>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spacing w:val="0"/>
          <w:kern w:val="2"/>
          <w:sz w:val="32"/>
          <w:szCs w:val="32"/>
          <w:lang w:val="en-US" w:eastAsia="zh-CN" w:bidi="ar-SA"/>
          <w14:textFill>
            <w14:solidFill>
              <w14:schemeClr w14:val="tx1"/>
            </w14:solidFill>
          </w14:textFill>
        </w:rPr>
        <w:t>外部宏观政策风险。</w:t>
      </w:r>
      <w:r>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宏观经济调控政策对新型肥料行业的影响更多是通过对行业上游原料行业的影响来间接影响。“双碳”目标下低碳发展成为主流，</w:t>
      </w:r>
      <w:r>
        <w:rPr>
          <w:rFonts w:hint="default"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2020年9月</w:t>
      </w:r>
      <w:r>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我国提出“碳达峰、碳中和”目标，力争2030年前达到碳峰值，争取2060年前实现碳中和。“双碳”背景下，化工原料的价格波动将传导至上游原料行业，进而直接影响新型肥料企业原料存货成本、生产成本及开工率。</w:t>
      </w:r>
    </w:p>
    <w:p>
      <w:pPr>
        <w:keepNext w:val="0"/>
        <w:keepLines w:val="0"/>
        <w:pageBreakBefore w:val="0"/>
        <w:widowControl w:val="0"/>
        <w:suppressLineNumbers w:val="0"/>
        <w:kinsoku/>
        <w:wordWrap/>
        <w:overflowPunct/>
        <w:topLinePunct w:val="0"/>
        <w:autoSpaceDE/>
        <w:autoSpaceDN/>
        <w:bidi w:val="0"/>
        <w:adjustRightInd/>
        <w:snapToGrid/>
        <w:spacing w:line="578" w:lineRule="exact"/>
        <w:ind w:firstLine="642" w:firstLineChars="200"/>
        <w:jc w:val="both"/>
        <w:textAlignment w:val="auto"/>
        <w:outlineLvl w:val="9"/>
        <w:rPr>
          <w:rFonts w:hint="eastAsia" w:ascii="仿宋_GB2312" w:hAnsi="仿宋_GB2312" w:eastAsia="仿宋_GB2312" w:cs="仿宋_GB2312"/>
          <w:b/>
          <w:bCs/>
          <w:color w:val="000000" w:themeColor="text1"/>
          <w:spacing w:val="0"/>
          <w:kern w:val="2"/>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spacing w:val="0"/>
          <w:kern w:val="2"/>
          <w:sz w:val="32"/>
          <w:szCs w:val="32"/>
          <w:highlight w:val="none"/>
          <w:lang w:val="en-US" w:eastAsia="zh-CN" w:bidi="ar-SA"/>
          <w14:textFill>
            <w14:solidFill>
              <w14:schemeClr w14:val="tx1"/>
            </w14:solidFill>
          </w14:textFill>
        </w:rPr>
        <w:t>低碳同质竞争激烈。</w:t>
      </w:r>
      <w:r>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目前新型肥料行业处于快速发展阶段，市场参与者较多且行业集中度较低，市场竞争激烈。新型肥料行业呈现梯队式竞争格局，旗舰领军企业较少，第二梯队企业众多，大多数企业创新能力不足，肥料产品同质化严重，肥料类型单一、组合重复，针对不同地区、不同作物的功能性产品缺乏。同质化竞争对行业内企业研发创新能力、技术工艺、资金资源等综合实力提出更高挑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right="0" w:firstLine="642" w:firstLineChars="200"/>
        <w:jc w:val="both"/>
        <w:textAlignment w:val="auto"/>
        <w:rPr>
          <w:rFonts w:hint="eastAsia" w:ascii="仿宋_GB2312" w:hAnsi="仿宋_GB2312" w:eastAsia="仿宋_GB2312" w:cs="仿宋_GB2312"/>
          <w:b w:val="0"/>
          <w:color w:val="000000" w:themeColor="text1"/>
          <w:spacing w:val="0"/>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bCs/>
          <w:color w:val="000000" w:themeColor="text1"/>
          <w:spacing w:val="0"/>
          <w:kern w:val="2"/>
          <w:sz w:val="32"/>
          <w:szCs w:val="32"/>
          <w:highlight w:val="none"/>
          <w:lang w:val="en-US" w:eastAsia="zh-CN" w:bidi="ar-SA"/>
          <w14:textFill>
            <w14:solidFill>
              <w14:schemeClr w14:val="tx1"/>
            </w14:solidFill>
          </w14:textFill>
        </w:rPr>
        <w:t>智能绿色转型缓慢。</w:t>
      </w:r>
      <w:r>
        <w:rPr>
          <w:rFonts w:hint="eastAsia" w:ascii="仿宋_GB2312" w:hAnsi="仿宋_GB2312" w:eastAsia="仿宋_GB2312" w:cs="仿宋_GB2312"/>
          <w:b w:val="0"/>
          <w:color w:val="000000" w:themeColor="text1"/>
          <w:spacing w:val="0"/>
          <w:kern w:val="2"/>
          <w:sz w:val="32"/>
          <w:szCs w:val="32"/>
          <w:highlight w:val="none"/>
          <w:lang w:val="en-US" w:eastAsia="zh-CN" w:bidi="ar-SA"/>
          <w14:textFill>
            <w14:solidFill>
              <w14:schemeClr w14:val="tx1"/>
            </w14:solidFill>
          </w14:textFill>
        </w:rPr>
        <w:t>肥料产业的原料开采、生产和使用等环节碳足迹明显，硝基复合肥专业镇企业单位增加值能耗较高，能源消耗和强度“双控”压力较大。企业智能制造发展基础、产业应用、两化融合普及率处于较低水平，智能化水平较低，与人工智能、大数据、工业互联网等新一代信息技术深度融合不足。</w:t>
      </w:r>
    </w:p>
    <w:p>
      <w:pPr>
        <w:keepNext w:val="0"/>
        <w:keepLines w:val="0"/>
        <w:pageBreakBefore w:val="0"/>
        <w:widowControl w:val="0"/>
        <w:suppressLineNumbers w:val="0"/>
        <w:kinsoku/>
        <w:wordWrap/>
        <w:overflowPunct/>
        <w:topLinePunct w:val="0"/>
        <w:autoSpaceDE/>
        <w:autoSpaceDN/>
        <w:bidi w:val="0"/>
        <w:adjustRightInd/>
        <w:snapToGrid/>
        <w:spacing w:line="578" w:lineRule="exact"/>
        <w:ind w:firstLine="642" w:firstLineChars="200"/>
        <w:jc w:val="both"/>
        <w:textAlignment w:val="auto"/>
        <w:outlineLvl w:val="9"/>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spacing w:val="0"/>
          <w:kern w:val="2"/>
          <w:sz w:val="32"/>
          <w:szCs w:val="32"/>
          <w:highlight w:val="none"/>
          <w:lang w:val="en-US" w:eastAsia="zh-CN" w:bidi="ar-SA"/>
          <w14:textFill>
            <w14:solidFill>
              <w14:schemeClr w14:val="tx1"/>
            </w14:solidFill>
          </w14:textFill>
        </w:rPr>
        <w:t>高端领军人才匮乏。</w:t>
      </w:r>
      <w:r>
        <w:rPr>
          <w:rFonts w:hint="eastAsia" w:ascii="仿宋_GB2312" w:hAnsi="仿宋_GB2312" w:eastAsia="仿宋_GB2312" w:cs="仿宋_GB2312"/>
          <w:b w:val="0"/>
          <w:color w:val="000000" w:themeColor="text1"/>
          <w:spacing w:val="0"/>
          <w:kern w:val="2"/>
          <w:sz w:val="32"/>
          <w:szCs w:val="32"/>
          <w:lang w:val="en-US" w:eastAsia="zh-CN" w:bidi="ar-SA"/>
          <w14:textFill>
            <w14:solidFill>
              <w14:schemeClr w14:val="tx1"/>
            </w14:solidFill>
          </w14:textFill>
        </w:rPr>
        <w:t>新型肥料行业属于典型的人才技术密集型行业，丰富的高端人才储备是驱动行业持续健康发展的基础保障。新型肥料行业涉及微生物学、合成生物学、土壤学、作物学、生物工程等多学科领域技术，高端复合型技术人才不仅需要较强的学术能力，还需具备过硬的产业化知识和实操经验。</w:t>
      </w:r>
      <w:r>
        <w:rPr>
          <w:rFonts w:hint="eastAsia" w:ascii="仿宋_GB2312" w:hAnsi="仿宋_GB2312" w:eastAsia="仿宋_GB2312" w:cs="仿宋_GB2312"/>
          <w:b w:val="0"/>
          <w:color w:val="000000" w:themeColor="text1"/>
          <w:spacing w:val="0"/>
          <w:kern w:val="2"/>
          <w:sz w:val="32"/>
          <w:szCs w:val="32"/>
          <w:highlight w:val="none"/>
          <w:lang w:val="en-US" w:eastAsia="zh-CN" w:bidi="ar-SA"/>
          <w14:textFill>
            <w14:solidFill>
              <w14:schemeClr w14:val="tx1"/>
            </w14:solidFill>
          </w14:textFill>
        </w:rPr>
        <w:t>人才引进工作受限于县域发展能级，使得高端人才短缺，高技术研发人才和高技术蓝领工人结构性缺乏，人才短缺成为制约专业镇高质量发展的主要因素。</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方正宋体S-超大字符集(SIP)">
    <w:panose1 w:val="03000509000000000000"/>
    <w:charset w:val="86"/>
    <w:family w:val="auto"/>
    <w:pitch w:val="default"/>
    <w:sig w:usb0="00000003" w:usb1="0A0E08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3B173A7"/>
    <w:rsid w:val="F3B173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before="260" w:after="260" w:line="413" w:lineRule="auto"/>
      <w:outlineLvl w:val="2"/>
    </w:pPr>
    <w:rPr>
      <w:b/>
      <w:sz w:val="32"/>
      <w:szCs w:val="2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next w:val="1"/>
    <w:unhideWhenUsed/>
    <w:qFormat/>
    <w:uiPriority w:val="0"/>
    <w:pPr>
      <w:keepNext w:val="0"/>
      <w:keepLines w:val="0"/>
      <w:widowControl w:val="0"/>
      <w:suppressLineNumbers w:val="0"/>
      <w:spacing w:after="120" w:afterAutospacing="0"/>
      <w:jc w:val="both"/>
    </w:pPr>
    <w:rPr>
      <w:rFonts w:hint="default" w:ascii="Calibri" w:hAnsi="Calibri" w:eastAsia="宋体" w:cs="Times New Roman"/>
      <w:kern w:val="2"/>
      <w:sz w:val="21"/>
      <w:szCs w:val="21"/>
      <w:lang w:val="en-US" w:eastAsia="zh-CN" w:bidi="ar"/>
    </w:rPr>
  </w:style>
  <w:style w:type="paragraph" w:styleId="4">
    <w:name w:val="Normal (Web)"/>
    <w:basedOn w:val="1"/>
    <w:next w:val="1"/>
    <w:qFormat/>
    <w:uiPriority w:val="0"/>
    <w:pPr>
      <w:spacing w:before="0" w:beforeAutospacing="1" w:after="0" w:afterAutospacing="1"/>
      <w:ind w:left="0" w:right="0"/>
      <w:jc w:val="left"/>
    </w:pPr>
    <w:rPr>
      <w:kern w:val="0"/>
      <w:sz w:val="24"/>
      <w:lang w:val="en-US" w:eastAsia="zh-CN" w:bidi="ar"/>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2024-11-13T10:30:00Z</dcterms:created>
  <dc:creator>greatwall</dc:creator>
  <cp:lastModifiedBy>greatwall</cp:lastModifiedBy>
  <dcterms:modified xsi:type="dcterms:W3CDTF">2024-11-13T10:30:22Z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2052-11.1.0.11711</vt:lpwstr>
  </property>
</Properties>
</file>