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center"/>
        <w:textAlignment w:val="auto"/>
        <w:outlineLvl w:val="9"/>
        <w:rPr>
          <w:rFonts w:hint="eastAsia" w:ascii="黑体" w:hAnsi="黑体" w:eastAsia="黑体" w:cs="黑体"/>
          <w:b w:val="0"/>
          <w:bCs w:val="0"/>
          <w:color w:val="000000" w:themeColor="text1"/>
          <w:spacing w:val="0"/>
          <w:sz w:val="32"/>
          <w:szCs w:val="32"/>
          <w:lang w:val="en-US" w:eastAsia="zh-CN"/>
          <w14:textFill>
            <w14:solidFill>
              <w14:schemeClr w14:val="tx1"/>
            </w14:solidFill>
          </w14:textFill>
        </w:rPr>
      </w:pPr>
      <w:bookmarkStart w:id="0" w:name="_Toc8298"/>
      <w:r>
        <w:rPr>
          <w:rFonts w:hint="eastAsia" w:ascii="黑体" w:hAnsi="黑体" w:eastAsia="黑体" w:cs="黑体"/>
          <w:b w:val="0"/>
          <w:bCs w:val="0"/>
          <w:color w:val="000000" w:themeColor="text1"/>
          <w:spacing w:val="0"/>
          <w:sz w:val="32"/>
          <w:szCs w:val="32"/>
          <w:lang w:val="en-US" w:eastAsia="zh-CN"/>
          <w14:textFill>
            <w14:solidFill>
              <w14:schemeClr w14:val="tx1"/>
            </w14:solidFill>
          </w14:textFill>
        </w:rPr>
        <w:t>第三章  重点工程</w:t>
      </w:r>
      <w:bookmarkEnd w:id="0"/>
    </w:p>
    <w:p>
      <w:pPr>
        <w:bidi w:val="0"/>
        <w:rPr>
          <w:rFonts w:hint="eastAsia"/>
          <w:color w:val="000000" w:themeColor="text1"/>
          <w:lang w:val="en-US" w:eastAsia="zh-CN"/>
          <w14:textFill>
            <w14:solidFill>
              <w14:schemeClr w14:val="tx1"/>
            </w14:solidFill>
          </w14:textFill>
        </w:rPr>
      </w:pPr>
      <w:bookmarkStart w:id="1" w:name="_Toc18035"/>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楷体_GB2312" w:hAnsi="楷体_GB2312" w:eastAsia="楷体_GB2312" w:cs="楷体_GB2312"/>
          <w:color w:val="000000" w:themeColor="text1"/>
          <w:spacing w:val="0"/>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pacing w:val="0"/>
          <w:sz w:val="32"/>
          <w:szCs w:val="32"/>
          <w:lang w:val="en-US" w:eastAsia="zh-CN"/>
          <w14:textFill>
            <w14:solidFill>
              <w14:schemeClr w14:val="tx1"/>
            </w14:solidFill>
          </w14:textFill>
        </w:rPr>
        <w:t>第一节  经营主体</w:t>
      </w:r>
      <w:bookmarkEnd w:id="1"/>
      <w:bookmarkStart w:id="2" w:name="_Toc29423"/>
      <w:r>
        <w:rPr>
          <w:rFonts w:hint="eastAsia" w:ascii="楷体_GB2312" w:hAnsi="楷体_GB2312" w:eastAsia="楷体_GB2312" w:cs="楷体_GB2312"/>
          <w:color w:val="000000" w:themeColor="text1"/>
          <w:spacing w:val="0"/>
          <w:sz w:val="32"/>
          <w:szCs w:val="32"/>
          <w:lang w:val="en-US" w:eastAsia="zh-CN"/>
          <w14:textFill>
            <w14:solidFill>
              <w14:schemeClr w14:val="tx1"/>
            </w14:solidFill>
          </w14:textFill>
        </w:rPr>
        <w:t>发展</w:t>
      </w:r>
    </w:p>
    <w:p>
      <w:pPr>
        <w:bidi w:val="0"/>
        <w:rPr>
          <w:color w:val="000000" w:themeColor="text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jc w:val="both"/>
        <w:textAlignment w:val="auto"/>
        <w:outlineLvl w:val="9"/>
        <w:rPr>
          <w:color w:val="000000" w:themeColor="text1"/>
          <w:spacing w:val="0"/>
          <w:lang w:val="en-US" w:eastAsia="zh-CN"/>
          <w14:textFill>
            <w14:solidFill>
              <w14:schemeClr w14:val="tx1"/>
            </w14:solidFill>
          </w14:textFill>
        </w:rPr>
      </w:pPr>
      <w:r>
        <w:rPr>
          <w:rFonts w:ascii="仿宋_GB2312" w:hAnsi="仿宋_GB2312" w:eastAsia="仿宋_GB2312" w:cs="仿宋_GB2312"/>
          <w:b/>
          <w:bCs/>
          <w:color w:val="000000" w:themeColor="text1"/>
          <w:spacing w:val="0"/>
          <w:kern w:val="0"/>
          <w:sz w:val="32"/>
          <w:szCs w:val="32"/>
          <w:lang w:val="en-US" w:eastAsia="zh-CN" w:bidi="ar"/>
          <w14:textFill>
            <w14:solidFill>
              <w14:schemeClr w14:val="tx1"/>
            </w14:solidFill>
          </w14:textFill>
        </w:rPr>
        <w:t>培育壮大本土企业。</w:t>
      </w:r>
      <w:r>
        <w:rPr>
          <w:rFonts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探索建立</w:t>
      </w:r>
      <w:r>
        <w:rPr>
          <w:rFonts w:hint="eastAsia"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专业镇龙头</w:t>
      </w:r>
      <w:r>
        <w:rPr>
          <w:rFonts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企业和高成长型中小企业培育机制，实施</w:t>
      </w:r>
      <w:r>
        <w:rPr>
          <w:rFonts w:hint="eastAsia"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w:t>
      </w:r>
      <w:r>
        <w:rPr>
          <w:rFonts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个转企、企转规、规转股、股转上</w:t>
      </w:r>
      <w:r>
        <w:rPr>
          <w:rFonts w:hint="eastAsia"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w:t>
      </w:r>
      <w:r>
        <w:rPr>
          <w:rFonts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工程，着力培育一批成长性强、发展前景好、辐射带动力大的本地领军、单项冠军、独角兽企业，实行梯度扶持、梯度培育，重点扶持成长性好的企业。</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jc w:val="both"/>
        <w:textAlignment w:val="auto"/>
        <w:outlineLvl w:val="9"/>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pPr>
      <w:r>
        <w:rPr>
          <w:rFonts w:ascii="仿宋_GB2312" w:hAnsi="仿宋_GB2312" w:eastAsia="仿宋_GB2312" w:cs="仿宋_GB2312"/>
          <w:b/>
          <w:bCs/>
          <w:color w:val="000000" w:themeColor="text1"/>
          <w:spacing w:val="0"/>
          <w:kern w:val="0"/>
          <w:sz w:val="32"/>
          <w:szCs w:val="32"/>
          <w:lang w:val="en-US" w:eastAsia="zh-CN" w:bidi="ar"/>
          <w14:textFill>
            <w14:solidFill>
              <w14:schemeClr w14:val="tx1"/>
            </w14:solidFill>
          </w14:textFill>
        </w:rPr>
        <w:t>引进外部龙头企业。</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深入实施产业大招商，建立“四长”（链长、盟长、行长、院长）产业招商专班，绘制产业招商“两图”（产业链发展全景图、现状图），编制发布招商“两库”（招商项目库、目标企业库），建立硝基复合肥产业发展“两池”（资金池、人才池）。</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围绕500强、央企、民企、独角兽、制造业单项冠军、高新技术等优强</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硝基复合肥上下游</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企业开展精准招商，引进更多投资主体，不断提高产业招商比重。</w:t>
      </w:r>
    </w:p>
    <w:p>
      <w:pPr>
        <w:bidi w:val="0"/>
        <w:rPr>
          <w:rFonts w:hint="eastAsia"/>
          <w:color w:val="000000" w:themeColor="text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楷体_GB2312" w:hAnsi="楷体_GB2312" w:eastAsia="楷体_GB2312" w:cs="楷体_GB2312"/>
          <w:color w:val="000000" w:themeColor="text1"/>
          <w:spacing w:val="0"/>
          <w:sz w:val="32"/>
          <w:szCs w:val="32"/>
          <w:lang w:val="en-US" w:eastAsia="zh-CN"/>
          <w14:textFill>
            <w14:solidFill>
              <w14:schemeClr w14:val="tx1"/>
            </w14:solidFill>
          </w14:textFill>
        </w:rPr>
      </w:pPr>
      <w:bookmarkStart w:id="3" w:name="_Toc536"/>
      <w:r>
        <w:rPr>
          <w:rFonts w:hint="eastAsia" w:ascii="楷体_GB2312" w:hAnsi="楷体_GB2312" w:eastAsia="楷体_GB2312" w:cs="楷体_GB2312"/>
          <w:color w:val="000000" w:themeColor="text1"/>
          <w:spacing w:val="0"/>
          <w:sz w:val="32"/>
          <w:szCs w:val="32"/>
          <w:lang w:val="en-US" w:eastAsia="zh-CN"/>
          <w14:textFill>
            <w14:solidFill>
              <w14:schemeClr w14:val="tx1"/>
            </w14:solidFill>
          </w14:textFill>
        </w:rPr>
        <w:t>第二节  主导产业壮大</w:t>
      </w:r>
      <w:bookmarkEnd w:id="3"/>
    </w:p>
    <w:p>
      <w:pPr>
        <w:bidi w:val="0"/>
        <w:rPr>
          <w:rFonts w:hint="eastAsia"/>
          <w:color w:val="000000" w:themeColor="text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jc w:val="both"/>
        <w:textAlignment w:val="auto"/>
        <w:outlineLvl w:val="9"/>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pPr>
      <w:r>
        <w:rPr>
          <w:rFonts w:hint="eastAsia" w:ascii="Times New Roman" w:hAnsi="Times New Roman" w:eastAsia="仿宋_GB2312" w:cs="Times New Roman"/>
          <w:b/>
          <w:bCs/>
          <w:color w:val="000000" w:themeColor="text1"/>
          <w:spacing w:val="0"/>
          <w:kern w:val="0"/>
          <w:sz w:val="32"/>
          <w:szCs w:val="32"/>
          <w:lang w:val="en-US" w:eastAsia="zh-CN"/>
          <w14:textFill>
            <w14:solidFill>
              <w14:schemeClr w14:val="tx1"/>
            </w14:solidFill>
          </w14:textFill>
        </w:rPr>
        <w:t>发展</w:t>
      </w:r>
      <w:r>
        <w:rPr>
          <w:rFonts w:hint="default" w:ascii="Times New Roman" w:hAnsi="Times New Roman" w:eastAsia="仿宋_GB2312" w:cs="Times New Roman"/>
          <w:b/>
          <w:bCs/>
          <w:color w:val="000000" w:themeColor="text1"/>
          <w:spacing w:val="0"/>
          <w:kern w:val="0"/>
          <w:sz w:val="32"/>
          <w:szCs w:val="32"/>
          <w:lang w:val="en-US" w:eastAsia="zh-CN"/>
          <w14:textFill>
            <w14:solidFill>
              <w14:schemeClr w14:val="tx1"/>
            </w14:solidFill>
          </w14:textFill>
        </w:rPr>
        <w:t>壮大本土企业。</w:t>
      </w:r>
      <w:r>
        <w:rPr>
          <w:rFonts w:hint="eastAsia" w:eastAsia="仿宋_GB2312" w:cs="Times New Roman"/>
          <w:color w:val="000000" w:themeColor="text1"/>
          <w:spacing w:val="0"/>
          <w:kern w:val="2"/>
          <w:sz w:val="32"/>
          <w:szCs w:val="32"/>
          <w:lang w:val="en-US" w:eastAsia="zh-CN" w:bidi="ar-SA"/>
          <w14:textFill>
            <w14:solidFill>
              <w14:schemeClr w14:val="tx1"/>
            </w14:solidFill>
          </w14:textFill>
        </w:rPr>
        <w:t>推进“专业镇+市场主体”培育模式，贯彻落实国家、省支持高质量发展相关政策，积极争取上级政策和资金支持，以补链延链为招商引资重点，引导全链条企业发展。培育专业镇龙头企业和瞪羚企业。实施项目领导包点帮扶责任制。落实龙头企业和优势小微企业鼓励政策。鼓励中小企业实施差异化竞争，引导专业镇中小企业在细分领域加大技术创新和研究开发力度。积极引导规上企业按照现代企业制度的要求，实行规范的公司制度改革，加快形成多元的产权结构、完善的法人治理结构和科学的决策机制。打破原有的组织形式和区域界限，在市场竞争中通过优胜劣汰，促进生产要素向优势企业和知名产品集中，实现专业镇市场主体增数量、上规模、强实力、提效益。</w:t>
      </w:r>
    </w:p>
    <w:p>
      <w:pPr>
        <w:bidi w:val="0"/>
        <w:rPr>
          <w:rFonts w:hint="eastAsia"/>
          <w:color w:val="000000" w:themeColor="text1"/>
          <w:lang w:val="en-US" w:eastAsia="zh-CN"/>
          <w14:textFill>
            <w14:solidFill>
              <w14:schemeClr w14:val="tx1"/>
            </w14:solidFill>
          </w14:textFill>
        </w:rPr>
      </w:pPr>
      <w:bookmarkStart w:id="4" w:name="_Toc31260"/>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楷体_GB2312" w:hAnsi="楷体_GB2312" w:eastAsia="楷体_GB2312" w:cs="楷体_GB2312"/>
          <w:color w:val="000000" w:themeColor="text1"/>
          <w:spacing w:val="0"/>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pacing w:val="0"/>
          <w:sz w:val="32"/>
          <w:szCs w:val="32"/>
          <w:lang w:val="en-US" w:eastAsia="zh-CN"/>
          <w14:textFill>
            <w14:solidFill>
              <w14:schemeClr w14:val="tx1"/>
            </w14:solidFill>
          </w14:textFill>
        </w:rPr>
        <w:t>第三节  创新能力提升</w:t>
      </w:r>
      <w:bookmarkEnd w:id="4"/>
    </w:p>
    <w:p>
      <w:pPr>
        <w:bidi w:val="0"/>
        <w:rPr>
          <w:rFonts w:hint="eastAsia"/>
          <w:color w:val="000000" w:themeColor="text1"/>
          <w14:textFill>
            <w14:solidFill>
              <w14:schemeClr w14:val="tx1"/>
            </w14:solidFill>
          </w14:textFill>
        </w:rPr>
      </w:pPr>
      <w:bookmarkStart w:id="5" w:name="_Toc13480"/>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jc w:val="both"/>
        <w:textAlignment w:val="auto"/>
        <w:outlineLvl w:val="9"/>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b/>
          <w:bCs/>
          <w:color w:val="000000" w:themeColor="text1"/>
          <w:spacing w:val="0"/>
          <w:sz w:val="32"/>
          <w:szCs w:val="32"/>
          <w14:textFill>
            <w14:solidFill>
              <w14:schemeClr w14:val="tx1"/>
            </w14:solidFill>
          </w14:textFill>
        </w:rPr>
        <w:t>构筑产业研发基地。</w:t>
      </w:r>
      <w:r>
        <w:rPr>
          <w:rFonts w:hint="eastAsia" w:ascii="仿宋_GB2312" w:hAnsi="仿宋_GB2312" w:eastAsia="仿宋_GB2312" w:cs="仿宋_GB2312"/>
          <w:color w:val="000000" w:themeColor="text1"/>
          <w:spacing w:val="0"/>
          <w:sz w:val="32"/>
          <w:szCs w:val="32"/>
          <w14:textFill>
            <w14:solidFill>
              <w14:schemeClr w14:val="tx1"/>
            </w14:solidFill>
          </w14:textFill>
        </w:rPr>
        <w:t>加快推进以市场为导向、企业为主体、产学研用相结合的产业创新载体建设。发挥企业创新主体作用，支持龙头企业联合高校和科研院所建设产业创新中心、制造业创新中心、工程研究中心和产业中试基地等，积极争创国家级或省级平台。吸引国内外高端研发机构落户专业镇，积极发展集研究开发、成果转化、衍生孵化、技术服务和产业培育于一体的新型研发机构，开展各类技术研发活动。</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jc w:val="both"/>
        <w:textAlignment w:val="auto"/>
        <w:outlineLvl w:val="9"/>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b/>
          <w:bCs/>
          <w:color w:val="000000" w:themeColor="text1"/>
          <w:spacing w:val="0"/>
          <w:sz w:val="32"/>
          <w:szCs w:val="32"/>
          <w14:textFill>
            <w14:solidFill>
              <w14:schemeClr w14:val="tx1"/>
            </w14:solidFill>
          </w14:textFill>
        </w:rPr>
        <w:t>加速科研成果转化。</w:t>
      </w:r>
      <w:r>
        <w:rPr>
          <w:rFonts w:hint="eastAsia" w:ascii="仿宋_GB2312" w:hAnsi="仿宋_GB2312" w:eastAsia="仿宋_GB2312" w:cs="仿宋_GB2312"/>
          <w:color w:val="000000" w:themeColor="text1"/>
          <w:spacing w:val="0"/>
          <w:sz w:val="32"/>
          <w:szCs w:val="32"/>
          <w14:textFill>
            <w14:solidFill>
              <w14:schemeClr w14:val="tx1"/>
            </w14:solidFill>
          </w14:textFill>
        </w:rPr>
        <w:t>依托本地科技大市场建设，推动技术需求端与创新供给端精准对接，构建“产学研用金、才政介美云”十联动的产业协同创新体系，推动高校、科研机构和创新型企业以市场需求、企业需求为导向，开展基础研究、应用研究与技术创新，建设创新成果转化载体，实施一批创新水平高、产业带动性强、具有重大突破性的产业化项目，助推产业集群化发展。</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jc w:val="both"/>
        <w:textAlignment w:val="auto"/>
        <w:outlineLvl w:val="9"/>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b/>
          <w:bCs/>
          <w:color w:val="000000" w:themeColor="text1"/>
          <w:spacing w:val="0"/>
          <w:sz w:val="32"/>
          <w:szCs w:val="32"/>
          <w14:textFill>
            <w14:solidFill>
              <w14:schemeClr w14:val="tx1"/>
            </w14:solidFill>
          </w14:textFill>
        </w:rPr>
        <w:t>增强企业创新能力。</w:t>
      </w:r>
      <w:r>
        <w:rPr>
          <w:rFonts w:hint="eastAsia" w:ascii="仿宋_GB2312" w:hAnsi="仿宋_GB2312" w:eastAsia="仿宋_GB2312" w:cs="仿宋_GB2312"/>
          <w:color w:val="000000" w:themeColor="text1"/>
          <w:spacing w:val="0"/>
          <w:sz w:val="32"/>
          <w:szCs w:val="32"/>
          <w14:textFill>
            <w14:solidFill>
              <w14:schemeClr w14:val="tx1"/>
            </w14:solidFill>
          </w14:textFill>
        </w:rPr>
        <w:t>强化政策引导，完善技术创新市场导向机制，鼓励企业加大科技研发投入，推动平台、项目、资金、人才等创新资源向企业集聚。培育一批自主创新能力强、成长速度快、市场前景好的专精特新“小巨人”企业、“隐形冠军”、科技小巨人企业，吸引一批瞪羚企业、科技型企业落地硝基复合肥专业镇。加强产业创新成果共享、利益共享、知识共享、经验共享、能力共享等，探索联合创新新模式、新路径，实现大中小企业融通创新。</w:t>
      </w:r>
    </w:p>
    <w:p>
      <w:pPr>
        <w:bidi w:val="0"/>
        <w:rPr>
          <w:rFonts w:hint="eastAsia"/>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楷体_GB2312" w:hAnsi="楷体_GB2312" w:eastAsia="楷体_GB2312" w:cs="楷体_GB2312"/>
          <w:color w:val="000000" w:themeColor="text1"/>
          <w:spacing w:val="0"/>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pacing w:val="0"/>
          <w:sz w:val="32"/>
          <w:szCs w:val="32"/>
          <w:lang w:val="en-US" w:eastAsia="zh-CN"/>
          <w14:textFill>
            <w14:solidFill>
              <w14:schemeClr w14:val="tx1"/>
            </w14:solidFill>
          </w14:textFill>
        </w:rPr>
        <w:t>第四节  重大项目攻坚</w:t>
      </w:r>
      <w:bookmarkEnd w:id="5"/>
    </w:p>
    <w:p>
      <w:pPr>
        <w:bidi w:val="0"/>
        <w:rPr>
          <w:rFonts w:hint="eastAsia"/>
          <w:color w:val="000000" w:themeColor="text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jc w:val="both"/>
        <w:textAlignment w:val="auto"/>
        <w:outlineLvl w:val="9"/>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pPr>
      <w:r>
        <w:rPr>
          <w:rFonts w:hint="eastAsia" w:eastAsia="仿宋_GB2312" w:cs="Times New Roman"/>
          <w:b/>
          <w:bCs/>
          <w:color w:val="000000" w:themeColor="text1"/>
          <w:spacing w:val="0"/>
          <w:kern w:val="2"/>
          <w:sz w:val="32"/>
          <w:szCs w:val="32"/>
          <w:lang w:val="en-US" w:eastAsia="zh-CN" w:bidi="ar-SA"/>
          <w14:textFill>
            <w14:solidFill>
              <w14:schemeClr w14:val="tx1"/>
            </w14:solidFill>
          </w14:textFill>
        </w:rPr>
        <w:t>建成投产重大项目。</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华鑫肥业硝酸铵钙造粒系统绿色节能智能化升级改造项目、丰田肥业硝基肥料生产装置安全、环保、节能和自动化技改项目和东锦肥业8</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6</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万吨绿色新材料项目建成投产。金兰化工已完成自动化、智能化、信息化改造提升项目、东锦肥业已完成自动化、智能化、信息化改造提升项目、红星化工已完成26万吨/年节水型农业新肥料及熔盐储能新材料改扩建项目、磊鑫化工已完成原“三万吨/年硝酸铵钙技改扩产项目”中硝酸工段氮氧化物节能减排项目和10万吨/年水溶肥系列产品提升为滚筒造粒技改项目。</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jc w:val="both"/>
        <w:textAlignment w:val="auto"/>
        <w:outlineLvl w:val="9"/>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pPr>
      <w:r>
        <w:rPr>
          <w:rFonts w:hint="eastAsia" w:eastAsia="仿宋_GB2312" w:cs="Times New Roman"/>
          <w:b/>
          <w:bCs/>
          <w:color w:val="000000" w:themeColor="text1"/>
          <w:spacing w:val="0"/>
          <w:kern w:val="2"/>
          <w:sz w:val="32"/>
          <w:szCs w:val="32"/>
          <w:lang w:val="en-US" w:eastAsia="zh-CN" w:bidi="ar-SA"/>
          <w14:textFill>
            <w14:solidFill>
              <w14:schemeClr w14:val="tx1"/>
            </w14:solidFill>
          </w14:textFill>
        </w:rPr>
        <w:t>科学谋划储备项目。</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谋划</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实施一批标志性、引领性的重大项目，三喜化工多维复合肥智能库房建设项目、田丰化工硝酸铵钙生产线绿色节能智能化升级改造项目、沃锦新材料光热熔盐储供能示范项目和并盛化工熔盐储能供热和发电多能互补综合能源调峰示范项目待开工。三喜化工80万吨绿色新材料、东锦肥业年产15万吨硝酸和华鑫肥业年产20万吨硝酸列入项目储备库，为2030年硝基复合肥行业产能达到1000万吨，产业总产值达到100亿元实现有力支撑。</w:t>
      </w:r>
    </w:p>
    <w:p>
      <w:pPr>
        <w:bidi w:val="0"/>
        <w:rPr>
          <w:rFonts w:hint="eastAsia"/>
          <w:color w:val="000000" w:themeColor="text1"/>
          <w:lang w:val="en-US" w:eastAsia="zh-CN"/>
          <w14:textFill>
            <w14:solidFill>
              <w14:schemeClr w14:val="tx1"/>
            </w14:solidFill>
          </w14:textFill>
        </w:rPr>
      </w:pPr>
    </w:p>
    <w:tbl>
      <w:tblPr>
        <w:tblStyle w:val="5"/>
        <w:tblW w:w="8785" w:type="dxa"/>
        <w:tblInd w:w="76" w:type="dxa"/>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fixed"/>
        <w:tblCellMar>
          <w:top w:w="0" w:type="dxa"/>
          <w:left w:w="0" w:type="dxa"/>
          <w:bottom w:w="0" w:type="dxa"/>
          <w:right w:w="0" w:type="dxa"/>
        </w:tblCellMar>
      </w:tblPr>
      <w:tblGrid>
        <w:gridCol w:w="8785"/>
      </w:tblGrid>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613" w:hRule="atLeast"/>
        </w:trPr>
        <w:tc>
          <w:tcPr>
            <w:tcW w:w="8785" w:type="dxa"/>
            <w:vAlign w:val="top"/>
          </w:tcPr>
          <w:p>
            <w:pPr>
              <w:spacing w:before="93" w:beforeLines="30" w:after="93" w:afterLines="30" w:line="400" w:lineRule="exact"/>
              <w:jc w:val="center"/>
              <w:rPr>
                <w:rFonts w:ascii="黑体" w:hAnsi="黑体" w:eastAsia="黑体" w:cs="黑体"/>
                <w:color w:val="000000" w:themeColor="text1"/>
                <w:spacing w:val="0"/>
                <w:sz w:val="22"/>
                <w:szCs w:val="22"/>
                <w14:textFill>
                  <w14:solidFill>
                    <w14:schemeClr w14:val="tx1"/>
                  </w14:solidFill>
                </w14:textFill>
              </w:rPr>
            </w:pPr>
            <w:r>
              <w:rPr>
                <w:rFonts w:hint="eastAsia" w:ascii="黑体" w:hAnsi="黑体" w:eastAsia="黑体" w:cs="黑体"/>
                <w:b w:val="0"/>
                <w:bCs w:val="0"/>
                <w:color w:val="000000" w:themeColor="text1"/>
                <w:spacing w:val="0"/>
                <w:sz w:val="28"/>
                <w:szCs w:val="28"/>
                <w14:textFill>
                  <w14:solidFill>
                    <w14:schemeClr w14:val="tx1"/>
                  </w14:solidFill>
                </w14:textFill>
              </w:rPr>
              <w:t>专栏</w:t>
            </w:r>
            <w:r>
              <w:rPr>
                <w:rFonts w:hint="eastAsia" w:ascii="黑体" w:hAnsi="黑体" w:eastAsia="黑体" w:cs="黑体"/>
                <w:b w:val="0"/>
                <w:bCs w:val="0"/>
                <w:color w:val="000000" w:themeColor="text1"/>
                <w:spacing w:val="0"/>
                <w:sz w:val="28"/>
                <w:szCs w:val="28"/>
                <w:lang w:val="en-US" w:eastAsia="zh-CN"/>
                <w14:textFill>
                  <w14:solidFill>
                    <w14:schemeClr w14:val="tx1"/>
                  </w14:solidFill>
                </w14:textFill>
              </w:rPr>
              <w:t>6  交城硝基复合肥专业镇重大项目</w:t>
            </w: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856" w:hRule="atLeast"/>
        </w:trPr>
        <w:tc>
          <w:tcPr>
            <w:tcW w:w="8785" w:type="dxa"/>
            <w:vAlign w:val="top"/>
          </w:tcPr>
          <w:p>
            <w:pPr>
              <w:spacing w:line="400" w:lineRule="exact"/>
              <w:ind w:firstLine="481" w:firstLineChars="200"/>
              <w:jc w:val="both"/>
              <w:rPr>
                <w:rFonts w:hint="eastAsia" w:ascii="仿宋_GB2312" w:hAnsi="仿宋_GB2312" w:eastAsia="仿宋_GB2312" w:cs="仿宋_GB2312"/>
                <w:b w:val="0"/>
                <w:bCs w:val="0"/>
                <w:color w:val="000000" w:themeColor="text1"/>
                <w:spacing w:val="0"/>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sz w:val="24"/>
                <w:szCs w:val="24"/>
                <w:lang w:val="en-US" w:eastAsia="zh-CN"/>
                <w14:textFill>
                  <w14:solidFill>
                    <w14:schemeClr w14:val="tx1"/>
                  </w14:solidFill>
                </w14:textFill>
              </w:rPr>
              <w:t>储能熔盐</w:t>
            </w:r>
            <w:r>
              <w:rPr>
                <w:rFonts w:hint="eastAsia" w:ascii="仿宋_GB2312" w:hAnsi="仿宋_GB2312" w:eastAsia="仿宋_GB2312" w:cs="仿宋_GB2312"/>
                <w:b/>
                <w:bCs/>
                <w:color w:val="000000" w:themeColor="text1"/>
                <w:spacing w:val="0"/>
                <w:sz w:val="24"/>
                <w:szCs w:val="24"/>
                <w14:textFill>
                  <w14:solidFill>
                    <w14:schemeClr w14:val="tx1"/>
                  </w14:solidFill>
                </w14:textFill>
              </w:rPr>
              <w:t>新材料项目</w:t>
            </w:r>
            <w:r>
              <w:rPr>
                <w:rFonts w:hint="eastAsia" w:ascii="仿宋_GB2312" w:hAnsi="仿宋_GB2312" w:eastAsia="仿宋_GB2312" w:cs="仿宋_GB2312"/>
                <w:b/>
                <w:bCs/>
                <w:color w:val="000000" w:themeColor="text1"/>
                <w:spacing w:val="0"/>
                <w:sz w:val="24"/>
                <w:szCs w:val="24"/>
                <w:lang w:eastAsia="zh-CN"/>
                <w14:textFill>
                  <w14:solidFill>
                    <w14:schemeClr w14:val="tx1"/>
                  </w14:solidFill>
                </w14:textFill>
              </w:rPr>
              <w:t>：</w:t>
            </w:r>
            <w:r>
              <w:rPr>
                <w:rFonts w:hint="eastAsia" w:ascii="仿宋_GB2312" w:hAnsi="仿宋_GB2312" w:eastAsia="仿宋_GB2312" w:cs="仿宋_GB2312"/>
                <w:color w:val="000000" w:themeColor="text1"/>
                <w:spacing w:val="0"/>
                <w:sz w:val="24"/>
                <w:szCs w:val="24"/>
                <w14:textFill>
                  <w14:solidFill>
                    <w14:schemeClr w14:val="tx1"/>
                  </w14:solidFill>
                </w14:textFill>
              </w:rPr>
              <w:t>项目建设主体为山西东锦肥业有限公司，生产硝酸盐、</w:t>
            </w:r>
            <w:r>
              <w:rPr>
                <w:rFonts w:hint="eastAsia" w:ascii="仿宋_GB2312" w:hAnsi="仿宋_GB2312" w:eastAsia="仿宋_GB2312" w:cs="仿宋_GB2312"/>
                <w:color w:val="000000" w:themeColor="text1"/>
                <w:spacing w:val="0"/>
                <w:sz w:val="24"/>
                <w:szCs w:val="24"/>
                <w:lang w:val="en-US" w:eastAsia="zh-CN"/>
                <w14:textFill>
                  <w14:solidFill>
                    <w14:schemeClr w14:val="tx1"/>
                  </w14:solidFill>
                </w14:textFill>
              </w:rPr>
              <w:t>储能熔盐</w:t>
            </w:r>
            <w:r>
              <w:rPr>
                <w:rFonts w:hint="eastAsia" w:ascii="仿宋_GB2312" w:hAnsi="仿宋_GB2312" w:eastAsia="仿宋_GB2312" w:cs="仿宋_GB2312"/>
                <w:color w:val="000000" w:themeColor="text1"/>
                <w:spacing w:val="0"/>
                <w:sz w:val="24"/>
                <w:szCs w:val="24"/>
                <w14:textFill>
                  <w14:solidFill>
                    <w14:schemeClr w14:val="tx1"/>
                  </w14:solidFill>
                </w14:textFill>
              </w:rPr>
              <w:t>新材料，计划投资</w:t>
            </w:r>
            <w:r>
              <w:rPr>
                <w:rFonts w:hint="eastAsia" w:ascii="仿宋_GB2312" w:hAnsi="仿宋_GB2312" w:eastAsia="仿宋_GB2312" w:cs="仿宋_GB2312"/>
                <w:color w:val="000000" w:themeColor="text1"/>
                <w:spacing w:val="0"/>
                <w:sz w:val="24"/>
                <w:szCs w:val="24"/>
                <w:lang w:val="en-US" w:eastAsia="zh-CN"/>
                <w14:textFill>
                  <w14:solidFill>
                    <w14:schemeClr w14:val="tx1"/>
                  </w14:solidFill>
                </w14:textFill>
              </w:rPr>
              <w:t>2.5</w:t>
            </w:r>
            <w:r>
              <w:rPr>
                <w:rFonts w:hint="eastAsia" w:ascii="仿宋_GB2312" w:hAnsi="仿宋_GB2312" w:eastAsia="仿宋_GB2312" w:cs="仿宋_GB2312"/>
                <w:color w:val="000000" w:themeColor="text1"/>
                <w:spacing w:val="0"/>
                <w:sz w:val="24"/>
                <w:szCs w:val="24"/>
                <w14:textFill>
                  <w14:solidFill>
                    <w14:schemeClr w14:val="tx1"/>
                  </w14:solidFill>
                </w14:textFill>
              </w:rPr>
              <w:t>亿元。</w:t>
            </w:r>
          </w:p>
          <w:p>
            <w:pPr>
              <w:spacing w:line="400" w:lineRule="exact"/>
              <w:ind w:firstLine="481" w:firstLineChars="200"/>
              <w:jc w:val="both"/>
              <w:rPr>
                <w:rFonts w:hint="eastAsia" w:ascii="仿宋_GB2312" w:hAnsi="仿宋_GB2312" w:eastAsia="仿宋_GB2312" w:cs="仿宋_GB2312"/>
                <w:b w:val="0"/>
                <w:bCs w:val="0"/>
                <w:color w:val="000000" w:themeColor="text1"/>
                <w:spacing w:val="0"/>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sz w:val="24"/>
                <w:szCs w:val="24"/>
                <w14:textFill>
                  <w14:solidFill>
                    <w14:schemeClr w14:val="tx1"/>
                  </w14:solidFill>
                </w14:textFill>
              </w:rPr>
              <w:t>26万吨/年节水型农业新肥料及熔盐储能新材料改扩建项目</w:t>
            </w:r>
            <w:r>
              <w:rPr>
                <w:rFonts w:hint="eastAsia" w:ascii="仿宋_GB2312" w:hAnsi="仿宋_GB2312" w:eastAsia="仿宋_GB2312" w:cs="仿宋_GB2312"/>
                <w:b/>
                <w:bCs/>
                <w:color w:val="000000" w:themeColor="text1"/>
                <w:spacing w:val="0"/>
                <w:sz w:val="24"/>
                <w:szCs w:val="24"/>
                <w:lang w:eastAsia="zh-CN"/>
                <w14:textFill>
                  <w14:solidFill>
                    <w14:schemeClr w14:val="tx1"/>
                  </w14:solidFill>
                </w14:textFill>
              </w:rPr>
              <w:t>：</w:t>
            </w:r>
            <w:r>
              <w:rPr>
                <w:rFonts w:hint="eastAsia" w:ascii="仿宋_GB2312" w:hAnsi="仿宋_GB2312" w:eastAsia="仿宋_GB2312" w:cs="仿宋_GB2312"/>
                <w:color w:val="000000" w:themeColor="text1"/>
                <w:spacing w:val="0"/>
                <w:sz w:val="24"/>
                <w:szCs w:val="24"/>
                <w14:textFill>
                  <w14:solidFill>
                    <w14:schemeClr w14:val="tx1"/>
                  </w14:solidFill>
                </w14:textFill>
              </w:rPr>
              <w:t>项目建设主体为山西省交城红星化工有限公司</w:t>
            </w:r>
            <w:r>
              <w:rPr>
                <w:rFonts w:hint="eastAsia" w:ascii="仿宋_GB2312" w:hAnsi="仿宋_GB2312" w:eastAsia="仿宋_GB2312" w:cs="仿宋_GB2312"/>
                <w:color w:val="000000" w:themeColor="text1"/>
                <w:spacing w:val="0"/>
                <w:sz w:val="24"/>
                <w:szCs w:val="24"/>
                <w:lang w:eastAsia="zh-CN"/>
                <w14:textFill>
                  <w14:solidFill>
                    <w14:schemeClr w14:val="tx1"/>
                  </w14:solidFill>
                </w14:textFill>
              </w:rPr>
              <w:t>，</w:t>
            </w:r>
            <w:r>
              <w:rPr>
                <w:rFonts w:hint="eastAsia" w:ascii="仿宋_GB2312" w:hAnsi="仿宋_GB2312" w:eastAsia="仿宋_GB2312" w:cs="仿宋_GB2312"/>
                <w:color w:val="000000" w:themeColor="text1"/>
                <w:spacing w:val="0"/>
                <w:sz w:val="24"/>
                <w:szCs w:val="24"/>
                <w:lang w:val="en-US" w:eastAsia="zh-CN"/>
                <w14:textFill>
                  <w14:solidFill>
                    <w14:schemeClr w14:val="tx1"/>
                  </w14:solidFill>
                </w14:textFill>
              </w:rPr>
              <w:t>建设内容为新建</w:t>
            </w:r>
            <w:r>
              <w:rPr>
                <w:rFonts w:hint="eastAsia" w:ascii="仿宋_GB2312" w:hAnsi="仿宋_GB2312" w:eastAsia="仿宋_GB2312" w:cs="仿宋_GB2312"/>
                <w:color w:val="000000" w:themeColor="text1"/>
                <w:spacing w:val="0"/>
                <w:sz w:val="24"/>
                <w:szCs w:val="24"/>
                <w14:textFill>
                  <w14:solidFill>
                    <w14:schemeClr w14:val="tx1"/>
                  </w14:solidFill>
                </w14:textFill>
              </w:rPr>
              <w:t>节水型农业新肥料及储能熔盐</w:t>
            </w:r>
            <w:r>
              <w:rPr>
                <w:rFonts w:hint="eastAsia" w:ascii="仿宋_GB2312" w:hAnsi="仿宋_GB2312" w:eastAsia="仿宋_GB2312" w:cs="仿宋_GB2312"/>
                <w:color w:val="000000" w:themeColor="text1"/>
                <w:spacing w:val="0"/>
                <w:sz w:val="24"/>
                <w:szCs w:val="24"/>
                <w:lang w:val="en-US" w:eastAsia="zh-CN"/>
                <w14:textFill>
                  <w14:solidFill>
                    <w14:schemeClr w14:val="tx1"/>
                  </w14:solidFill>
                </w14:textFill>
              </w:rPr>
              <w:t>生产线各2条，总投资1.39亿元，2024年底建成投产。</w:t>
            </w:r>
          </w:p>
          <w:p>
            <w:pPr>
              <w:spacing w:line="400" w:lineRule="exact"/>
              <w:ind w:firstLine="481" w:firstLineChars="200"/>
              <w:jc w:val="both"/>
              <w:rPr>
                <w:rFonts w:hint="eastAsia" w:ascii="仿宋_GB2312" w:hAnsi="仿宋_GB2312" w:eastAsia="仿宋_GB2312" w:cs="仿宋_GB2312"/>
                <w:color w:val="000000" w:themeColor="text1"/>
                <w:spacing w:val="0"/>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sz w:val="24"/>
                <w:szCs w:val="24"/>
                <w14:textFill>
                  <w14:solidFill>
                    <w14:schemeClr w14:val="tx1"/>
                  </w14:solidFill>
                </w14:textFill>
              </w:rPr>
              <w:t>200MW熔盐储能供热和发电多能互补综合能源调峰示范项目</w:t>
            </w:r>
            <w:r>
              <w:rPr>
                <w:rFonts w:hint="eastAsia" w:ascii="仿宋_GB2312" w:hAnsi="仿宋_GB2312" w:eastAsia="仿宋_GB2312" w:cs="仿宋_GB2312"/>
                <w:b/>
                <w:bCs/>
                <w:color w:val="000000" w:themeColor="text1"/>
                <w:spacing w:val="0"/>
                <w:sz w:val="24"/>
                <w:szCs w:val="24"/>
                <w:lang w:eastAsia="zh-CN"/>
                <w14:textFill>
                  <w14:solidFill>
                    <w14:schemeClr w14:val="tx1"/>
                  </w14:solidFill>
                </w14:textFill>
              </w:rPr>
              <w:t>：</w:t>
            </w:r>
            <w:r>
              <w:rPr>
                <w:rFonts w:hint="eastAsia" w:ascii="仿宋_GB2312" w:hAnsi="仿宋_GB2312" w:eastAsia="仿宋_GB2312" w:cs="仿宋_GB2312"/>
                <w:color w:val="000000" w:themeColor="text1"/>
                <w:spacing w:val="0"/>
                <w:sz w:val="24"/>
                <w:szCs w:val="24"/>
                <w14:textFill>
                  <w14:solidFill>
                    <w14:schemeClr w14:val="tx1"/>
                  </w14:solidFill>
                </w14:textFill>
              </w:rPr>
              <w:t>项目建设主体为交城并盛</w:t>
            </w:r>
            <w:r>
              <w:rPr>
                <w:rFonts w:hint="eastAsia" w:ascii="仿宋_GB2312" w:hAnsi="仿宋_GB2312" w:eastAsia="仿宋_GB2312" w:cs="仿宋_GB2312"/>
                <w:color w:val="000000" w:themeColor="text1"/>
                <w:spacing w:val="0"/>
                <w:sz w:val="24"/>
                <w:szCs w:val="24"/>
                <w:lang w:val="en-US" w:eastAsia="zh-CN"/>
                <w14:textFill>
                  <w14:solidFill>
                    <w14:schemeClr w14:val="tx1"/>
                  </w14:solidFill>
                </w14:textFill>
              </w:rPr>
              <w:t>化工有限公司，新建</w:t>
            </w:r>
            <w:r>
              <w:rPr>
                <w:rFonts w:hint="eastAsia" w:ascii="仿宋_GB2312" w:hAnsi="仿宋_GB2312" w:eastAsia="仿宋_GB2312" w:cs="仿宋_GB2312"/>
                <w:color w:val="000000" w:themeColor="text1"/>
                <w:spacing w:val="0"/>
                <w:sz w:val="24"/>
                <w:szCs w:val="24"/>
                <w14:textFill>
                  <w14:solidFill>
                    <w14:schemeClr w14:val="tx1"/>
                  </w14:solidFill>
                </w14:textFill>
              </w:rPr>
              <w:t>200MW熔盐储能供热和发电多能互补综合能源调峰</w:t>
            </w:r>
            <w:r>
              <w:rPr>
                <w:rFonts w:hint="eastAsia" w:ascii="仿宋_GB2312" w:hAnsi="仿宋_GB2312" w:eastAsia="仿宋_GB2312" w:cs="仿宋_GB2312"/>
                <w:color w:val="000000" w:themeColor="text1"/>
                <w:spacing w:val="0"/>
                <w:sz w:val="24"/>
                <w:szCs w:val="24"/>
                <w:lang w:val="en-US" w:eastAsia="zh-CN"/>
                <w14:textFill>
                  <w14:solidFill>
                    <w14:schemeClr w14:val="tx1"/>
                  </w14:solidFill>
                </w14:textFill>
              </w:rPr>
              <w:t>装置，项目总投资2.2亿元，2024年投产。</w:t>
            </w:r>
          </w:p>
          <w:p>
            <w:pPr>
              <w:spacing w:line="400" w:lineRule="exact"/>
              <w:ind w:firstLine="481" w:firstLineChars="200"/>
              <w:jc w:val="both"/>
              <w:rPr>
                <w:rFonts w:hint="eastAsia" w:ascii="仿宋_GB2312" w:hAnsi="仿宋_GB2312" w:eastAsia="仿宋_GB2312" w:cs="仿宋_GB2312"/>
                <w:color w:val="000000" w:themeColor="text1"/>
                <w:spacing w:val="0"/>
                <w:sz w:val="24"/>
                <w:szCs w:val="24"/>
                <w14:textFill>
                  <w14:solidFill>
                    <w14:schemeClr w14:val="tx1"/>
                  </w14:solidFill>
                </w14:textFill>
              </w:rPr>
            </w:pPr>
            <w:r>
              <w:rPr>
                <w:rFonts w:hint="eastAsia" w:ascii="仿宋_GB2312" w:hAnsi="仿宋_GB2312" w:eastAsia="仿宋_GB2312" w:cs="仿宋_GB2312"/>
                <w:b/>
                <w:bCs/>
                <w:color w:val="000000" w:themeColor="text1"/>
                <w:spacing w:val="0"/>
                <w:sz w:val="24"/>
                <w:szCs w:val="24"/>
                <w14:textFill>
                  <w14:solidFill>
                    <w14:schemeClr w14:val="tx1"/>
                  </w14:solidFill>
                </w14:textFill>
              </w:rPr>
              <w:t>新建高端无机盐化工新材料项目</w:t>
            </w:r>
            <w:r>
              <w:rPr>
                <w:rFonts w:hint="eastAsia" w:ascii="仿宋_GB2312" w:hAnsi="仿宋_GB2312" w:eastAsia="仿宋_GB2312" w:cs="仿宋_GB2312"/>
                <w:b/>
                <w:bCs/>
                <w:color w:val="000000" w:themeColor="text1"/>
                <w:spacing w:val="0"/>
                <w:sz w:val="24"/>
                <w:szCs w:val="24"/>
                <w:lang w:eastAsia="zh-CN"/>
                <w14:textFill>
                  <w14:solidFill>
                    <w14:schemeClr w14:val="tx1"/>
                  </w14:solidFill>
                </w14:textFill>
              </w:rPr>
              <w:t>：</w:t>
            </w:r>
            <w:r>
              <w:rPr>
                <w:rFonts w:hint="eastAsia" w:ascii="仿宋_GB2312" w:hAnsi="仿宋_GB2312" w:eastAsia="仿宋_GB2312" w:cs="仿宋_GB2312"/>
                <w:color w:val="000000" w:themeColor="text1"/>
                <w:spacing w:val="0"/>
                <w:sz w:val="24"/>
                <w:szCs w:val="24"/>
                <w14:textFill>
                  <w14:solidFill>
                    <w14:schemeClr w14:val="tx1"/>
                  </w14:solidFill>
                </w14:textFill>
              </w:rPr>
              <w:t>项目建设主体为交城三喜化工有限公司，新建5条高端无机盐化工新材料生产线，计划投资3亿元。</w:t>
            </w:r>
          </w:p>
          <w:p>
            <w:pPr>
              <w:spacing w:line="400" w:lineRule="exact"/>
              <w:ind w:firstLine="481" w:firstLineChars="200"/>
              <w:jc w:val="both"/>
              <w:rPr>
                <w:rFonts w:hint="eastAsia" w:ascii="仿宋_GB2312" w:hAnsi="仿宋_GB2312" w:eastAsia="仿宋_GB2312" w:cs="仿宋_GB2312"/>
                <w:color w:val="000000" w:themeColor="text1"/>
                <w:spacing w:val="0"/>
                <w:sz w:val="24"/>
                <w:szCs w:val="24"/>
                <w14:textFill>
                  <w14:solidFill>
                    <w14:schemeClr w14:val="tx1"/>
                  </w14:solidFill>
                </w14:textFill>
              </w:rPr>
            </w:pPr>
            <w:r>
              <w:rPr>
                <w:rFonts w:hint="eastAsia" w:ascii="仿宋_GB2312" w:hAnsi="仿宋_GB2312" w:eastAsia="仿宋_GB2312" w:cs="仿宋_GB2312"/>
                <w:b/>
                <w:bCs/>
                <w:color w:val="000000" w:themeColor="text1"/>
                <w:spacing w:val="0"/>
                <w:sz w:val="24"/>
                <w:szCs w:val="24"/>
                <w14:textFill>
                  <w14:solidFill>
                    <w14:schemeClr w14:val="tx1"/>
                  </w14:solidFill>
                </w14:textFill>
              </w:rPr>
              <w:t>年产20万吨电子级无机盐材料技改项目</w:t>
            </w:r>
            <w:r>
              <w:rPr>
                <w:rFonts w:hint="eastAsia" w:ascii="仿宋_GB2312" w:hAnsi="仿宋_GB2312" w:eastAsia="仿宋_GB2312" w:cs="仿宋_GB2312"/>
                <w:b/>
                <w:bCs/>
                <w:color w:val="000000" w:themeColor="text1"/>
                <w:spacing w:val="0"/>
                <w:sz w:val="24"/>
                <w:szCs w:val="24"/>
                <w:lang w:eastAsia="zh-CN"/>
                <w14:textFill>
                  <w14:solidFill>
                    <w14:schemeClr w14:val="tx1"/>
                  </w14:solidFill>
                </w14:textFill>
              </w:rPr>
              <w:t>：</w:t>
            </w:r>
            <w:r>
              <w:rPr>
                <w:rFonts w:hint="eastAsia" w:ascii="仿宋_GB2312" w:hAnsi="仿宋_GB2312" w:eastAsia="仿宋_GB2312" w:cs="仿宋_GB2312"/>
                <w:color w:val="000000" w:themeColor="text1"/>
                <w:spacing w:val="0"/>
                <w:sz w:val="24"/>
                <w:szCs w:val="24"/>
                <w14:textFill>
                  <w14:solidFill>
                    <w14:schemeClr w14:val="tx1"/>
                  </w14:solidFill>
                </w14:textFill>
              </w:rPr>
              <w:t>项目建设主体为山西东锦肥业股份有限公司，新建年产10万吨电子级涂覆材料生产线，计划投资1.2亿元。</w:t>
            </w:r>
          </w:p>
          <w:p>
            <w:pPr>
              <w:spacing w:line="400" w:lineRule="exact"/>
              <w:ind w:firstLine="481" w:firstLineChars="200"/>
              <w:jc w:val="both"/>
              <w:rPr>
                <w:color w:val="000000" w:themeColor="text1"/>
                <w:spacing w:val="0"/>
                <w14:textFill>
                  <w14:solidFill>
                    <w14:schemeClr w14:val="tx1"/>
                  </w14:solidFill>
                </w14:textFill>
              </w:rPr>
            </w:pPr>
            <w:r>
              <w:rPr>
                <w:rFonts w:hint="eastAsia" w:ascii="仿宋_GB2312" w:hAnsi="仿宋_GB2312" w:eastAsia="仿宋_GB2312" w:cs="仿宋_GB2312"/>
                <w:b/>
                <w:bCs/>
                <w:color w:val="000000" w:themeColor="text1"/>
                <w:spacing w:val="0"/>
                <w:kern w:val="2"/>
                <w:sz w:val="24"/>
                <w:szCs w:val="24"/>
                <w:lang w:val="en-US" w:eastAsia="zh-CN" w:bidi="ar-SA"/>
                <w14:textFill>
                  <w14:solidFill>
                    <w14:schemeClr w14:val="tx1"/>
                  </w14:solidFill>
                </w14:textFill>
              </w:rPr>
              <w:t>焦炉煤气综合利用制合成氨项目：</w:t>
            </w:r>
            <w:r>
              <w:rPr>
                <w:rFonts w:hint="eastAsia" w:ascii="仿宋_GB2312" w:hAnsi="仿宋_GB2312" w:eastAsia="仿宋_GB2312" w:cs="仿宋_GB2312"/>
                <w:color w:val="000000" w:themeColor="text1"/>
                <w:spacing w:val="0"/>
                <w:sz w:val="24"/>
                <w:szCs w:val="24"/>
                <w14:textFill>
                  <w14:solidFill>
                    <w14:schemeClr w14:val="tx1"/>
                  </w14:solidFill>
                </w14:textFill>
              </w:rPr>
              <w:t>项目建设主体为金桃园煤焦化集团有限公司</w:t>
            </w:r>
            <w:r>
              <w:rPr>
                <w:rFonts w:hint="eastAsia" w:ascii="仿宋_GB2312" w:hAnsi="仿宋_GB2312" w:eastAsia="仿宋_GB2312" w:cs="仿宋_GB2312"/>
                <w:color w:val="000000" w:themeColor="text1"/>
                <w:spacing w:val="0"/>
                <w:sz w:val="24"/>
                <w:szCs w:val="24"/>
                <w:lang w:eastAsia="zh-CN"/>
                <w14:textFill>
                  <w14:solidFill>
                    <w14:schemeClr w14:val="tx1"/>
                  </w14:solidFill>
                </w14:textFill>
              </w:rPr>
              <w:t>，</w:t>
            </w:r>
            <w:r>
              <w:rPr>
                <w:rFonts w:hint="eastAsia" w:ascii="仿宋_GB2312" w:hAnsi="仿宋_GB2312" w:eastAsia="仿宋_GB2312" w:cs="仿宋_GB2312"/>
                <w:color w:val="000000" w:themeColor="text1"/>
                <w:spacing w:val="0"/>
                <w:sz w:val="24"/>
                <w:szCs w:val="24"/>
                <w:lang w:val="en-US" w:eastAsia="zh-CN"/>
                <w14:textFill>
                  <w14:solidFill>
                    <w14:schemeClr w14:val="tx1"/>
                  </w14:solidFill>
                </w14:textFill>
              </w:rPr>
              <w:t>利用130万吨/年焦化生产线剩余煤气，新建10万吨/年合成氨装置，项目总投资4.5亿元，2024年投产。</w:t>
            </w:r>
          </w:p>
        </w:tc>
      </w:tr>
    </w:tbl>
    <w:p>
      <w:pPr>
        <w:bidi w:val="0"/>
        <w:rPr>
          <w:rFonts w:hint="eastAsia"/>
          <w:color w:val="000000" w:themeColor="text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楷体_GB2312" w:hAnsi="楷体_GB2312" w:eastAsia="楷体_GB2312" w:cs="楷体_GB2312"/>
          <w:color w:val="000000" w:themeColor="text1"/>
          <w:spacing w:val="0"/>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pacing w:val="0"/>
          <w:sz w:val="32"/>
          <w:szCs w:val="32"/>
          <w:lang w:val="en-US" w:eastAsia="zh-CN"/>
          <w14:textFill>
            <w14:solidFill>
              <w14:schemeClr w14:val="tx1"/>
            </w14:solidFill>
          </w14:textFill>
        </w:rPr>
        <w:t>第五节  品牌提升创优</w:t>
      </w:r>
    </w:p>
    <w:p>
      <w:pPr>
        <w:bidi w:val="0"/>
        <w:rPr>
          <w:rFonts w:hint="eastAsia"/>
          <w:color w:val="000000" w:themeColor="text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after="0" w:line="578" w:lineRule="exact"/>
        <w:ind w:firstLine="642" w:firstLineChars="200"/>
        <w:jc w:val="both"/>
        <w:textAlignment w:val="auto"/>
        <w:outlineLvl w:val="9"/>
        <w:rPr>
          <w:rFonts w:ascii="仿宋_GB2312" w:hAnsi="仿宋_GB2312" w:eastAsia="仿宋_GB2312" w:cs="仿宋_GB2312"/>
          <w:b w:val="0"/>
          <w:bCs/>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val="0"/>
          <w:color w:val="000000" w:themeColor="text1"/>
          <w:spacing w:val="0"/>
          <w:kern w:val="0"/>
          <w:sz w:val="32"/>
          <w:szCs w:val="32"/>
          <w:lang w:val="en-US" w:eastAsia="zh-CN" w:bidi="ar"/>
          <w14:textFill>
            <w14:solidFill>
              <w14:schemeClr w14:val="tx1"/>
            </w14:solidFill>
          </w14:textFill>
        </w:rPr>
        <w:t>强化品牌产品培育</w:t>
      </w:r>
      <w:r>
        <w:rPr>
          <w:rFonts w:hint="eastAsia" w:ascii="仿宋_GB2312" w:hAnsi="仿宋_GB2312" w:eastAsia="仿宋_GB2312" w:cs="仿宋_GB2312"/>
          <w:b w:val="0"/>
          <w:bCs/>
          <w:color w:val="000000" w:themeColor="text1"/>
          <w:spacing w:val="0"/>
          <w:kern w:val="0"/>
          <w:sz w:val="32"/>
          <w:szCs w:val="32"/>
          <w:lang w:val="en-US" w:eastAsia="zh-CN" w:bidi="ar"/>
          <w14:textFill>
            <w14:solidFill>
              <w14:schemeClr w14:val="tx1"/>
            </w14:solidFill>
          </w14:textFill>
        </w:rPr>
        <w:t>。支持鼓励创建国家和省级地理</w:t>
      </w:r>
      <w:r>
        <w:rPr>
          <w:rFonts w:ascii="仿宋_GB2312" w:hAnsi="仿宋_GB2312" w:eastAsia="仿宋_GB2312" w:cs="仿宋_GB2312"/>
          <w:b w:val="0"/>
          <w:bCs/>
          <w:color w:val="000000" w:themeColor="text1"/>
          <w:spacing w:val="0"/>
          <w:kern w:val="0"/>
          <w:sz w:val="32"/>
          <w:szCs w:val="32"/>
          <w:lang w:val="en-US" w:eastAsia="zh-CN" w:bidi="ar"/>
          <w14:textFill>
            <w14:solidFill>
              <w14:schemeClr w14:val="tx1"/>
            </w14:solidFill>
          </w14:textFill>
        </w:rPr>
        <w:t>保护示范区，引导产业集聚发展。在产业发展集群化基础上，培育名企名品，促进龙头带动链式发展，实现集群发展品牌化。支持企业制定品牌发展战略和通过品牌收购、特许、授权、代理、加盟连锁等方式参与国内外知名品牌的合作与运营，引进国内外知名战略性新兴产业企业品牌入驻</w:t>
      </w:r>
      <w:r>
        <w:rPr>
          <w:rFonts w:hint="eastAsia" w:ascii="仿宋_GB2312" w:hAnsi="仿宋_GB2312" w:eastAsia="仿宋_GB2312" w:cs="仿宋_GB2312"/>
          <w:b w:val="0"/>
          <w:bCs/>
          <w:color w:val="000000" w:themeColor="text1"/>
          <w:spacing w:val="0"/>
          <w:kern w:val="0"/>
          <w:sz w:val="32"/>
          <w:szCs w:val="32"/>
          <w:lang w:val="en-US" w:eastAsia="zh-CN" w:bidi="ar"/>
          <w14:textFill>
            <w14:solidFill>
              <w14:schemeClr w14:val="tx1"/>
            </w14:solidFill>
          </w14:textFill>
        </w:rPr>
        <w:t>交城</w:t>
      </w:r>
      <w:r>
        <w:rPr>
          <w:rFonts w:ascii="仿宋_GB2312" w:hAnsi="仿宋_GB2312" w:eastAsia="仿宋_GB2312" w:cs="仿宋_GB2312"/>
          <w:b w:val="0"/>
          <w:bCs/>
          <w:color w:val="000000" w:themeColor="text1"/>
          <w:spacing w:val="0"/>
          <w:kern w:val="0"/>
          <w:sz w:val="32"/>
          <w:szCs w:val="32"/>
          <w:lang w:val="en-US" w:eastAsia="zh-CN"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jc w:val="both"/>
        <w:textAlignment w:val="auto"/>
        <w:outlineLvl w:val="9"/>
        <w:rPr>
          <w:rFonts w:ascii="Times New Roman" w:hAnsi="Times New Roman" w:eastAsia="黑体"/>
          <w:color w:val="000000" w:themeColor="text1"/>
          <w:spacing w:val="0"/>
          <w:sz w:val="32"/>
          <w:szCs w:val="32"/>
          <w14:textFill>
            <w14:solidFill>
              <w14:schemeClr w14:val="tx1"/>
            </w14:solidFill>
          </w14:textFill>
        </w:rPr>
      </w:pPr>
      <w:r>
        <w:rPr>
          <w:rFonts w:ascii="仿宋_GB2312" w:hAnsi="仿宋_GB2312" w:eastAsia="仿宋_GB2312" w:cs="仿宋_GB2312"/>
          <w:b/>
          <w:bCs/>
          <w:color w:val="000000" w:themeColor="text1"/>
          <w:spacing w:val="0"/>
          <w:kern w:val="0"/>
          <w:sz w:val="32"/>
          <w:szCs w:val="32"/>
          <w:lang w:val="en-US" w:eastAsia="zh-CN" w:bidi="ar"/>
          <w14:textFill>
            <w14:solidFill>
              <w14:schemeClr w14:val="tx1"/>
            </w14:solidFill>
          </w14:textFill>
        </w:rPr>
        <w:t>加强品牌质量管理。</w:t>
      </w:r>
      <w:r>
        <w:rPr>
          <w:rFonts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推广先进质量管理方法，推动相关部门、企业建立健全质量管理体系。开展质量对标提升活动，科学应用比对结果，督促企业落实措施、改进提高，形成倒逼机制，带动产品、产业转型升级，支持企业积极参与</w:t>
      </w:r>
      <w:r>
        <w:rPr>
          <w:rFonts w:ascii="仿宋_GB2312" w:hAnsi="仿宋_GB2312" w:eastAsia="仿宋_GB2312" w:cs="仿宋_GB2312"/>
          <w:color w:val="000000" w:themeColor="text1"/>
          <w:spacing w:val="0"/>
          <w:kern w:val="0"/>
          <w:sz w:val="32"/>
          <w:szCs w:val="32"/>
          <w:highlight w:val="none"/>
          <w:lang w:val="en-US" w:eastAsia="zh-CN" w:bidi="ar"/>
          <w14:textFill>
            <w14:solidFill>
              <w14:schemeClr w14:val="tx1"/>
            </w14:solidFill>
          </w14:textFill>
        </w:rPr>
        <w:t>绿色环保产品</w:t>
      </w:r>
      <w:r>
        <w:rPr>
          <w:rFonts w:hint="eastAsia" w:ascii="仿宋_GB2312" w:hAnsi="仿宋_GB2312" w:eastAsia="仿宋_GB2312" w:cs="仿宋_GB2312"/>
          <w:color w:val="000000" w:themeColor="text1"/>
          <w:spacing w:val="0"/>
          <w:kern w:val="0"/>
          <w:sz w:val="32"/>
          <w:szCs w:val="32"/>
          <w:highlight w:val="none"/>
          <w:lang w:val="en-US" w:eastAsia="zh-CN" w:bidi="ar"/>
          <w14:textFill>
            <w14:solidFill>
              <w14:schemeClr w14:val="tx1"/>
            </w14:solidFill>
          </w14:textFill>
        </w:rPr>
        <w:t>奖</w:t>
      </w:r>
      <w:r>
        <w:rPr>
          <w:rFonts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、全国质量奖、省长质量奖等</w:t>
      </w:r>
      <w:r>
        <w:rPr>
          <w:rFonts w:hint="eastAsia"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奖项</w:t>
      </w:r>
      <w:r>
        <w:rPr>
          <w:rFonts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评选，</w:t>
      </w:r>
      <w:r>
        <w:rPr>
          <w:rFonts w:hint="eastAsia" w:ascii="仿宋_GB2312" w:hAnsi="仿宋_GB2312" w:eastAsia="仿宋_GB2312" w:cs="仿宋_GB2312"/>
          <w:color w:val="000000" w:themeColor="text1"/>
          <w:spacing w:val="0"/>
          <w:kern w:val="0"/>
          <w:sz w:val="32"/>
          <w:szCs w:val="32"/>
          <w:highlight w:val="none"/>
          <w:lang w:val="en-US" w:eastAsia="zh-CN" w:bidi="ar"/>
          <w14:textFill>
            <w14:solidFill>
              <w14:schemeClr w14:val="tx1"/>
            </w14:solidFill>
          </w14:textFill>
        </w:rPr>
        <w:t>提高产品质量品牌知名度</w:t>
      </w:r>
      <w:r>
        <w:rPr>
          <w:rFonts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w:t>
      </w:r>
    </w:p>
    <w:p>
      <w:pPr>
        <w:bidi w:val="0"/>
        <w:rPr>
          <w:rFonts w:hint="eastAsia"/>
          <w:color w:val="000000" w:themeColor="text1"/>
          <w:lang w:val="en-US" w:eastAsia="zh-CN"/>
          <w14:textFill>
            <w14:solidFill>
              <w14:schemeClr w14:val="tx1"/>
            </w14:solidFill>
          </w14:textFill>
        </w:rPr>
      </w:pPr>
      <w:bookmarkStart w:id="6" w:name="_Toc11632"/>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楷体_GB2312" w:hAnsi="楷体_GB2312" w:eastAsia="楷体_GB2312" w:cs="楷体_GB2312"/>
          <w:color w:val="000000" w:themeColor="text1"/>
          <w:spacing w:val="0"/>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pacing w:val="0"/>
          <w:sz w:val="32"/>
          <w:szCs w:val="32"/>
          <w:lang w:val="en-US" w:eastAsia="zh-CN"/>
          <w14:textFill>
            <w14:solidFill>
              <w14:schemeClr w14:val="tx1"/>
            </w14:solidFill>
          </w14:textFill>
        </w:rPr>
        <w:t>第六节  市场边界拓展</w:t>
      </w:r>
      <w:bookmarkEnd w:id="6"/>
    </w:p>
    <w:p>
      <w:pPr>
        <w:bidi w:val="0"/>
        <w:rPr>
          <w:color w:val="000000" w:themeColor="text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jc w:val="both"/>
        <w:textAlignment w:val="auto"/>
        <w:outlineLvl w:val="9"/>
        <w:rPr>
          <w:rFonts w:hint="eastAsia"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pPr>
      <w:r>
        <w:rPr>
          <w:rFonts w:ascii="仿宋_GB2312" w:hAnsi="仿宋_GB2312" w:eastAsia="仿宋_GB2312" w:cs="仿宋_GB2312"/>
          <w:b/>
          <w:bCs/>
          <w:color w:val="000000" w:themeColor="text1"/>
          <w:spacing w:val="0"/>
          <w:kern w:val="0"/>
          <w:sz w:val="32"/>
          <w:szCs w:val="32"/>
          <w:lang w:val="en-US" w:eastAsia="zh-CN" w:bidi="ar"/>
          <w14:textFill>
            <w14:solidFill>
              <w14:schemeClr w14:val="tx1"/>
            </w14:solidFill>
          </w14:textFill>
        </w:rPr>
        <w:t>拓展市场合作空间。</w:t>
      </w:r>
      <w:r>
        <w:rPr>
          <w:rFonts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引导构建新型商业模式，努力开拓内销、外销两个市场。拓展</w:t>
      </w:r>
      <w:r>
        <w:rPr>
          <w:rFonts w:hint="eastAsia"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硝基复合肥产品“卖全国”“卖全球”的数字化营销渠道。发展社交电子商务、直播电子商务等新业态新模式。引导和支持电子商务平台、电子商务服务体系发展，孵化一批电商品牌，通过平台融合、社群融合、场景融合，完善渠道建设。高质量建设肥料乡</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村</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e</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镇</w:t>
      </w:r>
      <w:r>
        <w:rPr>
          <w:rFonts w:hint="eastAsia"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放大电子商务聚集效应。持续拓展线下营销渠道。支持硝基肥料产业协会组织名牌产品生产企业到海内外参加各类展览会。鼓励企业运用连锁、专卖、自营出口、电子商务等形式在世界范围内推广品牌，拓宽国内营销渠道，拓展国际市场。支持鼓励企业主动获取进出口经营权，积极开展直接出口业务，逐步降低对间接出口的依赖程度。</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jc w:val="both"/>
        <w:textAlignment w:val="auto"/>
        <w:outlineLvl w:val="9"/>
        <w:rPr>
          <w:rFonts w:ascii="Times New Roman" w:hAnsi="Times New Roman" w:eastAsia="黑体"/>
          <w:color w:val="000000" w:themeColor="text1"/>
          <w:spacing w:val="0"/>
          <w:sz w:val="32"/>
          <w:szCs w:val="32"/>
          <w14:textFill>
            <w14:solidFill>
              <w14:schemeClr w14:val="tx1"/>
            </w14:solidFill>
          </w14:textFill>
        </w:rPr>
      </w:pPr>
      <w:r>
        <w:rPr>
          <w:rFonts w:ascii="仿宋_GB2312" w:hAnsi="仿宋_GB2312" w:eastAsia="仿宋_GB2312" w:cs="仿宋_GB2312"/>
          <w:b/>
          <w:bCs/>
          <w:color w:val="000000" w:themeColor="text1"/>
          <w:spacing w:val="0"/>
          <w:kern w:val="0"/>
          <w:sz w:val="32"/>
          <w:szCs w:val="32"/>
          <w:lang w:val="en-US" w:eastAsia="zh-CN" w:bidi="ar"/>
          <w14:textFill>
            <w14:solidFill>
              <w14:schemeClr w14:val="tx1"/>
            </w14:solidFill>
          </w14:textFill>
        </w:rPr>
        <w:t>促进商品产销对接。</w:t>
      </w:r>
      <w:r>
        <w:rPr>
          <w:rFonts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积极组织优强企业参加进口博览会、中国</w:t>
      </w:r>
      <w:r>
        <w:rPr>
          <w:rFonts w:hint="eastAsia"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w:t>
      </w:r>
      <w:r>
        <w:rPr>
          <w:rFonts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东盟博览会、西博会等境内外各大展销平台活动，加大对外宣传推广力度，扩大“</w:t>
      </w:r>
      <w:r>
        <w:rPr>
          <w:rFonts w:hint="eastAsia"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交城</w:t>
      </w:r>
      <w:r>
        <w:rPr>
          <w:rFonts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产、</w:t>
      </w:r>
      <w:r>
        <w:rPr>
          <w:rFonts w:hint="eastAsia"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交城</w:t>
      </w:r>
      <w:r>
        <w:rPr>
          <w:rFonts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造、</w:t>
      </w:r>
      <w:r>
        <w:rPr>
          <w:rFonts w:hint="eastAsia"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交城</w:t>
      </w:r>
      <w:r>
        <w:rPr>
          <w:rFonts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服务”的知名度、美誉度，拓展市场空间，提高市场份额。全面拓展外向型企业供应链，推动与战略性新兴产业区域性分工协作，加快完善市场供应链，培育对外循环的多元化市场。扶持外向型龙头企业和关键产品的生产和出口，全方位畅通投资和贸易大通道。</w:t>
      </w:r>
    </w:p>
    <w:p>
      <w:pPr>
        <w:bidi w:val="0"/>
        <w:rPr>
          <w:rFonts w:hint="eastAsia"/>
          <w:color w:val="000000" w:themeColor="text1"/>
          <w:lang w:val="en-US" w:eastAsia="zh-CN"/>
          <w14:textFill>
            <w14:solidFill>
              <w14:schemeClr w14:val="tx1"/>
            </w14:solidFill>
          </w14:textFill>
        </w:rPr>
      </w:pPr>
      <w:bookmarkStart w:id="7" w:name="_Toc8499"/>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楷体_GB2312" w:hAnsi="楷体_GB2312" w:eastAsia="楷体_GB2312" w:cs="楷体_GB2312"/>
          <w:color w:val="000000" w:themeColor="text1"/>
          <w:spacing w:val="0"/>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pacing w:val="0"/>
          <w:sz w:val="32"/>
          <w:szCs w:val="32"/>
          <w:lang w:val="en-US" w:eastAsia="zh-CN"/>
          <w14:textFill>
            <w14:solidFill>
              <w14:schemeClr w14:val="tx1"/>
            </w14:solidFill>
          </w14:textFill>
        </w:rPr>
        <w:t>第七节  精准招商引资</w:t>
      </w:r>
      <w:bookmarkEnd w:id="7"/>
    </w:p>
    <w:p>
      <w:pPr>
        <w:bidi w:val="0"/>
        <w:rPr>
          <w:rFonts w:hint="eastAsia"/>
          <w:color w:val="000000" w:themeColor="text1"/>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jc w:val="both"/>
        <w:textAlignment w:val="auto"/>
        <w:outlineLvl w:val="9"/>
        <w:rPr>
          <w:rFonts w:hint="eastAsia" w:ascii="仿宋_GB2312" w:hAnsi="仿宋_GB2312" w:eastAsia="仿宋_GB2312" w:cs="仿宋_GB2312"/>
          <w:b w:val="0"/>
          <w:bCs/>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b/>
          <w:bCs w:val="0"/>
          <w:color w:val="000000" w:themeColor="text1"/>
          <w:spacing w:val="0"/>
          <w:sz w:val="32"/>
          <w:szCs w:val="32"/>
          <w:lang w:val="en-US" w:eastAsia="zh-CN"/>
          <w14:textFill>
            <w14:solidFill>
              <w14:schemeClr w14:val="tx1"/>
            </w14:solidFill>
          </w14:textFill>
        </w:rPr>
        <w:t>健全招商工作机制。</w:t>
      </w:r>
      <w:r>
        <w:rPr>
          <w:rFonts w:hint="eastAsia" w:ascii="仿宋_GB2312" w:hAnsi="仿宋_GB2312" w:eastAsia="仿宋_GB2312" w:cs="仿宋_GB2312"/>
          <w:b w:val="0"/>
          <w:bCs/>
          <w:color w:val="000000" w:themeColor="text1"/>
          <w:spacing w:val="0"/>
          <w:sz w:val="32"/>
          <w:szCs w:val="32"/>
          <w:lang w:val="en-US" w:eastAsia="zh-CN"/>
          <w14:textFill>
            <w14:solidFill>
              <w14:schemeClr w14:val="tx1"/>
            </w14:solidFill>
          </w14:textFill>
        </w:rPr>
        <w:t>推动硝基复合肥全产业链招商，积极在硝基复合肥产业发展领先地区加强驻点招商，积极对接硝基复合肥领域初创企业、晋商企业、“</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500强”</w:t>
      </w:r>
      <w:r>
        <w:rPr>
          <w:rFonts w:hint="eastAsia" w:ascii="仿宋_GB2312" w:hAnsi="仿宋_GB2312" w:eastAsia="仿宋_GB2312" w:cs="仿宋_GB2312"/>
          <w:b w:val="0"/>
          <w:bCs/>
          <w:color w:val="000000" w:themeColor="text1"/>
          <w:spacing w:val="0"/>
          <w:sz w:val="32"/>
          <w:szCs w:val="32"/>
          <w:lang w:val="en-US" w:eastAsia="zh-CN"/>
          <w14:textFill>
            <w14:solidFill>
              <w14:schemeClr w14:val="tx1"/>
            </w14:solidFill>
          </w14:textFill>
        </w:rPr>
        <w:t>企业等，加强以商引商、以才引商等招商新模式。加快与知名中介机构、投资机构建立合作关系，探索“基金+股权+项目”招引模式，推进一批硝基复合肥重大产业、科技人才、区域合作项目签约。</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jc w:val="both"/>
        <w:textAlignment w:val="auto"/>
        <w:outlineLvl w:val="9"/>
        <w:rPr>
          <w:rFonts w:hint="eastAsia" w:ascii="仿宋_GB2312" w:hAnsi="仿宋_GB2312" w:eastAsia="仿宋_GB2312" w:cs="仿宋_GB2312"/>
          <w:b w:val="0"/>
          <w:bCs/>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b/>
          <w:bCs w:val="0"/>
          <w:color w:val="000000" w:themeColor="text1"/>
          <w:spacing w:val="0"/>
          <w:sz w:val="32"/>
          <w:szCs w:val="32"/>
          <w:lang w:val="en-US" w:eastAsia="zh-CN"/>
          <w14:textFill>
            <w14:solidFill>
              <w14:schemeClr w14:val="tx1"/>
            </w14:solidFill>
          </w14:textFill>
        </w:rPr>
        <w:t>项目生命周期管理。</w:t>
      </w:r>
      <w:r>
        <w:rPr>
          <w:rFonts w:hint="eastAsia" w:ascii="仿宋_GB2312" w:hAnsi="仿宋_GB2312" w:eastAsia="仿宋_GB2312" w:cs="仿宋_GB2312"/>
          <w:b w:val="0"/>
          <w:bCs/>
          <w:color w:val="000000" w:themeColor="text1"/>
          <w:spacing w:val="0"/>
          <w:sz w:val="32"/>
          <w:szCs w:val="32"/>
          <w:lang w:val="en-US" w:eastAsia="zh-CN"/>
          <w14:textFill>
            <w14:solidFill>
              <w14:schemeClr w14:val="tx1"/>
            </w14:solidFill>
          </w14:textFill>
        </w:rPr>
        <w:t>建立产业项目落地协调工作机制，针对重大产业项目实行“一事一议”，建立健全重大项目跟踪服务机制，建立绿色通道制度、直通车制度、企业问题直报制度、跟踪监察制度等，全力提升项目落地率、投资完成率、投产达产率。全面推进工业企业投资项目承诺报备制改革，加快政策兑现，深化细化服务，构建全生命周期服务机制。</w:t>
      </w:r>
    </w:p>
    <w:p>
      <w:pPr>
        <w:bidi w:val="0"/>
        <w:rPr>
          <w:rFonts w:hint="eastAsia"/>
          <w:color w:val="000000" w:themeColor="text1"/>
          <w:lang w:val="en-US" w:eastAsia="zh-CN"/>
          <w14:textFill>
            <w14:solidFill>
              <w14:schemeClr w14:val="tx1"/>
            </w14:solidFill>
          </w14:textFill>
        </w:rPr>
      </w:pPr>
      <w:bookmarkStart w:id="8" w:name="_Toc4682"/>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楷体_GB2312" w:hAnsi="楷体_GB2312" w:eastAsia="楷体_GB2312" w:cs="楷体_GB2312"/>
          <w:color w:val="000000" w:themeColor="text1"/>
          <w:spacing w:val="0"/>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pacing w:val="0"/>
          <w:sz w:val="32"/>
          <w:szCs w:val="32"/>
          <w:lang w:val="en-US" w:eastAsia="zh-CN"/>
          <w14:textFill>
            <w14:solidFill>
              <w14:schemeClr w14:val="tx1"/>
            </w14:solidFill>
          </w14:textFill>
        </w:rPr>
        <w:t>第八节  配套要素保障</w:t>
      </w:r>
      <w:bookmarkEnd w:id="8"/>
    </w:p>
    <w:p>
      <w:pPr>
        <w:bidi w:val="0"/>
        <w:rPr>
          <w:rFonts w:hint="eastAsia"/>
          <w:color w:val="000000" w:themeColor="text1"/>
          <w:lang w:val="en-US" w:eastAsia="zh-CN"/>
          <w14:textFill>
            <w14:solidFill>
              <w14:schemeClr w14:val="tx1"/>
            </w14:solidFill>
          </w14:textFill>
        </w:rPr>
      </w:pPr>
    </w:p>
    <w:bookmarkEnd w:id="2"/>
    <w:p>
      <w:pPr>
        <w:pStyle w:val="6"/>
        <w:keepNext w:val="0"/>
        <w:keepLines w:val="0"/>
        <w:pageBreakBefore w:val="0"/>
        <w:widowControl w:val="0"/>
        <w:kinsoku/>
        <w:wordWrap/>
        <w:overflowPunct/>
        <w:topLinePunct w:val="0"/>
        <w:autoSpaceDE/>
        <w:autoSpaceDN/>
        <w:bidi w:val="0"/>
        <w:adjustRightInd/>
        <w:snapToGrid/>
        <w:spacing w:line="578" w:lineRule="exact"/>
        <w:ind w:left="0" w:leftChars="0" w:firstLine="642" w:firstLineChars="200"/>
        <w:jc w:val="both"/>
        <w:textAlignment w:val="auto"/>
        <w:outlineLvl w:val="9"/>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cs="仿宋_GB2312"/>
          <w:b/>
          <w:bCs/>
          <w:color w:val="000000" w:themeColor="text1"/>
          <w:spacing w:val="0"/>
          <w:sz w:val="32"/>
          <w:szCs w:val="32"/>
          <w:lang w:val="en-US" w:eastAsia="zh-CN"/>
          <w14:textFill>
            <w14:solidFill>
              <w14:schemeClr w14:val="tx1"/>
            </w14:solidFill>
          </w14:textFill>
        </w:rPr>
        <w:t>建立健全工作机制。</w:t>
      </w:r>
      <w:r>
        <w:rPr>
          <w:rFonts w:hint="eastAsia" w:ascii="仿宋_GB2312" w:hAnsi="仿宋_GB2312" w:cs="仿宋_GB2312"/>
          <w:b w:val="0"/>
          <w:bCs w:val="0"/>
          <w:color w:val="000000" w:themeColor="text1"/>
          <w:spacing w:val="0"/>
          <w:sz w:val="32"/>
          <w:szCs w:val="32"/>
          <w:lang w:val="en-US" w:eastAsia="zh-CN"/>
          <w14:textFill>
            <w14:solidFill>
              <w14:schemeClr w14:val="tx1"/>
            </w14:solidFill>
          </w14:textFill>
        </w:rPr>
        <w:t>县委、县政府高度重视硝基复合肥专业镇培育和发展工作，成立以</w:t>
      </w:r>
      <w:r>
        <w:rPr>
          <w:rFonts w:hint="eastAsia" w:ascii="仿宋_GB2312" w:hAnsi="仿宋_GB2312" w:eastAsia="仿宋_GB2312" w:cs="仿宋_GB2312"/>
          <w:color w:val="000000" w:themeColor="text1"/>
          <w:spacing w:val="0"/>
          <w:sz w:val="32"/>
          <w:szCs w:val="32"/>
          <w14:textFill>
            <w14:solidFill>
              <w14:schemeClr w14:val="tx1"/>
            </w14:solidFill>
          </w14:textFill>
        </w:rPr>
        <w:t>县</w:t>
      </w:r>
      <w:r>
        <w:rPr>
          <w:rFonts w:hint="eastAsia" w:ascii="仿宋_GB2312" w:hAnsi="仿宋_GB2312" w:cs="仿宋_GB2312"/>
          <w:color w:val="000000" w:themeColor="text1"/>
          <w:spacing w:val="0"/>
          <w:sz w:val="32"/>
          <w:szCs w:val="32"/>
          <w:lang w:eastAsia="zh-CN"/>
          <w14:textFill>
            <w14:solidFill>
              <w14:schemeClr w14:val="tx1"/>
            </w14:solidFill>
          </w14:textFill>
        </w:rPr>
        <w:t>政府主要领导</w:t>
      </w:r>
      <w:r>
        <w:rPr>
          <w:rFonts w:hint="eastAsia" w:ascii="仿宋_GB2312" w:hAnsi="仿宋_GB2312" w:cs="仿宋_GB2312"/>
          <w:b w:val="0"/>
          <w:bCs w:val="0"/>
          <w:color w:val="000000" w:themeColor="text1"/>
          <w:spacing w:val="0"/>
          <w:sz w:val="32"/>
          <w:szCs w:val="32"/>
          <w:lang w:val="en-US" w:eastAsia="zh-CN"/>
          <w14:textFill>
            <w14:solidFill>
              <w14:schemeClr w14:val="tx1"/>
            </w14:solidFill>
          </w14:textFill>
        </w:rPr>
        <w:t>为组长，</w:t>
      </w:r>
      <w:r>
        <w:rPr>
          <w:rFonts w:hint="eastAsia" w:ascii="仿宋_GB2312" w:hAnsi="仿宋_GB2312" w:eastAsia="仿宋_GB2312" w:cs="仿宋_GB2312"/>
          <w:color w:val="000000" w:themeColor="text1"/>
          <w:spacing w:val="0"/>
          <w:sz w:val="32"/>
          <w:szCs w:val="32"/>
          <w14:textFill>
            <w14:solidFill>
              <w14:schemeClr w14:val="tx1"/>
            </w14:solidFill>
          </w14:textFill>
        </w:rPr>
        <w:t>政府</w:t>
      </w:r>
      <w:r>
        <w:rPr>
          <w:rFonts w:hint="eastAsia" w:ascii="仿宋_GB2312" w:hAnsi="仿宋_GB2312" w:cs="仿宋_GB2312"/>
          <w:color w:val="000000" w:themeColor="text1"/>
          <w:spacing w:val="0"/>
          <w:sz w:val="32"/>
          <w:szCs w:val="32"/>
          <w:lang w:eastAsia="zh-CN"/>
          <w14:textFill>
            <w14:solidFill>
              <w14:schemeClr w14:val="tx1"/>
            </w14:solidFill>
          </w14:textFill>
        </w:rPr>
        <w:t>分管</w:t>
      </w:r>
      <w:r>
        <w:rPr>
          <w:rFonts w:hint="eastAsia" w:ascii="仿宋_GB2312" w:hAnsi="仿宋_GB2312" w:eastAsia="仿宋_GB2312" w:cs="仿宋_GB2312"/>
          <w:color w:val="000000" w:themeColor="text1"/>
          <w:spacing w:val="0"/>
          <w:sz w:val="32"/>
          <w:szCs w:val="32"/>
          <w14:textFill>
            <w14:solidFill>
              <w14:schemeClr w14:val="tx1"/>
            </w14:solidFill>
          </w14:textFill>
        </w:rPr>
        <w:t>副县长</w:t>
      </w:r>
      <w:r>
        <w:rPr>
          <w:rFonts w:hint="eastAsia" w:ascii="仿宋_GB2312" w:hAnsi="仿宋_GB2312" w:cs="仿宋_GB2312"/>
          <w:color w:val="000000" w:themeColor="text1"/>
          <w:spacing w:val="0"/>
          <w:sz w:val="32"/>
          <w:szCs w:val="32"/>
          <w:lang w:val="en-US" w:eastAsia="zh-CN"/>
          <w14:textFill>
            <w14:solidFill>
              <w14:schemeClr w14:val="tx1"/>
            </w14:solidFill>
          </w14:textFill>
        </w:rPr>
        <w:t>为副组长的“</w:t>
      </w:r>
      <w:r>
        <w:rPr>
          <w:rFonts w:hint="eastAsia" w:ascii="仿宋_GB2312" w:hAnsi="仿宋_GB2312" w:cs="仿宋_GB2312"/>
          <w:b w:val="0"/>
          <w:bCs w:val="0"/>
          <w:color w:val="000000" w:themeColor="text1"/>
          <w:spacing w:val="0"/>
          <w:sz w:val="32"/>
          <w:szCs w:val="32"/>
          <w:lang w:val="en-US" w:eastAsia="zh-CN"/>
          <w14:textFill>
            <w14:solidFill>
              <w14:schemeClr w14:val="tx1"/>
            </w14:solidFill>
          </w14:textFill>
        </w:rPr>
        <w:t>交城县硝基复合肥专业镇高质量发展领导小组</w:t>
      </w:r>
      <w:r>
        <w:rPr>
          <w:rFonts w:hint="eastAsia" w:ascii="仿宋_GB2312" w:hAnsi="仿宋_GB2312" w:cs="仿宋_GB2312"/>
          <w:color w:val="000000" w:themeColor="text1"/>
          <w:spacing w:val="0"/>
          <w:sz w:val="32"/>
          <w:szCs w:val="32"/>
          <w:lang w:val="en-US" w:eastAsia="zh-CN"/>
          <w14:textFill>
            <w14:solidFill>
              <w14:schemeClr w14:val="tx1"/>
            </w14:solidFill>
          </w14:textFill>
        </w:rPr>
        <w:t>”，统筹协调专业镇发展规划、目标要求、政策制定、工作部署、协调解决重大问题。</w:t>
      </w:r>
      <w:r>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t>领导小组下设办公室，设在</w:t>
      </w:r>
      <w:r>
        <w:rPr>
          <w:rFonts w:hint="eastAsia" w:ascii="仿宋_GB2312" w:hAnsi="仿宋_GB2312" w:cs="仿宋_GB2312"/>
          <w:b w:val="0"/>
          <w:bCs w:val="0"/>
          <w:color w:val="000000" w:themeColor="text1"/>
          <w:spacing w:val="0"/>
          <w:kern w:val="2"/>
          <w:sz w:val="32"/>
          <w:szCs w:val="32"/>
          <w:lang w:val="en-US" w:eastAsia="zh-CN" w:bidi="ar-SA"/>
          <w14:textFill>
            <w14:solidFill>
              <w14:schemeClr w14:val="tx1"/>
            </w14:solidFill>
          </w14:textFill>
        </w:rPr>
        <w:t>县</w:t>
      </w:r>
      <w:r>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t>工科局。同时，</w:t>
      </w:r>
      <w:r>
        <w:rPr>
          <w:rFonts w:hint="eastAsia" w:ascii="仿宋_GB2312" w:hAnsi="仿宋_GB2312" w:cs="仿宋_GB2312"/>
          <w:b w:val="0"/>
          <w:bCs w:val="0"/>
          <w:color w:val="000000" w:themeColor="text1"/>
          <w:spacing w:val="0"/>
          <w:kern w:val="2"/>
          <w:sz w:val="32"/>
          <w:szCs w:val="32"/>
          <w:lang w:val="en-US" w:eastAsia="zh-CN" w:bidi="ar-SA"/>
          <w14:textFill>
            <w14:solidFill>
              <w14:schemeClr w14:val="tx1"/>
            </w14:solidFill>
          </w14:textFill>
        </w:rPr>
        <w:t>依托</w:t>
      </w:r>
      <w:r>
        <w:rPr>
          <w:rFonts w:hint="default" w:ascii="Times New Roman" w:hAnsi="Times New Roman" w:eastAsia="仿宋_GB2312" w:cs="Times New Roman"/>
          <w:color w:val="000000" w:themeColor="text1"/>
          <w:spacing w:val="0"/>
          <w:kern w:val="0"/>
          <w:sz w:val="32"/>
          <w:szCs w:val="32"/>
          <w:lang w:val="en-US" w:eastAsia="zh-CN" w:bidi="ar"/>
          <w14:textFill>
            <w14:solidFill>
              <w14:schemeClr w14:val="tx1"/>
            </w14:solidFill>
          </w14:textFill>
        </w:rPr>
        <w:t>中国氮肥工业协会硝基钙镁肥</w:t>
      </w:r>
      <w:r>
        <w:rPr>
          <w:rFonts w:hint="eastAsia"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分会</w:t>
      </w:r>
      <w:r>
        <w:rPr>
          <w:rFonts w:hint="eastAsia" w:ascii="仿宋_GB2312" w:hAnsi="仿宋_GB2312" w:cs="仿宋_GB2312"/>
          <w:color w:val="000000" w:themeColor="text1"/>
          <w:spacing w:val="0"/>
          <w:kern w:val="0"/>
          <w:sz w:val="32"/>
          <w:szCs w:val="32"/>
          <w:lang w:val="en-US" w:eastAsia="zh-CN" w:bidi="ar"/>
          <w14:textFill>
            <w14:solidFill>
              <w14:schemeClr w14:val="tx1"/>
            </w14:solidFill>
          </w14:textFill>
        </w:rPr>
        <w:t>和新成立的</w:t>
      </w:r>
      <w:r>
        <w:rPr>
          <w:rFonts w:hint="default"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交城县新型肥料产业协会</w:t>
      </w:r>
      <w:r>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t>，强化协作联动、融合发展，</w:t>
      </w:r>
      <w:r>
        <w:rPr>
          <w:rFonts w:hint="eastAsia" w:ascii="仿宋_GB2312" w:hAnsi="仿宋_GB2312" w:cs="仿宋_GB2312"/>
          <w:b w:val="0"/>
          <w:bCs w:val="0"/>
          <w:color w:val="000000" w:themeColor="text1"/>
          <w:spacing w:val="0"/>
          <w:kern w:val="2"/>
          <w:sz w:val="32"/>
          <w:szCs w:val="32"/>
          <w:lang w:val="en-US" w:eastAsia="zh-CN" w:bidi="ar-SA"/>
          <w14:textFill>
            <w14:solidFill>
              <w14:schemeClr w14:val="tx1"/>
            </w14:solidFill>
          </w14:textFill>
        </w:rPr>
        <w:t>扎实</w:t>
      </w:r>
      <w:r>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t>推进各项工作取得实效。</w:t>
      </w:r>
    </w:p>
    <w:p>
      <w:pPr>
        <w:pStyle w:val="6"/>
        <w:keepNext w:val="0"/>
        <w:keepLines w:val="0"/>
        <w:pageBreakBefore w:val="0"/>
        <w:widowControl w:val="0"/>
        <w:kinsoku/>
        <w:wordWrap/>
        <w:overflowPunct/>
        <w:topLinePunct w:val="0"/>
        <w:autoSpaceDE/>
        <w:autoSpaceDN/>
        <w:bidi w:val="0"/>
        <w:adjustRightInd/>
        <w:snapToGrid/>
        <w:spacing w:line="578" w:lineRule="exact"/>
        <w:ind w:left="0" w:leftChars="0" w:firstLine="642" w:firstLineChars="200"/>
        <w:jc w:val="both"/>
        <w:textAlignment w:val="auto"/>
        <w:outlineLvl w:val="9"/>
        <w:rPr>
          <w:rFonts w:hint="default" w:ascii="仿宋_GB2312" w:hAnsi="仿宋_GB2312" w:eastAsia="仿宋_GB2312" w:cs="仿宋_GB2312"/>
          <w:b w:val="0"/>
          <w:bCs/>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cs="仿宋_GB2312"/>
          <w:b/>
          <w:bCs/>
          <w:color w:val="000000" w:themeColor="text1"/>
          <w:spacing w:val="0"/>
          <w:kern w:val="2"/>
          <w:sz w:val="32"/>
          <w:szCs w:val="32"/>
          <w:lang w:val="en-US" w:eastAsia="zh-CN" w:bidi="ar-SA"/>
          <w14:textFill>
            <w14:solidFill>
              <w14:schemeClr w14:val="tx1"/>
            </w14:solidFill>
          </w14:textFill>
        </w:rPr>
        <w:t>政府专项资金扶持。</w:t>
      </w:r>
      <w:r>
        <w:rPr>
          <w:rFonts w:hint="eastAsia" w:ascii="仿宋_GB2312" w:hAnsi="仿宋_GB2312" w:eastAsia="仿宋_GB2312" w:cs="仿宋_GB2312"/>
          <w:b w:val="0"/>
          <w:bCs/>
          <w:color w:val="000000" w:themeColor="text1"/>
          <w:spacing w:val="0"/>
          <w:kern w:val="2"/>
          <w:sz w:val="32"/>
          <w:szCs w:val="32"/>
          <w:lang w:val="en-US" w:eastAsia="zh-CN" w:bidi="ar-SA"/>
          <w14:textFill>
            <w14:solidFill>
              <w14:schemeClr w14:val="tx1"/>
            </w14:solidFill>
          </w14:textFill>
        </w:rPr>
        <w:t>出台《交城县支持专业镇高质量发</w:t>
      </w:r>
      <w:r>
        <w:rPr>
          <w:rFonts w:hint="default" w:ascii="仿宋_GB2312" w:hAnsi="仿宋_GB2312" w:eastAsia="仿宋_GB2312" w:cs="仿宋_GB2312"/>
          <w:b w:val="0"/>
          <w:bCs/>
          <w:color w:val="000000" w:themeColor="text1"/>
          <w:spacing w:val="0"/>
          <w:kern w:val="2"/>
          <w:sz w:val="32"/>
          <w:szCs w:val="32"/>
          <w:lang w:val="en-US" w:eastAsia="zh-CN" w:bidi="ar-SA"/>
          <w14:textFill>
            <w14:solidFill>
              <w14:schemeClr w14:val="tx1"/>
            </w14:solidFill>
          </w14:textFill>
        </w:rPr>
        <w:t>展若干政策》，明确对主导或参与国际标准、国家标准、行业标准制修订的单位，县级</w:t>
      </w:r>
      <w:r>
        <w:rPr>
          <w:rFonts w:hint="eastAsia" w:ascii="仿宋_GB2312" w:hAnsi="仿宋_GB2312" w:cs="仿宋_GB2312"/>
          <w:b w:val="0"/>
          <w:bCs/>
          <w:color w:val="000000" w:themeColor="text1"/>
          <w:spacing w:val="0"/>
          <w:kern w:val="2"/>
          <w:sz w:val="32"/>
          <w:szCs w:val="32"/>
          <w:lang w:val="en-US" w:eastAsia="zh-CN" w:bidi="ar-SA"/>
          <w14:textFill>
            <w14:solidFill>
              <w14:schemeClr w14:val="tx1"/>
            </w14:solidFill>
          </w14:textFill>
        </w:rPr>
        <w:t>分别</w:t>
      </w:r>
      <w:r>
        <w:rPr>
          <w:rFonts w:hint="default" w:ascii="仿宋_GB2312" w:hAnsi="仿宋_GB2312" w:eastAsia="仿宋_GB2312" w:cs="仿宋_GB2312"/>
          <w:b w:val="0"/>
          <w:bCs/>
          <w:color w:val="000000" w:themeColor="text1"/>
          <w:spacing w:val="0"/>
          <w:kern w:val="2"/>
          <w:sz w:val="32"/>
          <w:szCs w:val="32"/>
          <w:lang w:val="en-US" w:eastAsia="zh-CN" w:bidi="ar-SA"/>
          <w14:textFill>
            <w14:solidFill>
              <w14:schemeClr w14:val="tx1"/>
            </w14:solidFill>
          </w14:textFill>
        </w:rPr>
        <w:t>配套</w:t>
      </w:r>
      <w:r>
        <w:rPr>
          <w:rFonts w:hint="eastAsia" w:ascii="仿宋_GB2312" w:hAnsi="仿宋_GB2312" w:eastAsia="仿宋_GB2312" w:cs="仿宋_GB2312"/>
          <w:b w:val="0"/>
          <w:bCs/>
          <w:color w:val="000000" w:themeColor="text1"/>
          <w:spacing w:val="0"/>
          <w:kern w:val="2"/>
          <w:sz w:val="32"/>
          <w:szCs w:val="32"/>
          <w:lang w:val="en-US" w:eastAsia="zh-CN" w:bidi="ar-SA"/>
          <w14:textFill>
            <w14:solidFill>
              <w14:schemeClr w14:val="tx1"/>
            </w14:solidFill>
          </w14:textFill>
        </w:rPr>
        <w:t>奖励</w:t>
      </w:r>
      <w:r>
        <w:rPr>
          <w:rFonts w:hint="default" w:ascii="仿宋_GB2312" w:hAnsi="仿宋_GB2312" w:eastAsia="仿宋_GB2312" w:cs="仿宋_GB2312"/>
          <w:b w:val="0"/>
          <w:bCs/>
          <w:color w:val="000000" w:themeColor="text1"/>
          <w:spacing w:val="0"/>
          <w:kern w:val="2"/>
          <w:sz w:val="32"/>
          <w:szCs w:val="32"/>
          <w:lang w:val="en-US" w:eastAsia="zh-CN" w:bidi="ar-SA"/>
          <w14:textFill>
            <w14:solidFill>
              <w14:schemeClr w14:val="tx1"/>
            </w14:solidFill>
          </w14:textFill>
        </w:rPr>
        <w:t>10</w:t>
      </w:r>
      <w:r>
        <w:rPr>
          <w:rFonts w:hint="eastAsia" w:ascii="仿宋_GB2312" w:hAnsi="仿宋_GB2312" w:eastAsia="仿宋_GB2312" w:cs="仿宋_GB2312"/>
          <w:b w:val="0"/>
          <w:bCs/>
          <w:color w:val="000000" w:themeColor="text1"/>
          <w:spacing w:val="0"/>
          <w:kern w:val="2"/>
          <w:sz w:val="32"/>
          <w:szCs w:val="32"/>
          <w:lang w:val="en-US" w:eastAsia="zh-CN" w:bidi="ar-SA"/>
          <w14:textFill>
            <w14:solidFill>
              <w14:schemeClr w14:val="tx1"/>
            </w14:solidFill>
          </w14:textFill>
        </w:rPr>
        <w:t>万元</w:t>
      </w:r>
      <w:r>
        <w:rPr>
          <w:rFonts w:hint="default" w:ascii="仿宋_GB2312" w:hAnsi="仿宋_GB2312" w:eastAsia="仿宋_GB2312" w:cs="仿宋_GB2312"/>
          <w:b w:val="0"/>
          <w:bCs/>
          <w:color w:val="000000" w:themeColor="text1"/>
          <w:spacing w:val="0"/>
          <w:kern w:val="2"/>
          <w:sz w:val="32"/>
          <w:szCs w:val="32"/>
          <w:lang w:val="en-US" w:eastAsia="zh-CN" w:bidi="ar-SA"/>
          <w14:textFill>
            <w14:solidFill>
              <w14:schemeClr w14:val="tx1"/>
            </w14:solidFill>
          </w14:textFill>
        </w:rPr>
        <w:t>、5</w:t>
      </w:r>
      <w:r>
        <w:rPr>
          <w:rFonts w:hint="eastAsia" w:ascii="仿宋_GB2312" w:hAnsi="仿宋_GB2312" w:eastAsia="仿宋_GB2312" w:cs="仿宋_GB2312"/>
          <w:b w:val="0"/>
          <w:bCs/>
          <w:color w:val="000000" w:themeColor="text1"/>
          <w:spacing w:val="0"/>
          <w:kern w:val="2"/>
          <w:sz w:val="32"/>
          <w:szCs w:val="32"/>
          <w:lang w:val="en-US" w:eastAsia="zh-CN" w:bidi="ar-SA"/>
          <w14:textFill>
            <w14:solidFill>
              <w14:schemeClr w14:val="tx1"/>
            </w14:solidFill>
          </w14:textFill>
        </w:rPr>
        <w:t>万元</w:t>
      </w:r>
      <w:r>
        <w:rPr>
          <w:rFonts w:hint="default" w:ascii="仿宋_GB2312" w:hAnsi="仿宋_GB2312" w:eastAsia="仿宋_GB2312" w:cs="仿宋_GB2312"/>
          <w:b w:val="0"/>
          <w:bCs/>
          <w:color w:val="000000" w:themeColor="text1"/>
          <w:spacing w:val="0"/>
          <w:kern w:val="2"/>
          <w:sz w:val="32"/>
          <w:szCs w:val="32"/>
          <w:lang w:val="en-US" w:eastAsia="zh-CN" w:bidi="ar-SA"/>
          <w14:textFill>
            <w14:solidFill>
              <w14:schemeClr w14:val="tx1"/>
            </w14:solidFill>
          </w14:textFill>
        </w:rPr>
        <w:t>、3</w:t>
      </w:r>
      <w:r>
        <w:rPr>
          <w:rFonts w:hint="eastAsia" w:ascii="仿宋_GB2312" w:hAnsi="仿宋_GB2312" w:eastAsia="仿宋_GB2312" w:cs="仿宋_GB2312"/>
          <w:b w:val="0"/>
          <w:bCs/>
          <w:color w:val="000000" w:themeColor="text1"/>
          <w:spacing w:val="0"/>
          <w:kern w:val="2"/>
          <w:sz w:val="32"/>
          <w:szCs w:val="32"/>
          <w:lang w:val="en-US" w:eastAsia="zh-CN" w:bidi="ar-SA"/>
          <w14:textFill>
            <w14:solidFill>
              <w14:schemeClr w14:val="tx1"/>
            </w14:solidFill>
          </w14:textFill>
        </w:rPr>
        <w:t>万元</w:t>
      </w:r>
      <w:r>
        <w:rPr>
          <w:rFonts w:hint="default" w:ascii="仿宋_GB2312" w:hAnsi="仿宋_GB2312" w:eastAsia="仿宋_GB2312" w:cs="仿宋_GB2312"/>
          <w:b w:val="0"/>
          <w:bCs/>
          <w:color w:val="000000" w:themeColor="text1"/>
          <w:spacing w:val="0"/>
          <w:kern w:val="2"/>
          <w:sz w:val="32"/>
          <w:szCs w:val="32"/>
          <w:lang w:val="en-US" w:eastAsia="zh-CN" w:bidi="ar-SA"/>
          <w14:textFill>
            <w14:solidFill>
              <w14:schemeClr w14:val="tx1"/>
            </w14:solidFill>
          </w14:textFill>
        </w:rPr>
        <w:t>。全面实施在岗职工职业技能提升培训，按照每人300元的标准给予企业培训补贴。</w:t>
      </w:r>
      <w:r>
        <w:rPr>
          <w:rFonts w:hint="eastAsia" w:ascii="仿宋_GB2312" w:hAnsi="仿宋_GB2312" w:eastAsia="仿宋_GB2312" w:cs="仿宋_GB2312"/>
          <w:b w:val="0"/>
          <w:bCs/>
          <w:color w:val="000000" w:themeColor="text1"/>
          <w:spacing w:val="0"/>
          <w:kern w:val="2"/>
          <w:sz w:val="32"/>
          <w:szCs w:val="32"/>
          <w:lang w:val="en-US" w:eastAsia="zh-CN" w:bidi="ar-SA"/>
          <w14:textFill>
            <w14:solidFill>
              <w14:schemeClr w14:val="tx1"/>
            </w14:solidFill>
          </w14:textFill>
        </w:rPr>
        <w:t>全力推进向省级重点产业镇迈进，对省级专业镇主导产业骨干企业营收规模首次达到1亿元、3亿元、10亿元的，县级分别给予5万元、10万元、20万元奖励。对省级专业镇主导产品市场占有率首次进入全国前5名、前10名的企业，县级分别给予10万元、5万元奖励。</w:t>
      </w:r>
    </w:p>
    <w:p>
      <w:bookmarkStart w:id="9" w:name="_GoBack"/>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A9B626A"/>
    <w:rsid w:val="BA9B6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3" w:lineRule="auto"/>
      <w:outlineLvl w:val="2"/>
    </w:pPr>
    <w:rPr>
      <w:b/>
      <w:sz w:val="32"/>
      <w:szCs w:val="2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正文（公文）"/>
    <w:basedOn w:val="1"/>
    <w:qFormat/>
    <w:uiPriority w:val="0"/>
    <w:pPr>
      <w:keepNext w:val="0"/>
      <w:keepLines w:val="0"/>
      <w:widowControl w:val="0"/>
      <w:suppressLineNumbers w:val="0"/>
      <w:spacing w:before="0" w:beforeAutospacing="0" w:after="0" w:afterAutospacing="0" w:line="560" w:lineRule="exact"/>
      <w:ind w:left="0" w:right="0" w:firstLine="640" w:firstLineChars="200"/>
      <w:jc w:val="both"/>
    </w:pPr>
    <w:rPr>
      <w:rFonts w:hint="default" w:ascii="Times New Roman" w:hAnsi="Times New Roman" w:eastAsia="仿宋_GB2312" w:cs="Times New Roman"/>
      <w:kern w:val="2"/>
      <w:sz w:val="32"/>
      <w:szCs w:val="32"/>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2024-11-13T10:33:00Z</dcterms:created>
  <dc:creator>greatwall</dc:creator>
  <cp:lastModifiedBy>greatwall</cp:lastModifiedBy>
  <dcterms:modified xsi:type="dcterms:W3CDTF">2024-11-13T10:33:30Z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2052-11.1.0.11711</vt:lpwstr>
  </property>
</Properties>
</file>