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outlineLvl w:val="9"/>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第二章  总体要求</w:t>
      </w:r>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bookmarkStart w:id="0" w:name="_Toc20778"/>
      <w:bookmarkStart w:id="1" w:name="_Toc6103"/>
      <w:bookmarkStart w:id="2" w:name="_Toc7835"/>
      <w:bookmarkStart w:id="3" w:name="_Toc403"/>
      <w:bookmarkStart w:id="4" w:name="_Toc615"/>
      <w:bookmarkStart w:id="5" w:name="_Toc28044"/>
      <w:bookmarkStart w:id="6" w:name="_Toc5869"/>
      <w:bookmarkStart w:id="7" w:name="_Toc23311"/>
      <w:bookmarkStart w:id="8" w:name="_Toc4665"/>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第一节  指导思想</w:t>
      </w:r>
      <w:bookmarkEnd w:id="0"/>
      <w:bookmarkEnd w:id="1"/>
      <w:bookmarkEnd w:id="2"/>
      <w:bookmarkEnd w:id="3"/>
      <w:bookmarkEnd w:id="4"/>
      <w:bookmarkEnd w:id="5"/>
      <w:bookmarkEnd w:id="6"/>
      <w:bookmarkEnd w:id="7"/>
      <w:bookmarkEnd w:id="8"/>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以习近平新时代中国特色社会主义思想为指导，深入贯彻党的二十大精神和习近平总书记视察山西重要讲话重要指示精神，深刻领会省委、省政府促进专业镇发展的战略意图，根据市委、市政府决策部署，依托交城独特的区位优势和独有的资源禀赋，充分发挥龙头企业带动作用，以建设全球百亿级绿色肥料生产航母为根本目标，以产业培育和技术突破为主攻方向，围绕“</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1122458</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发展思路，持续擦亮“交城·中国钙都（硝基肥）”金字招牌，着力打造产业集聚度高、专业化分工协作程度高、产业辐射带动能力强、品牌优势突出、就业富民拉动效应明显的硝基复合肥专业镇，在闯新路、开新局、抢新机、出新绩上展现更大作为，实现“一镇带一方、一方促全盘”的链条式集群发展。</w:t>
      </w:r>
    </w:p>
    <w:p>
      <w:pPr>
        <w:bidi w:val="0"/>
        <w:rPr>
          <w:rFonts w:hint="eastAsia"/>
          <w:color w:val="000000" w:themeColor="text1"/>
          <w:lang w:val="en-US" w:eastAsia="zh-CN"/>
          <w14:textFill>
            <w14:solidFill>
              <w14:schemeClr w14:val="tx1"/>
            </w14:solidFill>
          </w14:textFill>
        </w:rPr>
      </w:pPr>
      <w:bookmarkStart w:id="9" w:name="_Toc11545"/>
      <w:bookmarkStart w:id="10" w:name="_Toc31572"/>
      <w:bookmarkStart w:id="11" w:name="_Toc5740"/>
      <w:bookmarkStart w:id="12" w:name="_Toc19339"/>
      <w:bookmarkStart w:id="13" w:name="_Toc2731"/>
      <w:bookmarkStart w:id="14" w:name="_Toc22083"/>
      <w:bookmarkStart w:id="15" w:name="_Toc993"/>
      <w:bookmarkStart w:id="16" w:name="_Toc26199"/>
      <w:bookmarkStart w:id="17" w:name="_Toc25058"/>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第二节  基本原则</w:t>
      </w:r>
      <w:bookmarkEnd w:id="9"/>
      <w:bookmarkEnd w:id="10"/>
      <w:bookmarkEnd w:id="11"/>
      <w:bookmarkEnd w:id="12"/>
      <w:bookmarkEnd w:id="13"/>
      <w:bookmarkEnd w:id="14"/>
      <w:bookmarkEnd w:id="15"/>
      <w:bookmarkEnd w:id="16"/>
      <w:bookmarkEnd w:id="17"/>
    </w:p>
    <w:p>
      <w:pPr>
        <w:bidi w:val="0"/>
        <w:rPr>
          <w:color w:val="000000" w:themeColor="text1"/>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坚持创新驱动。</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深入实施创新驱动发展战略，遵循社会主义市场经济规律和科技创新规律，持续创新专业镇发展思路和制度供给，特别是要将外延发展转变为内涵发展。强化企业创新主体地位，推动技术、管理、生产和经营模式创新，加大研发设计投入，强化知识产权保护，实现重点领域关键技术突破，增强行业软实力，提高科技进步对硝基复合肥行业贡献率。</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坚持绿色发展。</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坚持生态优先、绿色发展，守好发展和生态两条底线，深入推进“双碳”行动，把生态文明理念贯穿专业镇企业发展全过程，推动能源资源利用从低效率、高排放向高效、绿色、安全转型，加快从规模速度型粗放增长转向质量效益型集约增长。鼓励硝基复合肥企业应用新技术、新工艺、新设备、新材料，培育建设一批省级以上绿色制造与发展示范基地、绿色工厂，推动产业绿色转型升级。</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坚持跨界融合。</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深化大数据、云计算、量子通信、人工智能等新一代信息技术与硝基复合肥产业的创新融合，将大数据手段运用到专业镇企业全产业链和全生命周期中，促进专业镇企业向数字化、网络化和智能化转型。</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坚持项目为王。</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加强对硝基复合肥行业高端项目、高附加值项目、资本科技密集型项目以及重大创新资源类项目的引进，全面增强行业发展新动力。秉承集聚集约发展理念，精准高效配置产业发展资源，打造分工合作、协同共享、特色鲜明在全国具有一定影响力的硝基复合肥产业集群。</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坚持开放合作。</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积极融入全球创新网络和产业生态，深化对外开放合作，汇聚和利用全球创新资源，更大范围、更宽领域、更深层次推进产业链、创新链和价值链延伸配置，全方位全要素高效率融入双循环。</w:t>
      </w:r>
      <w:bookmarkStart w:id="18" w:name="_Toc24064"/>
      <w:bookmarkStart w:id="19" w:name="_Toc14212"/>
      <w:bookmarkStart w:id="20" w:name="_Toc650"/>
      <w:bookmarkStart w:id="21" w:name="_Toc27010"/>
      <w:bookmarkStart w:id="22" w:name="_Toc22288"/>
      <w:bookmarkStart w:id="23" w:name="_Toc5555"/>
      <w:bookmarkStart w:id="24" w:name="_Toc16223"/>
      <w:bookmarkStart w:id="25" w:name="_Toc12142"/>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bookmarkStart w:id="26" w:name="_Toc10333"/>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第三节  发展理念</w:t>
      </w:r>
      <w:bookmarkEnd w:id="26"/>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紧抓</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专业</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镇建设发展重大契机，确立切合</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实际的发展理念，明确科学的战略思路，制定积极的发展目标，切实加快</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交城硝基复合肥专业镇</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高质量发展</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——焦点在于科技创新</w:t>
      </w:r>
      <w:r>
        <w:rPr>
          <w:rFonts w:hint="eastAsia"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驱动</w:t>
      </w: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坚定实施</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创新驱动发展战略</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，积极谋求开放创新发展前景，</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持续巩固交城创新型县建设工作，</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依托</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专业镇龙头企业</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引领复合肥行业资源优化配置和产业提档升级。鼓励开发高效、环保新型肥料，优先发展掺混肥、增效肥料、尿素硝酸铵溶液、缓（控）释肥、水溶肥、液体肥、腐植酸、氨基酸等新型复合肥，在发展新型肥料的同时，支持相关企业充分利用合成氨、氢气、氮气、二氧化碳、甲醇等基础化工原料，开发食品级、医药级和工业级硝酸盐产品，促进产品结构优化。</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——亮点在于</w:t>
      </w:r>
      <w:r>
        <w:rPr>
          <w:rFonts w:hint="eastAsia"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厚植</w:t>
      </w: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历史文化。</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深刻认识</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交城硝基复合肥产业</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历史文化在经济社会发展中的核心地位，将巩固和厚植历史文化内涵及价值作为</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交城硝基复合肥专业镇</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建设的重要基础。引导</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专业镇</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在历史人文传承基础上，重塑人文科技价值</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推动在产业发展中滋养人文品质和科技实力，把</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专业镇</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建设成为融</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合</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人文科技价值于特色产业的创新平台。</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——重点在于构筑产业价值链。</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区别于以相同或相近产业在空间集聚的产业</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集聚</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形态，</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专业镇</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是以创新为纽带、以产业价值链延伸为主体的全新空间组织形式。</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交城硝基复合肥专业镇</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着眼于构建和延伸产业价值链，致力于产业链、创新链、服务链、要素链、供应链有机融合，培育融文化创意、研发创新、成果转化、体验应用于一体的全方位立体化特色产业系统，不断拓展新产品、新产业、新业态，创造新价值。</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en-US" w:eastAsia="zh-CN" w:bidi="ar"/>
          <w14:textFill>
            <w14:solidFill>
              <w14:schemeClr w14:val="tx1"/>
            </w14:solidFill>
          </w14:textFill>
        </w:rPr>
        <w:t>——要点在于激发社会活力。</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坚持市场主体地位，按照市场需求，科学引导产业发展方向，顺应市场规律</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建立健全要素优化配置机制，推动社会投资扩大与产业转型、消费转型、</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县域</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转型相适应，真正发挥</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交城硝基复合肥专业镇</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对于推动区域经济社会转型提升的引擎作用。</w:t>
      </w:r>
    </w:p>
    <w:p>
      <w:pPr>
        <w:bidi w:val="0"/>
        <w:rPr>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bookmarkStart w:id="27" w:name="_Toc9795"/>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第四节  发展思路</w:t>
      </w:r>
      <w:bookmarkEnd w:id="27"/>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按照《山西省支持专业镇高质量发展的若干政策》精神，依托资源禀赋、突出特色优势、优化产业布局、汇聚要素资源，以建设全国新型硝基复合肥产业基地为目标，以促进产业结构优化升级和加快转变发展方式为宗旨，围绕“</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1122458</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”发展思路，持续擦亮“交城·中国钙都（硝基肥）”金字招牌，实现“一镇带一方、一方促全盘”的链条式集群发展。</w:t>
      </w:r>
    </w:p>
    <w:p>
      <w:pPr>
        <w:pStyle w:val="6"/>
        <w:keepNext w:val="0"/>
        <w:keepLines w:val="0"/>
        <w:pageBreakBefore w:val="0"/>
        <w:widowControl w:val="0"/>
        <w:kinsoku/>
        <w:wordWrap/>
        <w:overflowPunct/>
        <w:topLinePunct w:val="0"/>
        <w:autoSpaceDE/>
        <w:autoSpaceDN/>
        <w:bidi w:val="0"/>
        <w:adjustRightInd/>
        <w:snapToGrid/>
        <w:spacing w:line="578" w:lineRule="exact"/>
        <w:ind w:left="0" w:leftChars="0" w:firstLine="642" w:firstLineChars="200"/>
        <w:jc w:val="both"/>
        <w:textAlignment w:val="auto"/>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”要聚焦“一个目标”。</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到</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2025年，硝基复合肥产业总产值突破60亿元、产能达到500万吨，远景目标是打造全球规模最大、最具影响力的绿色肥料生产航母，并通过延链补链强链协同带动硝基复合肥产业上下游联动发展，锻造高端新型硝基复合肥产业集群。</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color w:val="000000" w:themeColor="text1"/>
          <w:spacing w:val="0"/>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”要建设“一个示范区”。</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以交城经济开发区化工园区建设为牵引，</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按照“专业镇+产业园区”发展模式，重点规划发展</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煤—焦—气—肥</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”产业链延伸园区，</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建成以合成氨为主要原料，以硝酸钾、硝酸铵钙为代表的无机盐化工生产基地，开发食品级、医药级和工业级硝酸盐产品</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形成</w:t>
      </w:r>
      <w:r>
        <w:rPr>
          <w:rFonts w:hint="eastAsia" w:eastAsia="仿宋_GB2312" w:cs="Times New Roman"/>
          <w:b w:val="0"/>
          <w:bCs/>
          <w:color w:val="000000" w:themeColor="text1"/>
          <w:spacing w:val="0"/>
          <w:kern w:val="2"/>
          <w:sz w:val="32"/>
          <w:szCs w:val="32"/>
          <w:lang w:val="en-US" w:eastAsia="zh-CN" w:bidi="ar-SA"/>
          <w14:textFill>
            <w14:solidFill>
              <w14:schemeClr w14:val="tx1"/>
            </w14:solidFill>
          </w14:textFill>
        </w:rPr>
        <w:t>硝基复合肥全产业链发展</w:t>
      </w:r>
      <w:r>
        <w:rPr>
          <w:rFonts w:hint="eastAsia"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示范区</w:t>
      </w:r>
      <w:r>
        <w:rPr>
          <w:rFonts w:hint="eastAsia" w:eastAsia="仿宋_GB2312" w:cs="Times New Roman"/>
          <w:b w:val="0"/>
          <w:bCs/>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2</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”要坚持“双轮驱动”。</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以创新驱动和规模驱动为抓手，</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2025</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年专业镇企业力争全部入规，各类创新主体、省级创</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新平台实现</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大幅</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增</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长</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，远景目标到2030年新增10个省级企业技术中心，10个省级技术创新中心，20个市级企业技术中心和重点实验室，争建1</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2个国家级企业技术中心，北交所挂牌上市企业实现零突破。</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2</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”要推进“两个转型”。</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聚焦绿色工厂和智能工厂建设，</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以</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绿色化</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和</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智慧化</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驱动为</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助力</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扎实推进专业镇企业绿色低碳转型和数字化转型。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“4”要打造“四个平台”</w:t>
      </w:r>
      <w:r>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t>。</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依托交城县综合检验检测中心、硝基肥料山西省技术创新中心、交城县科技服务中心、肥料产业乡村</w:t>
      </w:r>
      <w:r>
        <w:rPr>
          <w:rFonts w:hint="default" w:eastAsia="仿宋_GB2312" w:cs="Times New Roman"/>
          <w:b w:val="0"/>
          <w:bCs w:val="0"/>
          <w:color w:val="000000" w:themeColor="text1"/>
          <w:spacing w:val="0"/>
          <w:kern w:val="2"/>
          <w:sz w:val="32"/>
          <w:szCs w:val="32"/>
          <w:lang w:val="en-US" w:eastAsia="zh-CN" w:bidi="ar-SA"/>
          <w14:textFill>
            <w14:solidFill>
              <w14:schemeClr w14:val="tx1"/>
            </w14:solidFill>
          </w14:textFill>
        </w:rPr>
        <w:t>e</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镇，加快建设质量检验检测平台、科技创新服务平台、产品交易会展平台、商贸流通服务平台。</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“5”要建设“五个中心”。</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深入实施国家外贸（新型肥料）转型升级基地战略，建设</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综合服务、研发孵化、会展交易、检验检测、工匠文化5个中心，致力把</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交城县国家外贸（新型肥料）转型升级基地</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打造成为</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硝基复合肥</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国际创新中心。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8</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”要实施“八大工程”。</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通过实施“经营主体发展、主导产业壮大、创新能力提升、重大项目攻坚、品牌提升创优、市场边界拓展、精准招商引资、配套要素保障”八大工程，促进交城硝基复合肥专业镇高质量发展。</w:t>
      </w:r>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bookmarkStart w:id="28" w:name="_Toc9075"/>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第五节  发展目标</w:t>
      </w:r>
      <w:bookmarkEnd w:id="18"/>
      <w:bookmarkEnd w:id="19"/>
      <w:bookmarkEnd w:id="20"/>
      <w:bookmarkEnd w:id="21"/>
      <w:bookmarkEnd w:id="22"/>
      <w:bookmarkEnd w:id="23"/>
      <w:bookmarkEnd w:id="24"/>
      <w:bookmarkEnd w:id="25"/>
      <w:bookmarkEnd w:id="28"/>
    </w:p>
    <w:p>
      <w:pPr>
        <w:bidi w:val="0"/>
        <w:rPr>
          <w:rFonts w:hint="eastAsia"/>
          <w:color w:val="000000" w:themeColor="text1"/>
          <w:lang w:val="en-US" w:eastAsia="zh-CN"/>
          <w14:textFill>
            <w14:solidFill>
              <w14:schemeClr w14:val="tx1"/>
            </w14:solidFill>
          </w14:textFill>
        </w:rPr>
      </w:pPr>
      <w:bookmarkStart w:id="29" w:name="_Toc23298"/>
      <w:bookmarkStart w:id="30" w:name="_Toc7549"/>
      <w:bookmarkStart w:id="31" w:name="_Toc31242"/>
      <w:bookmarkStart w:id="32" w:name="_Toc22886"/>
      <w:bookmarkStart w:id="33" w:name="_Toc24972"/>
      <w:bookmarkStart w:id="34" w:name="_Toc8688"/>
      <w:bookmarkStart w:id="35" w:name="_Toc1619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立足我县硝基复合肥产业基础和历史传统优势，以打造集群效应明显、市场影响力突出、产业辐射范围广泛、品牌优势突出、就业富民拉动效应凸显的省内知名百亿级硝基复合肥专业镇为目标，聚力</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市场主体倍增、主导产业壮大、创新能力提升、重大项目攻坚、品牌提升创优、市场边界拓展、精准招商引资、配套要素保障</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，打造交城经济高质量发展的重要增长极，在闯新路、开新局、抢新机、出新绩上展现更大作为，全面开创县域经济高质量发展新局面。</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肥业历史深刻凸显。</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聚焦打造特色硝基复合肥专业镇，对化肥厚重的历史文化进行深入挖掘和广泛宣传，以文化赋能产业发展，持续擦亮“世界钙肥看中国、中国钙肥看交城”和“交城·中国钙都（硝基肥）”两张靓丽名片。</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规模</w:t>
      </w:r>
      <w:r>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t>效益持续增长</w:t>
      </w:r>
      <w:r>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2024年硝基复合肥产能达到400万吨，</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产业规模达到60亿元</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2025年硝基复合肥产能达到500万吨，产值突破65亿元，2030年硝基复合肥行业产能达到</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800</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万吨，产业总产值达到</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80</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亿元。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b/>
          <w:bCs/>
          <w:color w:val="000000" w:themeColor="text1"/>
          <w:spacing w:val="0"/>
          <w:kern w:val="0"/>
          <w:sz w:val="32"/>
          <w:szCs w:val="32"/>
          <w:lang w:val="en-US" w:eastAsia="zh-CN"/>
          <w14:textFill>
            <w14:solidFill>
              <w14:schemeClr w14:val="tx1"/>
            </w14:solidFill>
          </w14:textFill>
        </w:rPr>
        <w:t>企业结构不断优化。</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持续加强规模企业培育，</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到2025年，培育产值10亿元以上企业1家，5亿元以上企业2家，新增规上企业1</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2家；2030年，专业镇企业全部上规入统，产值均在亿元以上，其中</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30</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亿元以上企业1家，超过20亿元的企业达到3家。</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创新生态</w:t>
      </w:r>
      <w:r>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t>稳定</w:t>
      </w:r>
      <w:r>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成型。</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到2025年，企业拥有专利数300</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个，</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新增国家级高新技术企业2家</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，培育“专精特新”“小巨人”企业</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5家。2030年，企业拥有专利数达500</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个</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、国家、行业和团体标准数达50个，国家级高</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新技术企业实现全覆盖，力争国家级专精特新“小巨人”</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家，省级“专精特新”中小企业达到20家，省级专精特新“小巨人”企业达到10家，新建1—2个国家级企业技术中心，10个省级企业技术中心，10个省级技术创新中心，20个市级企业技术中心，10个市级重点实验室。</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b/>
          <w:bCs/>
          <w:color w:val="000000" w:themeColor="text1"/>
          <w:spacing w:val="0"/>
          <w:kern w:val="2"/>
          <w:sz w:val="32"/>
          <w:szCs w:val="32"/>
          <w:lang w:val="en-US" w:eastAsia="zh-CN" w:bidi="ar-SA"/>
          <w14:textFill>
            <w14:solidFill>
              <w14:schemeClr w14:val="tx1"/>
            </w14:solidFill>
          </w14:textFill>
        </w:rPr>
        <w:t>质量品牌显著提升。</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引导专业镇企业做精做优产品品质，着力提升企业品牌、产品品牌，争创</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国字号</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品牌。以山西特色专业镇投资贸易博览会等为契机，扩大专业镇主导产业和特色优势产品知名度。到2030年，专业镇企业通过质量、环境、职业健康安全管理体系认证占比达到100%。</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人才引培不断拓展。</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通过引培结合，构建适应硝基复合肥行业高质量发展的人才体系。到2030年，引进各类高层次管理和具有高级技术职称人才200人，其中行业领军人才20人。大专学历及以上技术人员占全部从业人员的比例达到60%。</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低碳转型成效显著</w:t>
      </w:r>
      <w:r>
        <w:rPr>
          <w:rFonts w:ascii="仿宋" w:hAnsi="仿宋" w:eastAsia="仿宋" w:cs="仿宋"/>
          <w:b/>
          <w:bCs/>
          <w:color w:val="000000" w:themeColor="text1"/>
          <w:spacing w:val="0"/>
          <w:kern w:val="0"/>
          <w:sz w:val="32"/>
          <w:szCs w:val="32"/>
          <w:lang w:val="en-US" w:eastAsia="zh-CN" w:bidi="ar"/>
          <w14:textFill>
            <w14:solidFill>
              <w14:schemeClr w14:val="tx1"/>
            </w14:solidFill>
          </w14:textFill>
        </w:rPr>
        <w:t>。</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力争到</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2030</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年，主要污染物排放量同比</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3</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年下降</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%，单位生产能耗同比</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2023</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年下降20%。</w:t>
      </w:r>
      <w:bookmarkStart w:id="36" w:name="_Toc23656"/>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val="0"/>
        <w:topLinePunct w:val="0"/>
        <w:autoSpaceDE/>
        <w:autoSpaceDN/>
        <w:bidi w:val="0"/>
        <w:adjustRightInd/>
        <w:snapToGrid/>
        <w:spacing w:line="480" w:lineRule="exact"/>
        <w:jc w:val="center"/>
        <w:textAlignment w:val="auto"/>
        <w:outlineLvl w:val="9"/>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表1 发展目标一览表</w:t>
      </w:r>
    </w:p>
    <w:p>
      <w:pPr>
        <w:bidi w:val="0"/>
        <w:rPr>
          <w:rFonts w:hint="eastAsia"/>
          <w:color w:val="000000" w:themeColor="text1"/>
          <w:lang w:val="en-US" w:eastAsia="zh-CN"/>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263"/>
        <w:gridCol w:w="2270"/>
        <w:gridCol w:w="799"/>
        <w:gridCol w:w="119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5" w:type="dxa"/>
            <w:gridSpan w:val="3"/>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指标</w:t>
            </w:r>
          </w:p>
        </w:tc>
        <w:tc>
          <w:tcPr>
            <w:tcW w:w="832"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单位</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2023年</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产值</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结构</w:t>
            </w:r>
          </w:p>
        </w:tc>
        <w:tc>
          <w:tcPr>
            <w:tcW w:w="2460"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产值</w:t>
            </w:r>
          </w:p>
        </w:tc>
        <w:tc>
          <w:tcPr>
            <w:tcW w:w="2468"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总产值</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亿元</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54.2</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2460"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p>
        </w:tc>
        <w:tc>
          <w:tcPr>
            <w:tcW w:w="246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增加值</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亿元</w:t>
            </w:r>
          </w:p>
        </w:tc>
        <w:tc>
          <w:tcPr>
            <w:tcW w:w="122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11"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结构（工业总产值占比）</w:t>
            </w:r>
          </w:p>
        </w:tc>
        <w:tc>
          <w:tcPr>
            <w:tcW w:w="83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20.88</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企业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t>结构</w:t>
            </w:r>
          </w:p>
        </w:tc>
        <w:tc>
          <w:tcPr>
            <w:tcW w:w="4928" w:type="dxa"/>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年产值30亿元以上的企业数</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年产值超20亿元的企业数</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年产值在1亿元以上的企业数</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13</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上市企业</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创新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能力</w:t>
            </w:r>
          </w:p>
        </w:tc>
        <w:tc>
          <w:tcPr>
            <w:tcW w:w="4928" w:type="dxa"/>
            <w:gridSpan w:val="2"/>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国家级高新技术企业</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14</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省级及以上专精特新企业</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16</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省级及以上企业技术中心</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个</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省级技术创新中心</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个</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专利数量（累计）</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件</w:t>
            </w:r>
          </w:p>
        </w:tc>
        <w:tc>
          <w:tcPr>
            <w:tcW w:w="122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248</w:t>
            </w:r>
          </w:p>
        </w:tc>
        <w:tc>
          <w:tcPr>
            <w:tcW w:w="1211"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国家、行业、团体标准数量（累计）</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个</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10</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品牌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培育</w:t>
            </w: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中国驰名商标（行政认定）</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个</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区域知名品牌</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个</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6</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规上企业通过质量、环境、职业健康安全管理体系认证占比</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42.86</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人才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引培</w:t>
            </w: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产业队伍规模</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人</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4297</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引进各类高层次管理、技术人才（累计）</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人</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3</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引进行业领军人才（累计）</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人</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3</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大专学历及以上技术人员占全部从业人员的比例</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36.42</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绿色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b/>
                <w:bCs/>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8"/>
                <w:szCs w:val="28"/>
                <w:lang w:val="en-US" w:eastAsia="zh-CN" w:bidi="ar"/>
                <w14:textFill>
                  <w14:solidFill>
                    <w14:schemeClr w14:val="tx1"/>
                  </w14:solidFill>
                </w14:textFill>
              </w:rPr>
              <w:t>发展</w:t>
            </w: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单位生产能耗下降（比2024年）</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Merge w:val="continue"/>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p>
        </w:tc>
        <w:tc>
          <w:tcPr>
            <w:tcW w:w="492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kern w:val="0"/>
                <w:sz w:val="28"/>
                <w:szCs w:val="28"/>
                <w:lang w:val="en-US" w:eastAsia="zh-CN" w:bidi="ar"/>
                <w14:textFill>
                  <w14:solidFill>
                    <w14:schemeClr w14:val="tx1"/>
                  </w14:solidFill>
                </w14:textFill>
              </w:rPr>
              <w:t>主要污染物排放下降（比2024年）</w:t>
            </w:r>
          </w:p>
        </w:tc>
        <w:tc>
          <w:tcPr>
            <w:tcW w:w="83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w:t>
            </w:r>
          </w:p>
        </w:tc>
        <w:tc>
          <w:tcPr>
            <w:tcW w:w="121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vertAlign w:val="baseline"/>
                <w:lang w:val="en-US" w:eastAsia="zh-CN"/>
                <w14:textFill>
                  <w14:solidFill>
                    <w14:schemeClr w14:val="tx1"/>
                  </w14:solidFill>
                </w14:textFill>
              </w:rPr>
              <w:t>20</w:t>
            </w:r>
          </w:p>
        </w:tc>
      </w:tr>
    </w:tbl>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第六节  发展重点</w:t>
      </w:r>
      <w:bookmarkEnd w:id="36"/>
    </w:p>
    <w:bookmarkEnd w:id="29"/>
    <w:bookmarkEnd w:id="30"/>
    <w:bookmarkEnd w:id="31"/>
    <w:bookmarkEnd w:id="32"/>
    <w:bookmarkEnd w:id="33"/>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按照龙头带动、链式布局、研发支撑、园区承载的思路，</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w:t>
      </w:r>
      <w:r>
        <w:rPr>
          <w:rFonts w:hint="eastAsia" w:eastAsia="仿宋_GB2312" w:cs="Times New Roman"/>
          <w:color w:val="000000" w:themeColor="text1"/>
          <w:spacing w:val="0"/>
          <w:sz w:val="32"/>
          <w:szCs w:val="32"/>
          <w:lang w:val="en-US" w:eastAsia="zh-CN"/>
          <w14:textFill>
            <w14:solidFill>
              <w14:schemeClr w14:val="tx1"/>
            </w14:solidFill>
          </w14:textFill>
        </w:rPr>
        <w:t>交城经济开发区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为依托，以</w:t>
      </w:r>
      <w:r>
        <w:rPr>
          <w:rFonts w:hint="eastAsia" w:eastAsia="仿宋_GB2312" w:cs="Times New Roman"/>
          <w:color w:val="000000" w:themeColor="text1"/>
          <w:spacing w:val="0"/>
          <w:sz w:val="32"/>
          <w:szCs w:val="32"/>
          <w:lang w:val="en-US" w:eastAsia="zh-CN"/>
          <w14:textFill>
            <w14:solidFill>
              <w14:schemeClr w14:val="tx1"/>
            </w14:solidFill>
          </w14:textFill>
        </w:rPr>
        <w:t>硝基复合肥</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特色产业集聚发展为方向，以项目建设为抓手，着力构建以“龙头企业</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研发机构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配套企业”为基本模式的</w:t>
      </w:r>
      <w:r>
        <w:rPr>
          <w:rFonts w:hint="eastAsia" w:eastAsia="仿宋_GB2312" w:cs="Times New Roman"/>
          <w:color w:val="000000" w:themeColor="text1"/>
          <w:spacing w:val="0"/>
          <w:sz w:val="32"/>
          <w:szCs w:val="32"/>
          <w:lang w:val="en-US" w:eastAsia="zh-CN"/>
          <w14:textFill>
            <w14:solidFill>
              <w14:schemeClr w14:val="tx1"/>
            </w14:solidFill>
          </w14:textFill>
        </w:rPr>
        <w:t>硝基复合肥</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产业体系，推动专业镇产业向高端化、智能化、规模化发展。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eastAsia" w:eastAsia="仿宋_GB2312" w:cs="Times New Roman"/>
          <w:b/>
          <w:bCs/>
          <w:color w:val="000000" w:themeColor="text1"/>
          <w:spacing w:val="0"/>
          <w:sz w:val="32"/>
          <w:szCs w:val="32"/>
          <w:lang w:val="en-US" w:eastAsia="zh-CN"/>
          <w14:textFill>
            <w14:solidFill>
              <w14:schemeClr w14:val="tx1"/>
            </w14:solidFill>
          </w14:textFill>
        </w:rPr>
        <w:t>优化</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产品</w:t>
      </w:r>
      <w:r>
        <w:rPr>
          <w:rFonts w:hint="eastAsia" w:eastAsia="仿宋_GB2312" w:cs="Times New Roman"/>
          <w:b/>
          <w:bCs/>
          <w:color w:val="000000" w:themeColor="text1"/>
          <w:spacing w:val="0"/>
          <w:sz w:val="32"/>
          <w:szCs w:val="32"/>
          <w:lang w:val="en-US" w:eastAsia="zh-CN"/>
          <w14:textFill>
            <w14:solidFill>
              <w14:schemeClr w14:val="tx1"/>
            </w14:solidFill>
          </w14:textFill>
        </w:rPr>
        <w:t>品种</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结构。</w:t>
      </w:r>
      <w:r>
        <w:rPr>
          <w:rFonts w:hint="default" w:ascii="Times New Roman" w:hAnsi="Times New Roman" w:eastAsia="仿宋_GB2312" w:cs="Times New Roman"/>
          <w:color w:val="000000" w:themeColor="text1"/>
          <w:spacing w:val="0"/>
          <w:sz w:val="32"/>
          <w:szCs w:val="32"/>
          <w14:textFill>
            <w14:solidFill>
              <w14:schemeClr w14:val="tx1"/>
            </w14:solidFill>
          </w14:textFill>
        </w:rPr>
        <w:t>依托优势企业鼓励开发高效环保新型肥料，掺混肥、增效肥料、尿素硝酸铵溶液、缓</w:t>
      </w:r>
      <w:r>
        <w:rPr>
          <w:rFonts w:hint="eastAsia"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控</w:t>
      </w:r>
      <w:r>
        <w:rPr>
          <w:rFonts w:hint="eastAsia"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释肥、水溶肥、液体肥、腐植酸、氨基酸等新型复合肥，在发展新型肥料的同时，利用现有资源优势，延伸产业链条，</w:t>
      </w:r>
      <w:r>
        <w:rPr>
          <w:rFonts w:hint="eastAsia"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构建肥料化工多联产业体系</w:t>
      </w:r>
      <w:r>
        <w:rPr>
          <w:rFonts w:hint="default" w:ascii="Times New Roman" w:hAnsi="Times New Roman" w:eastAsia="仿宋_GB2312" w:cs="Times New Roman"/>
          <w:color w:val="000000" w:themeColor="text1"/>
          <w:spacing w:val="0"/>
          <w:sz w:val="32"/>
          <w:szCs w:val="32"/>
          <w14:textFill>
            <w14:solidFill>
              <w14:schemeClr w14:val="tx1"/>
            </w14:solidFill>
          </w14:textFill>
        </w:rPr>
        <w:t>。提高资源综合利用水平，延伸产业链，建设以硝基复合肥为基础的高端化工产品项目，支持华鑫肥业、润锦化工、红星化工、金兰化工、三喜化工等企业，充分利用合成氨、氢气、氮气、一氧化碳、甲醇等基础化工原料，开发食品级、医药级和工业级硝酸盐产品，做大做强</w:t>
      </w:r>
      <w:r>
        <w:rPr>
          <w:rFonts w:hint="eastAsia" w:eastAsia="仿宋_GB2312" w:cs="Times New Roman"/>
          <w:color w:val="000000" w:themeColor="text1"/>
          <w:spacing w:val="0"/>
          <w:sz w:val="32"/>
          <w:szCs w:val="32"/>
          <w:lang w:val="en-US" w:eastAsia="zh-CN"/>
          <w14:textFill>
            <w14:solidFill>
              <w14:schemeClr w14:val="tx1"/>
            </w14:solidFill>
          </w14:textFill>
        </w:rPr>
        <w:t>硝基复合肥</w:t>
      </w:r>
      <w:r>
        <w:rPr>
          <w:rFonts w:hint="default" w:ascii="Times New Roman" w:hAnsi="Times New Roman" w:eastAsia="仿宋_GB2312" w:cs="Times New Roman"/>
          <w:color w:val="000000" w:themeColor="text1"/>
          <w:spacing w:val="0"/>
          <w:sz w:val="32"/>
          <w:szCs w:val="32"/>
          <w14:textFill>
            <w14:solidFill>
              <w14:schemeClr w14:val="tx1"/>
            </w14:solidFill>
          </w14:textFill>
        </w:rPr>
        <w:t>产业链</w:t>
      </w:r>
      <w:r>
        <w:rPr>
          <w:rFonts w:hint="eastAsia" w:eastAsia="仿宋_GB2312" w:cs="Times New Roman"/>
          <w:color w:val="000000" w:themeColor="text1"/>
          <w:spacing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14:textFill>
            <w14:solidFill>
              <w14:schemeClr w14:val="tx1"/>
            </w14:solidFill>
          </w14:textFill>
        </w:rPr>
        <w:t>提升</w:t>
      </w:r>
      <w:r>
        <w:rPr>
          <w:rFonts w:hint="eastAsia" w:eastAsia="仿宋_GB2312" w:cs="Times New Roman"/>
          <w:b/>
          <w:bCs/>
          <w:color w:val="000000" w:themeColor="text1"/>
          <w:spacing w:val="0"/>
          <w:sz w:val="32"/>
          <w:szCs w:val="32"/>
          <w:lang w:val="en-US" w:eastAsia="zh-CN"/>
          <w14:textFill>
            <w14:solidFill>
              <w14:schemeClr w14:val="tx1"/>
            </w14:solidFill>
          </w14:textFill>
        </w:rPr>
        <w:t>研发</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创新能力。</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完善以企业为主体、产学研相结合的技术创新体系。新建磊鑫、</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七星、</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三喜、</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东锦</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、红星、</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沃锦</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等</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6家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省级技术中心，建立东锦肥业</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省级储能熔盐中试基地</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推动</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硝基肥向新能源储能材料转型。开展化肥新产品开发和技术推广，推动硝基复合肥企业积极参与国家硝基复合肥行业标准</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国家标准的制定，提高行业话语权。严格节能减排标准，推广工业废水超低排放和气体深度净化技术、节能型全循环尿素生产技术、工业废渣无害化处理技术、</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工业钙泥综合利用技术、</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热能回收技术，大力发展功能性新型肥料</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eastAsia="仿宋_GB2312" w:cs="Times New Roman"/>
          <w:color w:val="000000" w:themeColor="text1"/>
          <w:spacing w:val="0"/>
          <w:sz w:val="32"/>
          <w:szCs w:val="32"/>
          <w:lang w:eastAsia="zh-CN"/>
          <w14:textFill>
            <w14:solidFill>
              <w14:schemeClr w14:val="tx1"/>
            </w14:solidFill>
          </w14:textFill>
        </w:rPr>
      </w:pPr>
      <w:r>
        <w:rPr>
          <w:rFonts w:hint="eastAsia" w:eastAsia="仿宋_GB2312" w:cs="Times New Roman"/>
          <w:b/>
          <w:bCs/>
          <w:color w:val="000000" w:themeColor="text1"/>
          <w:spacing w:val="0"/>
          <w:sz w:val="32"/>
          <w:szCs w:val="32"/>
          <w:lang w:val="en-US" w:eastAsia="zh-CN"/>
          <w14:textFill>
            <w14:solidFill>
              <w14:schemeClr w14:val="tx1"/>
            </w14:solidFill>
          </w14:textFill>
        </w:rPr>
        <w:t>加快</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推进兼并重组。</w:t>
      </w:r>
      <w:r>
        <w:rPr>
          <w:rFonts w:hint="default" w:ascii="Times New Roman" w:hAnsi="Times New Roman" w:eastAsia="仿宋_GB2312" w:cs="Times New Roman"/>
          <w:color w:val="000000" w:themeColor="text1"/>
          <w:spacing w:val="0"/>
          <w:sz w:val="32"/>
          <w:szCs w:val="32"/>
          <w14:textFill>
            <w14:solidFill>
              <w14:schemeClr w14:val="tx1"/>
            </w14:solidFill>
          </w14:textFill>
        </w:rPr>
        <w:t>引导生产要素向优势企业集中，充分发挥优势企业的资金、技术市场优势，支持华鑫肥业、润锦化工、红星化工、金兰化工、三喜化工等优势企业整合小型复合肥企业</w:t>
      </w:r>
      <w:r>
        <w:rPr>
          <w:rFonts w:hint="eastAsia"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打造一批在全国领先的复合肥企业集团。鼓励具有技术优势的小化肥企业走</w:t>
      </w:r>
      <w:r>
        <w:rPr>
          <w:rFonts w:hint="eastAsia"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专、精、特、新</w:t>
      </w:r>
      <w:r>
        <w:rPr>
          <w:rFonts w:hint="eastAsia"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的发展之路</w:t>
      </w:r>
      <w:r>
        <w:rPr>
          <w:rFonts w:hint="eastAsia"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形成以行业骨干企业为引领的大中小企业协调发展、具有较强竞争力的产业格局。创新营销发展模式。</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发挥</w:t>
      </w:r>
      <w:r>
        <w:rPr>
          <w:rFonts w:hint="default" w:ascii="Times New Roman" w:hAnsi="Times New Roman" w:eastAsia="仿宋_GB2312" w:cs="Times New Roman"/>
          <w:color w:val="000000" w:themeColor="text1"/>
          <w:spacing w:val="0"/>
          <w:sz w:val="32"/>
          <w:szCs w:val="32"/>
          <w14:textFill>
            <w14:solidFill>
              <w14:schemeClr w14:val="tx1"/>
            </w14:solidFill>
          </w14:textFill>
        </w:rPr>
        <w:t>复合肥行业协会</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作用</w:t>
      </w:r>
      <w:r>
        <w:rPr>
          <w:rFonts w:hint="default" w:ascii="Times New Roman" w:hAnsi="Times New Roman" w:eastAsia="仿宋_GB2312" w:cs="Times New Roman"/>
          <w:color w:val="000000" w:themeColor="text1"/>
          <w:spacing w:val="0"/>
          <w:sz w:val="32"/>
          <w:szCs w:val="32"/>
          <w14:textFill>
            <w14:solidFill>
              <w14:schemeClr w14:val="tx1"/>
            </w14:solidFill>
          </w14:textFill>
        </w:rPr>
        <w:t>，定期不定期开展行业调查研究，及时反馈行业信息，争取在政策、项目、资金等方面的支持和扶持</w:t>
      </w:r>
      <w:r>
        <w:rPr>
          <w:rFonts w:hint="eastAsia" w:eastAsia="仿宋_GB2312" w:cs="Times New Roman"/>
          <w:color w:val="000000" w:themeColor="text1"/>
          <w:spacing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b/>
          <w:bCs/>
          <w:color w:val="000000" w:themeColor="text1"/>
          <w:spacing w:val="0"/>
          <w:sz w:val="32"/>
          <w:szCs w:val="32"/>
          <w:lang w:val="en-US" w:eastAsia="zh-CN"/>
          <w14:textFill>
            <w14:solidFill>
              <w14:schemeClr w14:val="tx1"/>
            </w14:solidFill>
          </w14:textFill>
        </w:rPr>
        <w:t>项目为王蓄势赋能。</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坚持“项目为王”理念，推进</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华鑫肥业硝酸铵钙绿色节能改造、</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金兰化工硝酸盐和溶盐新材料、</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东锦肥业86万吨绿色新材料</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和20万吨电子级无机盐材料、</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红星化工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26</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万吨新肥料</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、三喜化工高端无机盐化工新材料、恩泽生物氨基酸</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等项目建成投产，真正让产业更专、产能更强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rPr>
          <w:rFonts w:hint="eastAsia"/>
          <w:color w:val="000000" w:themeColor="text1"/>
          <w:spacing w:val="0"/>
          <w:sz w:val="32"/>
          <w:szCs w:val="32"/>
          <w:lang w:val="en-US" w:eastAsia="zh-CN"/>
          <w14:textFill>
            <w14:solidFill>
              <w14:schemeClr w14:val="tx1"/>
            </w14:solidFill>
          </w14:textFill>
        </w:rPr>
      </w:pPr>
      <w:r>
        <w:rPr>
          <w:rFonts w:hint="eastAsia" w:eastAsia="仿宋_GB2312" w:cs="Times New Roman"/>
          <w:b/>
          <w:bCs/>
          <w:color w:val="000000" w:themeColor="text1"/>
          <w:spacing w:val="0"/>
          <w:sz w:val="32"/>
          <w:szCs w:val="32"/>
          <w:lang w:val="en-US" w:eastAsia="zh-CN"/>
          <w14:textFill>
            <w14:solidFill>
              <w14:schemeClr w14:val="tx1"/>
            </w14:solidFill>
          </w14:textFill>
        </w:rPr>
        <w:t>拓展延伸产业链条。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重点发展</w:t>
      </w:r>
      <w:r>
        <w:rPr>
          <w:rFonts w:hint="eastAsia"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煤</w:t>
      </w:r>
      <w:r>
        <w:rPr>
          <w:rFonts w:hint="eastAsia"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焦</w:t>
      </w:r>
      <w:r>
        <w:rPr>
          <w:rFonts w:hint="eastAsia"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气</w:t>
      </w:r>
      <w:r>
        <w:rPr>
          <w:rFonts w:hint="eastAsia"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肥</w:t>
      </w:r>
      <w:r>
        <w:rPr>
          <w:rFonts w:hint="eastAsia"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生态</w:t>
      </w:r>
      <w:r>
        <w:rPr>
          <w:rFonts w:hint="eastAsia" w:eastAsia="仿宋_GB2312" w:cs="Times New Roman"/>
          <w:color w:val="000000" w:themeColor="text1"/>
          <w:spacing w:val="0"/>
          <w:sz w:val="32"/>
          <w:szCs w:val="32"/>
          <w:lang w:val="en-US" w:eastAsia="zh-CN"/>
          <w14:textFill>
            <w14:solidFill>
              <w14:schemeClr w14:val="tx1"/>
            </w14:solidFill>
          </w14:textFill>
        </w:rPr>
        <w:t>产业链</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依托开发区附近的浅层煤炭资源和先进的煤气化技术，以原煤用于完全煤气化为主，焦炉煤气、劣质煤综合利用为补充进行多联产，并与下游化肥、无机盐化工产业进行耦合，建成以合成氨为主要原料，以硝酸钾、硝酸铵钙为代表的无机盐化工生产基地。利用尿素、硝酸铵等开发食品级、医药级和工业级硝酸盐产品</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形成企业聚集、配套协作、相互依存、吃干榨尽、接链补环、变废为宝的</w:t>
      </w:r>
      <w:r>
        <w:rPr>
          <w:rFonts w:hint="eastAsia" w:eastAsia="仿宋_GB2312" w:cs="Times New Roman"/>
          <w:b w:val="0"/>
          <w:bCs/>
          <w:color w:val="000000" w:themeColor="text1"/>
          <w:spacing w:val="0"/>
          <w:kern w:val="2"/>
          <w:sz w:val="32"/>
          <w:szCs w:val="32"/>
          <w:lang w:val="en-US" w:eastAsia="zh-CN" w:bidi="ar-SA"/>
          <w14:textFill>
            <w14:solidFill>
              <w14:schemeClr w14:val="tx1"/>
            </w14:solidFill>
          </w14:textFill>
        </w:rPr>
        <w:t>硝基复合肥全产业链发展</w:t>
      </w:r>
      <w:r>
        <w:rPr>
          <w:rFonts w:hint="eastAsia"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示范区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b/>
          <w:bCs/>
          <w:color w:val="000000" w:themeColor="text1"/>
          <w:spacing w:val="0"/>
          <w:sz w:val="32"/>
          <w:szCs w:val="32"/>
          <w:lang w:val="en-US" w:eastAsia="zh-CN"/>
          <w14:textFill>
            <w14:solidFill>
              <w14:schemeClr w14:val="tx1"/>
            </w14:solidFill>
          </w14:textFill>
        </w:rPr>
        <w:t>深度</w:t>
      </w:r>
      <w:r>
        <w:rPr>
          <w:rFonts w:hint="eastAsia" w:ascii="Times New Roman" w:hAnsi="Times New Roman" w:eastAsia="仿宋_GB2312" w:cs="Times New Roman"/>
          <w:b/>
          <w:bCs/>
          <w:color w:val="000000" w:themeColor="text1"/>
          <w:spacing w:val="0"/>
          <w:sz w:val="32"/>
          <w:szCs w:val="32"/>
          <w14:textFill>
            <w14:solidFill>
              <w14:schemeClr w14:val="tx1"/>
            </w14:solidFill>
          </w14:textFill>
        </w:rPr>
        <w:t>推进智能制造。</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推进新一代信息技术和硝基复合肥产业深度融合，实施智能制造试点示范创建工程，</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引导专业镇企业在研发设计、生产、管理、营销等环节广泛应用5G、大数据、工业互联网、物联网、智能制造等新一代信息技术，</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重点围绕新型肥料生产过程的数字化、柔性化及系统集成水平，集成引进一批以智能化成形和加工成套设备、加快推进国家级新型肥料基地等重大标志性项目建设，加快硝基复合肥产业向高端、智能、绿色、服务方向转型升级。</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eastAsia="仿宋_GB2312" w:cs="Times New Roman"/>
          <w:b/>
          <w:bCs/>
          <w:color w:val="000000" w:themeColor="text1"/>
          <w:spacing w:val="0"/>
          <w:sz w:val="32"/>
          <w:szCs w:val="32"/>
          <w:lang w:val="en-US" w:eastAsia="zh-CN"/>
          <w14:textFill>
            <w14:solidFill>
              <w14:schemeClr w14:val="tx1"/>
            </w14:solidFill>
          </w14:textFill>
        </w:rPr>
        <w:t>加速服务制造转型</w:t>
      </w:r>
      <w:r>
        <w:rPr>
          <w:rFonts w:hint="eastAsia" w:eastAsia="仿宋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主动适应农业深化改革和集约发展的新要求，企业经营理念要从产品制造向服务制造转变，通过建立农化服务专职队伍，开展科学施肥技术指导、农技知识咨询培训、农化服务，围绕现代农业发展，采取现场配制、大户定制等不同的商业服务模式，拓展新的市场领域。</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eastAsia="仿宋" w:cs="Times New Roman"/>
          <w:b/>
          <w:bCs/>
          <w:color w:val="000000" w:themeColor="text1"/>
          <w:spacing w:val="0"/>
          <w:sz w:val="32"/>
          <w:szCs w:val="32"/>
          <w:lang w:val="en-US" w:eastAsia="zh-CN"/>
          <w14:textFill>
            <w14:solidFill>
              <w14:schemeClr w14:val="tx1"/>
            </w14:solidFill>
          </w14:textFill>
        </w:rPr>
        <w:t>提升产品质量</w:t>
      </w:r>
      <w:r>
        <w:rPr>
          <w:rFonts w:hint="default" w:ascii="Times New Roman" w:hAnsi="Times New Roman" w:eastAsia="仿宋" w:cs="Times New Roman"/>
          <w:b/>
          <w:bCs/>
          <w:color w:val="000000" w:themeColor="text1"/>
          <w:spacing w:val="0"/>
          <w:sz w:val="32"/>
          <w:szCs w:val="32"/>
          <w14:textFill>
            <w14:solidFill>
              <w14:schemeClr w14:val="tx1"/>
            </w14:solidFill>
          </w14:textFill>
        </w:rPr>
        <w:t>品牌。</w:t>
      </w:r>
      <w:r>
        <w:rPr>
          <w:rFonts w:hint="default" w:ascii="Times New Roman" w:hAnsi="Times New Roman" w:eastAsia="仿宋_GB2312" w:cs="Times New Roman"/>
          <w:color w:val="000000" w:themeColor="text1"/>
          <w:spacing w:val="0"/>
          <w:sz w:val="32"/>
          <w:szCs w:val="32"/>
          <w14:textFill>
            <w14:solidFill>
              <w14:schemeClr w14:val="tx1"/>
            </w14:solidFill>
          </w14:textFill>
        </w:rPr>
        <w:t>以新产品为抓手做优做强区域品牌，支持培育企业产品品牌，更好发挥国家地理标志保护产品优势，不断提升品牌竞争力和影响力。聚焦</w:t>
      </w:r>
      <w:r>
        <w:rPr>
          <w:rFonts w:hint="eastAsia" w:eastAsia="仿宋_GB2312" w:cs="Times New Roman"/>
          <w:color w:val="000000" w:themeColor="text1"/>
          <w:spacing w:val="0"/>
          <w:sz w:val="32"/>
          <w:szCs w:val="32"/>
          <w:lang w:val="en-US" w:eastAsia="zh-CN"/>
          <w14:textFill>
            <w14:solidFill>
              <w14:schemeClr w14:val="tx1"/>
            </w14:solidFill>
          </w14:textFill>
        </w:rPr>
        <w:t>专业镇</w:t>
      </w:r>
      <w:r>
        <w:rPr>
          <w:rFonts w:hint="default" w:ascii="Times New Roman" w:hAnsi="Times New Roman" w:eastAsia="仿宋_GB2312" w:cs="Times New Roman"/>
          <w:color w:val="000000" w:themeColor="text1"/>
          <w:spacing w:val="0"/>
          <w:sz w:val="32"/>
          <w:szCs w:val="32"/>
          <w14:textFill>
            <w14:solidFill>
              <w14:schemeClr w14:val="tx1"/>
            </w14:solidFill>
          </w14:textFill>
        </w:rPr>
        <w:t>拳头产品，创制先进标准、一流标准、协同推进产品研发与标准制定，不断以高标准提升新产品质量效益。加强出口产品国际标准、检测和认证制度的跟踪研究，建立完善与国际接轨的标准体系和产品认证制度。</w:t>
      </w:r>
    </w:p>
    <w:p>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793AB"/>
    <w:rsid w:val="7EA79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正文（公文）"/>
    <w:basedOn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Times New Roman" w:hAnsi="Times New Roman"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2024-11-13T10:30:00Z</dcterms:created>
  <dc:creator>greatwall</dc:creator>
  <cp:lastModifiedBy>greatwall</cp:lastModifiedBy>
  <dcterms:modified xsi:type="dcterms:W3CDTF">2024-11-13T10:31:44Z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