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附件7</w:t>
      </w: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2023年农业生产托管服务确认单（初验表）</w:t>
      </w:r>
    </w:p>
    <w:bookmarkEnd w:id="0"/>
    <w:p>
      <w:pPr>
        <w:bidi w:val="0"/>
        <w:rPr>
          <w:rFonts w:hint="eastAsia"/>
          <w:color w:val="000000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657"/>
        <w:tblOverlap w:val="never"/>
        <w:tblW w:w="15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15"/>
        <w:gridCol w:w="1980"/>
        <w:gridCol w:w="840"/>
        <w:gridCol w:w="974"/>
        <w:gridCol w:w="990"/>
        <w:gridCol w:w="938"/>
        <w:gridCol w:w="917"/>
        <w:gridCol w:w="990"/>
        <w:gridCol w:w="1018"/>
        <w:gridCol w:w="769"/>
        <w:gridCol w:w="1035"/>
        <w:gridCol w:w="1305"/>
        <w:gridCol w:w="1230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农户姓名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托管服务环节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8"/>
                <w:highlight w:val="none"/>
                <w:vertAlign w:val="baseline"/>
                <w:lang w:val="en-US" w:eastAsia="zh-CN"/>
              </w:rPr>
              <w:t>托管服务合同面积（亩）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8"/>
                <w:highlight w:val="none"/>
                <w:vertAlign w:val="baseline"/>
                <w:lang w:val="en-US" w:eastAsia="zh-CN"/>
              </w:rPr>
              <w:t>实际作业面积（亩）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价格（元/亩）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补助标准（元/亩）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作业是否规范有效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对服务质量及效果是否满意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（手印）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服务组织（盖章）                 村委会（盖章）                    年   月   日</w:t>
      </w: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村委负责人签字：                  村级验收组成员签字：                         </w:t>
      </w: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Cs w:val="28"/>
          <w:highlight w:val="none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注：此表由村级初验后填写，一式四份，原件由村委保存，复印三份并盖村委公章报县托管办、乡镇、服务主体存档备案。此表需在村级公布栏进行公示。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751A22A5"/>
    <w:rsid w:val="751A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2023-06-07T02:18:00Z</dcterms:created>
  <dc:creator>Administrator</dc:creator>
  <cp:lastModifiedBy>Administrator</cp:lastModifiedBy>
  <dcterms:modified xsi:type="dcterms:W3CDTF">2023-06-07T02:19:03Z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9738941E49784D4D859D83F7E1B599EC_11</vt:lpwstr>
  </property>
</Properties>
</file>