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sz w:val="32"/>
          <w:szCs w:val="40"/>
          <w:highlight w:val="none"/>
          <w:lang w:val="en-US" w:eastAsia="zh-CN"/>
        </w:rPr>
        <w:t>附件4</w:t>
      </w:r>
    </w:p>
    <w:p>
      <w:pPr>
        <w:keepNext w:val="0"/>
        <w:keepLines w:val="0"/>
        <w:pageBreakBefore w:val="0"/>
        <w:kinsoku/>
        <w:overflowPunct/>
        <w:topLinePunct w:val="0"/>
        <w:autoSpaceDE/>
        <w:autoSpaceDN/>
        <w:bidi w:val="0"/>
        <w:snapToGrid/>
        <w:spacing w:line="570" w:lineRule="exact"/>
        <w:ind w:firstLine="4680" w:firstLineChars="1300"/>
        <w:jc w:val="left"/>
        <w:textAlignment w:val="auto"/>
        <w:rPr>
          <w:rFonts w:ascii="仿宋_GB2312" w:hAnsi="仿宋_GB2312" w:eastAsia="仿宋_GB2312" w:cs="仿宋_GB2312"/>
          <w:color w:val="000000"/>
          <w:kern w:val="21"/>
          <w:sz w:val="32"/>
          <w:szCs w:val="32"/>
          <w:highlight w:val="none"/>
        </w:rPr>
      </w:pPr>
      <w:r>
        <w:rPr>
          <w:rFonts w:hint="eastAsia" w:ascii="楷体_GB2312" w:hAnsi="楷体_GB2312" w:eastAsia="楷体_GB2312" w:cs="楷体_GB2312"/>
          <w:color w:val="000000"/>
          <w:sz w:val="36"/>
          <w:szCs w:val="36"/>
          <w:highlight w:val="none"/>
        </w:rPr>
        <w:t>合同编号：</w:t>
      </w:r>
      <w:r>
        <w:rPr>
          <w:rFonts w:hint="eastAsia" w:ascii="楷体_GB2312" w:hAnsi="楷体_GB2312" w:eastAsia="楷体_GB2312" w:cs="楷体_GB2312"/>
          <w:color w:val="000000"/>
          <w:sz w:val="36"/>
          <w:szCs w:val="36"/>
          <w:highlight w:val="none"/>
          <w:u w:val="single" w:color="231F20"/>
        </w:rPr>
        <w:tab/>
      </w:r>
      <w:r>
        <w:rPr>
          <w:rFonts w:hint="eastAsia" w:ascii="楷体_GB2312" w:hAnsi="楷体_GB2312" w:eastAsia="楷体_GB2312" w:cs="楷体_GB2312"/>
          <w:color w:val="000000"/>
          <w:sz w:val="36"/>
          <w:szCs w:val="36"/>
          <w:highlight w:val="none"/>
          <w:u w:val="single" w:color="231F20"/>
        </w:rPr>
        <w:t xml:space="preserve">    </w:t>
      </w:r>
      <w:r>
        <w:rPr>
          <w:rFonts w:ascii="楷体_GB2312" w:hAnsi="楷体_GB2312" w:eastAsia="楷体_GB2312" w:cs="楷体_GB2312"/>
          <w:color w:val="000000"/>
          <w:sz w:val="36"/>
          <w:szCs w:val="36"/>
          <w:highlight w:val="none"/>
          <w:u w:val="single" w:color="231F20"/>
        </w:rPr>
        <w:t xml:space="preserve">     </w:t>
      </w:r>
      <w:r>
        <w:rPr>
          <w:rFonts w:hint="eastAsia" w:ascii="仿宋_GB2312" w:hAnsi="仿宋_GB2312" w:eastAsia="仿宋_GB2312" w:cs="仿宋_GB2312"/>
          <w:color w:val="000000"/>
          <w:kern w:val="21"/>
          <w:sz w:val="32"/>
          <w:szCs w:val="32"/>
          <w:highlight w:val="none"/>
        </w:rPr>
        <w:t xml:space="preserve">   </w:t>
      </w:r>
    </w:p>
    <w:p>
      <w:pPr>
        <w:pStyle w:val="4"/>
        <w:keepNext w:val="0"/>
        <w:keepLines w:val="0"/>
        <w:pageBreakBefore w:val="0"/>
        <w:kinsoku/>
        <w:overflowPunct/>
        <w:topLinePunct w:val="0"/>
        <w:autoSpaceDE/>
        <w:autoSpaceDN/>
        <w:bidi w:val="0"/>
        <w:snapToGrid/>
        <w:spacing w:line="570" w:lineRule="exact"/>
        <w:textAlignment w:val="auto"/>
        <w:rPr>
          <w:color w:val="000000"/>
          <w:highlight w:val="none"/>
        </w:rPr>
      </w:pPr>
    </w:p>
    <w:p>
      <w:pPr>
        <w:pStyle w:val="4"/>
        <w:keepNext w:val="0"/>
        <w:keepLines w:val="0"/>
        <w:pageBreakBefore w:val="0"/>
        <w:kinsoku/>
        <w:overflowPunct/>
        <w:topLinePunct w:val="0"/>
        <w:autoSpaceDE/>
        <w:autoSpaceDN/>
        <w:bidi w:val="0"/>
        <w:snapToGrid/>
        <w:spacing w:line="570" w:lineRule="exact"/>
        <w:textAlignment w:val="auto"/>
        <w:rPr>
          <w:color w:val="000000"/>
          <w:highlight w:val="none"/>
        </w:rPr>
      </w:pPr>
    </w:p>
    <w:p>
      <w:pPr>
        <w:pStyle w:val="4"/>
        <w:keepNext w:val="0"/>
        <w:keepLines w:val="0"/>
        <w:pageBreakBefore w:val="0"/>
        <w:kinsoku/>
        <w:overflowPunct/>
        <w:topLinePunct w:val="0"/>
        <w:autoSpaceDE/>
        <w:autoSpaceDN/>
        <w:bidi w:val="0"/>
        <w:snapToGrid/>
        <w:spacing w:line="570" w:lineRule="exact"/>
        <w:textAlignment w:val="auto"/>
        <w:rPr>
          <w:color w:val="000000"/>
          <w:highlight w:val="none"/>
        </w:rPr>
      </w:pPr>
    </w:p>
    <w:p>
      <w:pPr>
        <w:pStyle w:val="4"/>
        <w:keepNext w:val="0"/>
        <w:keepLines w:val="0"/>
        <w:pageBreakBefore w:val="0"/>
        <w:kinsoku/>
        <w:overflowPunct/>
        <w:topLinePunct w:val="0"/>
        <w:autoSpaceDE/>
        <w:autoSpaceDN/>
        <w:bidi w:val="0"/>
        <w:snapToGrid/>
        <w:spacing w:line="570" w:lineRule="exact"/>
        <w:textAlignment w:val="auto"/>
        <w:rPr>
          <w:rFonts w:hint="eastAsia" w:ascii="华文中宋" w:hAnsi="华文中宋" w:eastAsia="华文中宋" w:cs="华文中宋"/>
          <w:color w:val="000000"/>
          <w:sz w:val="44"/>
          <w:szCs w:val="44"/>
          <w:highlight w:val="none"/>
        </w:rPr>
      </w:pPr>
      <w:r>
        <w:rPr>
          <w:rFonts w:hint="eastAsia" w:ascii="华文中宋" w:hAnsi="华文中宋" w:eastAsia="华文中宋" w:cs="华文中宋"/>
          <w:color w:val="000000"/>
          <w:sz w:val="44"/>
          <w:szCs w:val="44"/>
          <w:highlight w:val="none"/>
        </w:rPr>
        <w:t>农业生产托管服务合同</w:t>
      </w:r>
    </w:p>
    <w:p>
      <w:pPr>
        <w:pStyle w:val="4"/>
        <w:keepNext w:val="0"/>
        <w:keepLines w:val="0"/>
        <w:pageBreakBefore w:val="0"/>
        <w:kinsoku/>
        <w:overflowPunct/>
        <w:topLinePunct w:val="0"/>
        <w:autoSpaceDE/>
        <w:autoSpaceDN/>
        <w:bidi w:val="0"/>
        <w:snapToGrid/>
        <w:spacing w:line="570" w:lineRule="exact"/>
        <w:textAlignment w:val="auto"/>
        <w:rPr>
          <w:color w:val="000000"/>
          <w:sz w:val="40"/>
          <w:szCs w:val="40"/>
          <w:highlight w:val="none"/>
        </w:rPr>
      </w:pPr>
      <w:r>
        <w:rPr>
          <w:rFonts w:hint="eastAsia" w:ascii="楷体_GB2312" w:hAnsi="楷体_GB2312" w:eastAsia="楷体_GB2312" w:cs="楷体_GB2312"/>
          <w:color w:val="000000"/>
          <w:sz w:val="40"/>
          <w:szCs w:val="40"/>
          <w:highlight w:val="none"/>
        </w:rPr>
        <w:t>（示范文本）</w:t>
      </w: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320" w:firstLineChars="300"/>
        <w:textAlignment w:val="auto"/>
        <w:rPr>
          <w:rFonts w:ascii="方正小标宋简体" w:hAnsi="方正小标宋简体" w:eastAsia="方正小标宋简体" w:cs="方正小标宋简体"/>
          <w:color w:val="000000"/>
          <w:kern w:val="21"/>
          <w:sz w:val="44"/>
          <w:szCs w:val="44"/>
          <w:highlight w:val="none"/>
        </w:rPr>
      </w:pP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ascii="楷体_GB2312" w:hAnsi="楷体_GB2312" w:eastAsia="楷体_GB2312" w:cs="楷体_GB2312"/>
          <w:color w:val="000000"/>
          <w:kern w:val="21"/>
          <w:sz w:val="36"/>
          <w:szCs w:val="36"/>
          <w:highlight w:val="none"/>
        </w:rPr>
      </w:pP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甲方（接受服务方）：</w:t>
      </w:r>
    </w:p>
    <w:p>
      <w:pPr>
        <w:keepNext w:val="0"/>
        <w:keepLines w:val="0"/>
        <w:pageBreakBefore w:val="0"/>
        <w:kinsoku/>
        <w:overflowPunct/>
        <w:topLinePunct w:val="0"/>
        <w:autoSpaceDE/>
        <w:autoSpaceDN/>
        <w:bidi w:val="0"/>
        <w:adjustRightInd w:val="0"/>
        <w:snapToGrid/>
        <w:spacing w:line="570" w:lineRule="exact"/>
        <w:ind w:firstLine="1080" w:firstLineChars="300"/>
        <w:textAlignment w:val="auto"/>
        <w:rPr>
          <w:rFonts w:hint="eastAsia" w:ascii="楷体_GB2312" w:hAnsi="楷体_GB2312" w:eastAsia="楷体_GB2312" w:cs="楷体_GB2312"/>
          <w:color w:val="000000"/>
          <w:kern w:val="21"/>
          <w:sz w:val="36"/>
          <w:szCs w:val="36"/>
          <w:highlight w:val="none"/>
        </w:rPr>
      </w:pPr>
      <w:r>
        <w:rPr>
          <w:rFonts w:hint="eastAsia" w:ascii="楷体_GB2312" w:hAnsi="楷体_GB2312" w:eastAsia="楷体_GB2312" w:cs="楷体_GB2312"/>
          <w:color w:val="000000"/>
          <w:kern w:val="21"/>
          <w:sz w:val="36"/>
          <w:szCs w:val="36"/>
          <w:highlight w:val="none"/>
        </w:rPr>
        <w:t>乙方（提供服务方）：</w:t>
      </w:r>
    </w:p>
    <w:p>
      <w:pPr>
        <w:keepNext w:val="0"/>
        <w:keepLines w:val="0"/>
        <w:pageBreakBefore w:val="0"/>
        <w:kinsoku/>
        <w:overflowPunct/>
        <w:topLinePunct w:val="0"/>
        <w:autoSpaceDE/>
        <w:autoSpaceDN/>
        <w:bidi w:val="0"/>
        <w:adjustRightInd w:val="0"/>
        <w:snapToGrid/>
        <w:spacing w:line="570" w:lineRule="exact"/>
        <w:jc w:val="center"/>
        <w:textAlignment w:val="auto"/>
        <w:rPr>
          <w:rFonts w:ascii="楷体_GB2312" w:hAnsi="楷体_GB2312" w:eastAsia="楷体_GB2312" w:cs="楷体_GB2312"/>
          <w:color w:val="000000"/>
          <w:kern w:val="21"/>
          <w:sz w:val="36"/>
          <w:szCs w:val="36"/>
          <w:highlight w:val="none"/>
        </w:rPr>
        <w:sectPr>
          <w:footerReference r:id="rId4" w:type="first"/>
          <w:footerReference r:id="rId3" w:type="default"/>
          <w:pgSz w:w="11906" w:h="16838"/>
          <w:pgMar w:top="2098" w:right="1474" w:bottom="1984" w:left="1587" w:header="851" w:footer="1417" w:gutter="0"/>
          <w:pgNumType w:fmt="numberInDash"/>
          <w:cols w:space="720" w:num="1"/>
          <w:titlePg/>
          <w:rtlGutter w:val="0"/>
          <w:docGrid w:type="lines" w:linePitch="312" w:charSpace="0"/>
        </w:sectPr>
      </w:pPr>
      <w:r>
        <w:rPr>
          <w:rFonts w:hint="eastAsia" w:ascii="楷体_GB2312" w:hAnsi="楷体_GB2312" w:eastAsia="楷体_GB2312" w:cs="楷体_GB2312"/>
          <w:color w:val="000000"/>
          <w:kern w:val="21"/>
          <w:sz w:val="36"/>
          <w:szCs w:val="36"/>
          <w:highlight w:val="none"/>
        </w:rPr>
        <w:t>签订时间：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年</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月</w:t>
      </w:r>
      <w:r>
        <w:rPr>
          <w:rFonts w:hint="eastAsia" w:ascii="楷体_GB2312" w:hAnsi="楷体_GB2312" w:eastAsia="楷体_GB2312" w:cs="楷体_GB2312"/>
          <w:color w:val="000000"/>
          <w:kern w:val="21"/>
          <w:sz w:val="36"/>
          <w:szCs w:val="36"/>
          <w:highlight w:val="none"/>
          <w:u w:val="single"/>
        </w:rPr>
        <w:t xml:space="preserve">     </w:t>
      </w:r>
      <w:r>
        <w:rPr>
          <w:rFonts w:hint="eastAsia" w:ascii="楷体_GB2312" w:hAnsi="楷体_GB2312" w:eastAsia="楷体_GB2312" w:cs="楷体_GB2312"/>
          <w:color w:val="000000"/>
          <w:kern w:val="21"/>
          <w:sz w:val="36"/>
          <w:szCs w:val="36"/>
          <w:highlight w:val="none"/>
        </w:rPr>
        <w:t>日</w:t>
      </w:r>
    </w:p>
    <w:p>
      <w:pPr>
        <w:keepNext w:val="0"/>
        <w:keepLines w:val="0"/>
        <w:pageBreakBefore w:val="0"/>
        <w:kinsoku/>
        <w:overflowPunct/>
        <w:topLinePunct w:val="0"/>
        <w:autoSpaceDE/>
        <w:autoSpaceDN/>
        <w:bidi w:val="0"/>
        <w:snapToGrid/>
        <w:spacing w:line="570" w:lineRule="exact"/>
        <w:jc w:val="center"/>
        <w:textAlignment w:val="auto"/>
        <w:rPr>
          <w:rFonts w:ascii="方正小标宋简体" w:hAnsi="方正小标宋简体" w:eastAsia="方正小标宋简体" w:cs="方正小标宋简体"/>
          <w:color w:val="000000"/>
          <w:kern w:val="21"/>
          <w:sz w:val="32"/>
          <w:szCs w:val="32"/>
          <w:highlight w:val="none"/>
        </w:rPr>
      </w:pPr>
    </w:p>
    <w:p>
      <w:pPr>
        <w:keepNext w:val="0"/>
        <w:keepLines w:val="0"/>
        <w:pageBreakBefore w:val="0"/>
        <w:kinsoku/>
        <w:overflowPunct/>
        <w:topLinePunct w:val="0"/>
        <w:autoSpaceDE/>
        <w:autoSpaceDN/>
        <w:bidi w:val="0"/>
        <w:snapToGrid/>
        <w:spacing w:line="570" w:lineRule="exact"/>
        <w:jc w:val="center"/>
        <w:textAlignment w:val="auto"/>
        <w:rPr>
          <w:rFonts w:hint="eastAsia" w:ascii="华文中宋" w:hAnsi="华文中宋" w:eastAsia="华文中宋" w:cs="华文中宋"/>
          <w:color w:val="000000"/>
          <w:kern w:val="21"/>
          <w:sz w:val="40"/>
          <w:szCs w:val="40"/>
          <w:highlight w:val="none"/>
        </w:rPr>
      </w:pPr>
      <w:r>
        <w:rPr>
          <w:rFonts w:hint="eastAsia" w:ascii="华文中宋" w:hAnsi="华文中宋" w:eastAsia="华文中宋" w:cs="华文中宋"/>
          <w:color w:val="000000"/>
          <w:kern w:val="21"/>
          <w:sz w:val="40"/>
          <w:szCs w:val="40"/>
          <w:highlight w:val="none"/>
        </w:rPr>
        <w:t>填  写  说  明</w:t>
      </w:r>
    </w:p>
    <w:p>
      <w:pPr>
        <w:keepNext w:val="0"/>
        <w:keepLines w:val="0"/>
        <w:pageBreakBefore w:val="0"/>
        <w:kinsoku/>
        <w:overflowPunct/>
        <w:topLinePunct w:val="0"/>
        <w:autoSpaceDE/>
        <w:autoSpaceDN/>
        <w:bidi w:val="0"/>
        <w:snapToGrid/>
        <w:spacing w:line="570" w:lineRule="exact"/>
        <w:jc w:val="center"/>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kinsoku/>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1.《农业生产托管服务合同示范文本》为非强制性使用文本。</w:t>
      </w:r>
    </w:p>
    <w:p>
      <w:pPr>
        <w:keepNext w:val="0"/>
        <w:keepLines w:val="0"/>
        <w:pageBreakBefore w:val="0"/>
        <w:kinsoku/>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
          <w:bCs/>
          <w:color w:val="000000"/>
          <w:kern w:val="21"/>
          <w:sz w:val="32"/>
          <w:szCs w:val="32"/>
          <w:highlight w:val="none"/>
        </w:rPr>
        <w:sectPr>
          <w:footerReference r:id="rId5" w:type="default"/>
          <w:pgSz w:w="11906" w:h="16838"/>
          <w:pgMar w:top="2098" w:right="1474" w:bottom="1984" w:left="1587" w:header="851" w:footer="1417" w:gutter="0"/>
          <w:pgNumType w:fmt="numberInDash"/>
          <w:cols w:space="720" w:num="1"/>
          <w:rtlGutter w:val="0"/>
          <w:docGrid w:type="lines" w:linePitch="312" w:charSpace="0"/>
        </w:sectPr>
      </w:pPr>
      <w:r>
        <w:rPr>
          <w:rFonts w:hint="eastAsia" w:ascii="仿宋_GB2312" w:hAnsi="仿宋_GB2312" w:eastAsia="仿宋_GB2312" w:cs="仿宋_GB2312"/>
          <w:color w:val="000000"/>
          <w:kern w:val="21"/>
          <w:sz w:val="32"/>
          <w:szCs w:val="32"/>
          <w:highlight w:val="none"/>
        </w:rPr>
        <w:t>2.合同当事人可结合农业生产托管服务具体情况</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根据《农业生产托管服务合同示范文本》订立合同</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并按照法律法规规定和合同约定承担相应的法律责任及合同权利。</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甲方（接受服务方）：</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法定代表人及身份证号：</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 xml:space="preserve">地 </w:t>
      </w:r>
      <w:r>
        <w:rPr>
          <w:rFonts w:ascii="仿宋_GB2312" w:hAnsi="仿宋_GB2312" w:eastAsia="仿宋_GB2312" w:cs="仿宋_GB2312"/>
          <w:color w:val="000000"/>
          <w:kern w:val="21"/>
          <w:sz w:val="32"/>
          <w:szCs w:val="32"/>
          <w:highlight w:val="none"/>
        </w:rPr>
        <w:t xml:space="preserve">    </w:t>
      </w:r>
      <w:r>
        <w:rPr>
          <w:rFonts w:hint="eastAsia" w:ascii="仿宋_GB2312" w:hAnsi="仿宋_GB2312" w:eastAsia="仿宋_GB2312" w:cs="仿宋_GB2312"/>
          <w:color w:val="000000"/>
          <w:kern w:val="21"/>
          <w:sz w:val="32"/>
          <w:szCs w:val="32"/>
          <w:highlight w:val="none"/>
        </w:rPr>
        <w:t>址：</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r>
        <w:rPr>
          <w:rFonts w:hint="eastAsia" w:ascii="仿宋_GB2312" w:hAnsi="仿宋_GB2312" w:eastAsia="仿宋_GB2312" w:cs="仿宋_GB2312"/>
          <w:color w:val="000000"/>
          <w:kern w:val="21"/>
          <w:sz w:val="32"/>
          <w:szCs w:val="32"/>
          <w:highlight w:val="none"/>
        </w:rPr>
        <w:t>联系方式：</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r>
        <w:rPr>
          <w:rFonts w:hint="eastAsia" w:ascii="仿宋_GB2312" w:hAnsi="仿宋_GB2312" w:eastAsia="仿宋_GB2312" w:cs="仿宋_GB2312"/>
          <w:color w:val="000000"/>
          <w:kern w:val="21"/>
          <w:sz w:val="32"/>
          <w:szCs w:val="32"/>
          <w:highlight w:val="none"/>
        </w:rPr>
        <w:t>乙方（提供服务方）：</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tabs>
          <w:tab w:val="left" w:pos="6946"/>
        </w:tabs>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r>
        <w:rPr>
          <w:rFonts w:hint="eastAsia" w:ascii="仿宋_GB2312" w:hAnsi="仿宋_GB2312" w:eastAsia="仿宋_GB2312" w:cs="仿宋_GB2312"/>
          <w:color w:val="000000"/>
          <w:kern w:val="21"/>
          <w:sz w:val="32"/>
          <w:szCs w:val="32"/>
          <w:highlight w:val="none"/>
        </w:rPr>
        <w:t>法定代表人及身份证号：</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 xml:space="preserve">地 </w:t>
      </w:r>
      <w:r>
        <w:rPr>
          <w:rFonts w:ascii="仿宋_GB2312" w:hAnsi="仿宋_GB2312" w:eastAsia="仿宋_GB2312" w:cs="仿宋_GB2312"/>
          <w:color w:val="000000"/>
          <w:kern w:val="21"/>
          <w:sz w:val="32"/>
          <w:szCs w:val="32"/>
          <w:highlight w:val="none"/>
        </w:rPr>
        <w:t xml:space="preserve">    </w:t>
      </w:r>
      <w:r>
        <w:rPr>
          <w:rFonts w:hint="eastAsia" w:ascii="仿宋_GB2312" w:hAnsi="仿宋_GB2312" w:eastAsia="仿宋_GB2312" w:cs="仿宋_GB2312"/>
          <w:color w:val="000000"/>
          <w:kern w:val="21"/>
          <w:sz w:val="32"/>
          <w:szCs w:val="32"/>
          <w:highlight w:val="none"/>
        </w:rPr>
        <w:t>址：</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r>
        <w:rPr>
          <w:rFonts w:hint="eastAsia" w:ascii="仿宋_GB2312" w:hAnsi="仿宋_GB2312" w:eastAsia="仿宋_GB2312" w:cs="仿宋_GB2312"/>
          <w:color w:val="000000"/>
          <w:kern w:val="21"/>
          <w:sz w:val="32"/>
          <w:szCs w:val="32"/>
          <w:highlight w:val="none"/>
        </w:rPr>
        <w:t>联系方式：</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p>
    <w:p>
      <w:pPr>
        <w:keepNext w:val="0"/>
        <w:keepLines w:val="0"/>
        <w:pageBreakBefore w:val="0"/>
        <w:kinsoku/>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u w:val="single"/>
        </w:rPr>
      </w:pPr>
    </w:p>
    <w:p>
      <w:pPr>
        <w:keepNext w:val="0"/>
        <w:keepLines w:val="0"/>
        <w:pageBreakBefore w:val="0"/>
        <w:kinsoku/>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根据有关法律法规及政策规定</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甲乙双方本着平等、自愿、有偿的原则</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就农业生产托管服务有关事项协商一致</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订立本合同。</w:t>
      </w:r>
    </w:p>
    <w:p>
      <w:pPr>
        <w:keepNext w:val="0"/>
        <w:keepLines w:val="0"/>
        <w:pageBreakBefore w:val="0"/>
        <w:kinsoku/>
        <w:overflowPunct/>
        <w:topLinePunct w:val="0"/>
        <w:autoSpaceDE/>
        <w:autoSpaceDN/>
        <w:bidi w:val="0"/>
        <w:snapToGrid/>
        <w:spacing w:line="570" w:lineRule="exact"/>
        <w:ind w:firstLine="640" w:firstLineChars="200"/>
        <w:textAlignment w:val="auto"/>
        <w:rPr>
          <w:rFonts w:hint="eastAsia"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第一条 </w:t>
      </w:r>
      <w:r>
        <w:rPr>
          <w:rFonts w:ascii="黑体" w:hAnsi="黑体" w:eastAsia="黑体" w:cs="黑体"/>
          <w:color w:val="000000"/>
          <w:kern w:val="21"/>
          <w:sz w:val="32"/>
          <w:szCs w:val="32"/>
          <w:highlight w:val="none"/>
        </w:rPr>
        <w:t xml:space="preserve"> </w:t>
      </w:r>
      <w:r>
        <w:rPr>
          <w:rFonts w:hint="eastAsia" w:ascii="黑体" w:hAnsi="黑体" w:eastAsia="黑体" w:cs="黑体"/>
          <w:color w:val="000000"/>
          <w:kern w:val="21"/>
          <w:sz w:val="32"/>
          <w:szCs w:val="32"/>
          <w:highlight w:val="none"/>
        </w:rPr>
        <w:t>服务内容</w:t>
      </w:r>
    </w:p>
    <w:p>
      <w:pPr>
        <w:keepNext w:val="0"/>
        <w:keepLines w:val="0"/>
        <w:pageBreakBefore w:val="0"/>
        <w:widowControl/>
        <w:kinsoku/>
        <w:overflowPunct/>
        <w:topLinePunct w:val="0"/>
        <w:autoSpaceDE/>
        <w:autoSpaceDN/>
        <w:bidi w:val="0"/>
        <w:snapToGrid/>
        <w:spacing w:line="570" w:lineRule="exact"/>
        <w:ind w:firstLine="648" w:firstLineChars="200"/>
        <w:textAlignment w:val="auto"/>
        <w:rPr>
          <w:rFonts w:hint="eastAsia" w:ascii="仿宋_GB2312" w:hAnsi="仿宋_GB2312" w:eastAsia="仿宋_GB2312" w:cs="仿宋_GB2312"/>
          <w:color w:val="000000"/>
          <w:spacing w:val="2"/>
          <w:kern w:val="21"/>
          <w:sz w:val="32"/>
          <w:szCs w:val="32"/>
          <w:highlight w:val="none"/>
        </w:rPr>
      </w:pPr>
      <w:r>
        <w:rPr>
          <w:rFonts w:hint="eastAsia" w:ascii="仿宋_GB2312" w:hAnsi="仿宋_GB2312" w:eastAsia="仿宋_GB2312" w:cs="仿宋_GB2312"/>
          <w:color w:val="000000"/>
          <w:spacing w:val="2"/>
          <w:kern w:val="21"/>
          <w:sz w:val="32"/>
          <w:szCs w:val="32"/>
          <w:highlight w:val="none"/>
        </w:rPr>
        <w:t>甲方将</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u w:val="single"/>
          <w:lang w:val="en-US" w:eastAsia="zh-CN"/>
        </w:rPr>
        <w:t xml:space="preserve"> </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县（市、区）</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乡（镇、街道）</w:t>
      </w:r>
      <w:r>
        <w:rPr>
          <w:rFonts w:hint="eastAsia" w:ascii="仿宋_GB2312" w:hAnsi="仿宋_GB2312" w:eastAsia="仿宋_GB2312" w:cs="仿宋_GB2312"/>
          <w:color w:val="000000"/>
          <w:spacing w:val="2"/>
          <w:kern w:val="21"/>
          <w:sz w:val="32"/>
          <w:szCs w:val="32"/>
          <w:highlight w:val="none"/>
          <w:u w:val="single"/>
        </w:rPr>
        <w:t xml:space="preserve">     </w:t>
      </w:r>
      <w:r>
        <w:rPr>
          <w:rFonts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村（社区）</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村民小组（居民小组）的</w:t>
      </w:r>
      <w:r>
        <w:rPr>
          <w:rFonts w:hint="eastAsia" w:ascii="仿宋_GB2312" w:hAnsi="仿宋_GB2312" w:eastAsia="仿宋_GB2312" w:cs="仿宋_GB2312"/>
          <w:color w:val="000000"/>
          <w:spacing w:val="2"/>
          <w:kern w:val="21"/>
          <w:sz w:val="32"/>
          <w:szCs w:val="32"/>
          <w:highlight w:val="none"/>
          <w:u w:val="single"/>
        </w:rPr>
        <w:t xml:space="preserve"> </w:t>
      </w:r>
      <w:r>
        <w:rPr>
          <w:rFonts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u w:val="single"/>
          <w:lang w:val="en-US" w:eastAsia="zh-CN"/>
        </w:rPr>
        <w:t xml:space="preserve">   </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亩</w:t>
      </w:r>
      <w:r>
        <w:rPr>
          <w:rFonts w:hint="eastAsia" w:ascii="仿宋_GB2312" w:hAnsi="仿宋_GB2312" w:eastAsia="仿宋_GB2312" w:cs="仿宋_GB2312"/>
          <w:color w:val="000000"/>
          <w:spacing w:val="2"/>
          <w:kern w:val="21"/>
          <w:sz w:val="32"/>
          <w:szCs w:val="32"/>
          <w:highlight w:val="none"/>
          <w:u w:val="single"/>
        </w:rPr>
        <w:t xml:space="preserve">    </w:t>
      </w:r>
      <w:r>
        <w:rPr>
          <w:rFonts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（作物</w:t>
      </w:r>
      <w:r>
        <w:rPr>
          <w:rFonts w:hint="eastAsia" w:ascii="仿宋_GB2312" w:hAnsi="仿宋_GB2312" w:eastAsia="仿宋_GB2312" w:cs="仿宋_GB2312"/>
          <w:color w:val="000000"/>
          <w:spacing w:val="2"/>
          <w:kern w:val="21"/>
          <w:sz w:val="32"/>
          <w:szCs w:val="32"/>
          <w:highlight w:val="none"/>
          <w:lang w:eastAsia="zh-CN"/>
        </w:rPr>
        <w:t>，</w:t>
      </w:r>
      <w:r>
        <w:rPr>
          <w:rFonts w:hint="eastAsia" w:ascii="仿宋_GB2312" w:hAnsi="仿宋_GB2312" w:eastAsia="仿宋_GB2312" w:cs="仿宋_GB2312"/>
          <w:color w:val="000000"/>
          <w:spacing w:val="2"/>
          <w:kern w:val="21"/>
          <w:sz w:val="32"/>
          <w:szCs w:val="32"/>
          <w:highlight w:val="none"/>
        </w:rPr>
        <w:t>如：水稻、玉米、茶叶等）的</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u w:val="single"/>
          <w:lang w:val="en-US" w:eastAsia="zh-CN"/>
        </w:rPr>
        <w:t xml:space="preserve"> </w:t>
      </w:r>
      <w:r>
        <w:rPr>
          <w:rFonts w:hint="eastAsia" w:ascii="仿宋_GB2312" w:hAnsi="仿宋_GB2312" w:eastAsia="仿宋_GB2312" w:cs="仿宋_GB2312"/>
          <w:color w:val="000000"/>
          <w:spacing w:val="2"/>
          <w:kern w:val="21"/>
          <w:sz w:val="32"/>
          <w:szCs w:val="32"/>
          <w:highlight w:val="none"/>
          <w:u w:val="single"/>
        </w:rPr>
        <w:t xml:space="preserve">   </w:t>
      </w:r>
      <w:r>
        <w:rPr>
          <w:rFonts w:hint="eastAsia" w:ascii="仿宋_GB2312" w:hAnsi="仿宋_GB2312" w:eastAsia="仿宋_GB2312" w:cs="仿宋_GB2312"/>
          <w:color w:val="000000"/>
          <w:spacing w:val="2"/>
          <w:kern w:val="21"/>
          <w:sz w:val="32"/>
          <w:szCs w:val="32"/>
          <w:highlight w:val="none"/>
        </w:rPr>
        <w:t>（如：生产资料供应、耕种防收等农机作业、烘干仓储或全程种植技术解决方案）委托给乙方开展生产托管服务。（甲方如托管两个地块以上作物的</w:t>
      </w:r>
      <w:r>
        <w:rPr>
          <w:rFonts w:hint="eastAsia" w:ascii="仿宋_GB2312" w:hAnsi="仿宋_GB2312" w:eastAsia="仿宋_GB2312" w:cs="仿宋_GB2312"/>
          <w:color w:val="000000"/>
          <w:spacing w:val="2"/>
          <w:kern w:val="21"/>
          <w:sz w:val="32"/>
          <w:szCs w:val="32"/>
          <w:highlight w:val="none"/>
          <w:lang w:eastAsia="zh-CN"/>
        </w:rPr>
        <w:t>，</w:t>
      </w:r>
      <w:r>
        <w:rPr>
          <w:rFonts w:hint="eastAsia" w:ascii="仿宋_GB2312" w:hAnsi="仿宋_GB2312" w:eastAsia="仿宋_GB2312" w:cs="仿宋_GB2312"/>
          <w:color w:val="000000"/>
          <w:spacing w:val="2"/>
          <w:kern w:val="21"/>
          <w:sz w:val="32"/>
          <w:szCs w:val="32"/>
          <w:highlight w:val="none"/>
        </w:rPr>
        <w:t>可按本款格式补充。）</w:t>
      </w:r>
    </w:p>
    <w:p>
      <w:pPr>
        <w:keepNext w:val="0"/>
        <w:keepLines w:val="0"/>
        <w:pageBreakBefore w:val="0"/>
        <w:kinsoku/>
        <w:overflowPunct/>
        <w:topLinePunct w:val="0"/>
        <w:autoSpaceDE/>
        <w:autoSpaceDN/>
        <w:bidi w:val="0"/>
        <w:snapToGrid/>
        <w:spacing w:line="570" w:lineRule="exact"/>
        <w:ind w:firstLine="640" w:firstLineChars="200"/>
        <w:textAlignment w:val="auto"/>
        <w:rPr>
          <w:rFonts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第二条 </w:t>
      </w:r>
      <w:r>
        <w:rPr>
          <w:rFonts w:ascii="黑体" w:hAnsi="黑体" w:eastAsia="黑体" w:cs="黑体"/>
          <w:color w:val="000000"/>
          <w:kern w:val="21"/>
          <w:sz w:val="32"/>
          <w:szCs w:val="32"/>
          <w:highlight w:val="none"/>
        </w:rPr>
        <w:t xml:space="preserve"> </w:t>
      </w:r>
      <w:r>
        <w:rPr>
          <w:rFonts w:hint="eastAsia" w:ascii="黑体" w:hAnsi="黑体" w:eastAsia="黑体" w:cs="黑体"/>
          <w:color w:val="000000"/>
          <w:kern w:val="21"/>
          <w:sz w:val="32"/>
          <w:szCs w:val="32"/>
          <w:highlight w:val="none"/>
        </w:rPr>
        <w:t>服务标准</w:t>
      </w:r>
    </w:p>
    <w:p>
      <w:pPr>
        <w:keepNext w:val="0"/>
        <w:keepLines w:val="0"/>
        <w:pageBreakBefore w:val="0"/>
        <w:kinsoku/>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甲乙双方就服务的技术标准、质量标准等协商达成约定</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作为本合同附件</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与本合同具有同等法律效力。【甲乙双方可参照《农业生产托管服务标准指引》（附后）</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就服务事项协商约定相关标准并附于本合同之后。】</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
          <w:color w:val="000000"/>
          <w:kern w:val="21"/>
          <w:sz w:val="32"/>
          <w:szCs w:val="32"/>
          <w:highlight w:val="none"/>
        </w:rPr>
      </w:pPr>
      <w:r>
        <w:rPr>
          <w:rFonts w:hint="eastAsia" w:ascii="黑体" w:hAnsi="黑体" w:eastAsia="黑体" w:cs="黑体"/>
          <w:color w:val="000000"/>
          <w:kern w:val="21"/>
          <w:sz w:val="32"/>
          <w:szCs w:val="32"/>
          <w:highlight w:val="none"/>
        </w:rPr>
        <w:t>第三条  服务期限</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乙方根据农时需要和生产技术要求</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在</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年</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月</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日至</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年</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月</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日期间完成甲方委托的</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作物</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环节的生产托管服务。（如乙方提供的生产托管服务需在不同时间内进行</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甲乙双方可根据实际情况分项约定具体服务时间。）</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黑体" w:hAnsi="黑体" w:eastAsia="黑体" w:cs="黑体"/>
          <w:color w:val="000000"/>
          <w:kern w:val="21"/>
          <w:sz w:val="32"/>
          <w:szCs w:val="32"/>
          <w:highlight w:val="none"/>
        </w:rPr>
        <w:t xml:space="preserve">第四条 </w:t>
      </w:r>
      <w:r>
        <w:rPr>
          <w:rFonts w:ascii="黑体" w:hAnsi="黑体" w:eastAsia="黑体" w:cs="黑体"/>
          <w:color w:val="000000"/>
          <w:kern w:val="21"/>
          <w:sz w:val="32"/>
          <w:szCs w:val="32"/>
          <w:highlight w:val="none"/>
        </w:rPr>
        <w:t xml:space="preserve"> </w:t>
      </w:r>
      <w:r>
        <w:rPr>
          <w:rFonts w:hint="eastAsia" w:ascii="黑体" w:hAnsi="黑体" w:eastAsia="黑体" w:cs="黑体"/>
          <w:color w:val="000000"/>
          <w:kern w:val="21"/>
          <w:sz w:val="32"/>
          <w:szCs w:val="32"/>
          <w:highlight w:val="none"/>
        </w:rPr>
        <w:t>服务费用</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乙方为甲方提供的生产托管服务价格为人民币</w:t>
      </w:r>
      <w:r>
        <w:rPr>
          <w:rFonts w:hint="eastAsia" w:ascii="仿宋_GB2312" w:hAnsi="仿宋_GB2312" w:eastAsia="仿宋_GB2312" w:cs="仿宋_GB2312"/>
          <w:color w:val="000000"/>
          <w:kern w:val="21"/>
          <w:sz w:val="32"/>
          <w:szCs w:val="32"/>
          <w:highlight w:val="none"/>
          <w:u w:val="single"/>
        </w:rPr>
        <w:t xml:space="preserve">   </w:t>
      </w:r>
      <w:r>
        <w:rPr>
          <w:rFonts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元/亩</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服务面积</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亩</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lang w:val="en-US" w:eastAsia="zh-CN"/>
        </w:rPr>
        <w:t>具体面积以定位数据为准</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总费用人民币</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元（大写：</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u w:val="single"/>
          <w:lang w:val="en-US" w:eastAsia="zh-CN"/>
        </w:rPr>
        <w:t xml:space="preserve">     </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）。（如乙方提供的服务无法按照上述方式计算服务费用</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甲乙双方可根据实际服务过程中的具体情况协商约定服务费用。）</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第五条 </w:t>
      </w:r>
      <w:r>
        <w:rPr>
          <w:rFonts w:ascii="黑体" w:hAnsi="黑体" w:eastAsia="黑体" w:cs="黑体"/>
          <w:color w:val="000000"/>
          <w:kern w:val="21"/>
          <w:sz w:val="32"/>
          <w:szCs w:val="32"/>
          <w:highlight w:val="none"/>
        </w:rPr>
        <w:t xml:space="preserve"> </w:t>
      </w:r>
      <w:r>
        <w:rPr>
          <w:rFonts w:hint="eastAsia" w:ascii="黑体" w:hAnsi="黑体" w:eastAsia="黑体" w:cs="黑体"/>
          <w:color w:val="000000"/>
          <w:kern w:val="21"/>
          <w:sz w:val="32"/>
          <w:szCs w:val="32"/>
          <w:highlight w:val="none"/>
        </w:rPr>
        <w:t>支付方式</w:t>
      </w:r>
    </w:p>
    <w:p>
      <w:pPr>
        <w:keepNext w:val="0"/>
        <w:keepLines w:val="0"/>
        <w:pageBreakBefore w:val="0"/>
        <w:kinsoku/>
        <w:wordWrap w:val="0"/>
        <w:overflowPunct/>
        <w:topLinePunct w:val="0"/>
        <w:autoSpaceDE/>
        <w:autoSpaceDN/>
        <w:bidi w:val="0"/>
        <w:snapToGrid/>
        <w:spacing w:line="570" w:lineRule="exact"/>
        <w:ind w:firstLine="624" w:firstLineChars="200"/>
        <w:textAlignment w:val="auto"/>
        <w:rPr>
          <w:rFonts w:hint="eastAsia" w:ascii="仿宋_GB2312" w:hAnsi="仿宋_GB2312" w:eastAsia="仿宋_GB2312" w:cs="仿宋_GB2312"/>
          <w:color w:val="000000"/>
          <w:spacing w:val="-4"/>
          <w:kern w:val="21"/>
          <w:sz w:val="32"/>
          <w:szCs w:val="32"/>
          <w:highlight w:val="none"/>
        </w:rPr>
      </w:pPr>
      <w:r>
        <w:rPr>
          <w:rFonts w:hint="eastAsia" w:ascii="仿宋_GB2312" w:hAnsi="仿宋_GB2312" w:eastAsia="仿宋_GB2312" w:cs="仿宋_GB2312"/>
          <w:color w:val="000000"/>
          <w:spacing w:val="-4"/>
          <w:kern w:val="21"/>
          <w:sz w:val="32"/>
          <w:szCs w:val="32"/>
          <w:highlight w:val="none"/>
        </w:rPr>
        <w:t>甲方于本合同签订当日</w:t>
      </w:r>
      <w:r>
        <w:rPr>
          <w:rFonts w:hint="eastAsia" w:ascii="仿宋_GB2312" w:hAnsi="仿宋_GB2312" w:eastAsia="仿宋_GB2312" w:cs="仿宋_GB2312"/>
          <w:color w:val="000000"/>
          <w:spacing w:val="-4"/>
          <w:kern w:val="21"/>
          <w:sz w:val="32"/>
          <w:szCs w:val="32"/>
          <w:highlight w:val="none"/>
          <w:lang w:eastAsia="zh-CN"/>
        </w:rPr>
        <w:t>，</w:t>
      </w:r>
      <w:r>
        <w:rPr>
          <w:rFonts w:hint="eastAsia" w:ascii="仿宋_GB2312" w:hAnsi="仿宋_GB2312" w:eastAsia="仿宋_GB2312" w:cs="仿宋_GB2312"/>
          <w:color w:val="000000"/>
          <w:spacing w:val="-4"/>
          <w:kern w:val="21"/>
          <w:sz w:val="32"/>
          <w:szCs w:val="32"/>
          <w:highlight w:val="none"/>
        </w:rPr>
        <w:t>支付乙方服务费用总额的百分之</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（小写：</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%）计人民币</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元（大写：</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u w:val="single"/>
          <w:lang w:val="en-US" w:eastAsia="zh-CN"/>
        </w:rPr>
        <w:t xml:space="preserve">   </w:t>
      </w:r>
      <w:r>
        <w:rPr>
          <w:rFonts w:hint="eastAsia" w:ascii="仿宋_GB2312" w:hAnsi="仿宋_GB2312" w:eastAsia="仿宋_GB2312" w:cs="仿宋_GB2312"/>
          <w:color w:val="000000"/>
          <w:spacing w:val="-4"/>
          <w:kern w:val="21"/>
          <w:sz w:val="32"/>
          <w:szCs w:val="32"/>
          <w:highlight w:val="none"/>
          <w:u w:val="single"/>
        </w:rPr>
        <w:t xml:space="preserve">  </w:t>
      </w:r>
      <w:r>
        <w:rPr>
          <w:rFonts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）作为订金。乙方所有服务完毕并经甲方验收合格后</w:t>
      </w:r>
      <w:r>
        <w:rPr>
          <w:rFonts w:hint="eastAsia" w:ascii="仿宋_GB2312" w:hAnsi="仿宋_GB2312" w:eastAsia="仿宋_GB2312" w:cs="仿宋_GB2312"/>
          <w:color w:val="000000"/>
          <w:spacing w:val="-4"/>
          <w:kern w:val="21"/>
          <w:sz w:val="32"/>
          <w:szCs w:val="32"/>
          <w:highlight w:val="none"/>
          <w:lang w:eastAsia="zh-CN"/>
        </w:rPr>
        <w:t>，</w:t>
      </w:r>
      <w:r>
        <w:rPr>
          <w:rFonts w:hint="eastAsia" w:ascii="仿宋_GB2312" w:hAnsi="仿宋_GB2312" w:eastAsia="仿宋_GB2312" w:cs="仿宋_GB2312"/>
          <w:color w:val="000000"/>
          <w:spacing w:val="-4"/>
          <w:kern w:val="21"/>
          <w:sz w:val="32"/>
          <w:szCs w:val="32"/>
          <w:highlight w:val="none"/>
        </w:rPr>
        <w:t>甲方于</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日内支付乙方剩余服务费用人民币</w:t>
      </w:r>
      <w:r>
        <w:rPr>
          <w:rFonts w:hint="eastAsia" w:ascii="仿宋_GB2312" w:hAnsi="仿宋_GB2312" w:eastAsia="仿宋_GB2312" w:cs="仿宋_GB2312"/>
          <w:color w:val="000000"/>
          <w:spacing w:val="-4"/>
          <w:kern w:val="21"/>
          <w:sz w:val="32"/>
          <w:szCs w:val="32"/>
          <w:highlight w:val="none"/>
          <w:u w:val="single"/>
        </w:rPr>
        <w:t xml:space="preserve">      </w:t>
      </w:r>
      <w:r>
        <w:rPr>
          <w:rFonts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元（大写：</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u w:val="single"/>
          <w:lang w:val="en-US" w:eastAsia="zh-CN"/>
        </w:rPr>
        <w:t xml:space="preserve">   </w:t>
      </w:r>
      <w:r>
        <w:rPr>
          <w:rFonts w:hint="eastAsia" w:ascii="仿宋_GB2312" w:hAnsi="仿宋_GB2312" w:eastAsia="仿宋_GB2312" w:cs="仿宋_GB2312"/>
          <w:color w:val="000000"/>
          <w:spacing w:val="-4"/>
          <w:kern w:val="21"/>
          <w:sz w:val="32"/>
          <w:szCs w:val="32"/>
          <w:highlight w:val="none"/>
          <w:u w:val="single"/>
        </w:rPr>
        <w:t xml:space="preserve">          </w:t>
      </w:r>
      <w:r>
        <w:rPr>
          <w:rFonts w:hint="eastAsia" w:ascii="仿宋_GB2312" w:hAnsi="仿宋_GB2312" w:eastAsia="仿宋_GB2312" w:cs="仿宋_GB2312"/>
          <w:color w:val="000000"/>
          <w:spacing w:val="-4"/>
          <w:kern w:val="21"/>
          <w:sz w:val="32"/>
          <w:szCs w:val="32"/>
          <w:highlight w:val="none"/>
        </w:rPr>
        <w:t>）。（甲乙双方可约定签订合同之日支付全部服务费用</w:t>
      </w:r>
      <w:r>
        <w:rPr>
          <w:rFonts w:hint="eastAsia" w:ascii="仿宋_GB2312" w:hAnsi="仿宋_GB2312" w:eastAsia="仿宋_GB2312" w:cs="仿宋_GB2312"/>
          <w:color w:val="000000"/>
          <w:spacing w:val="-4"/>
          <w:kern w:val="21"/>
          <w:sz w:val="32"/>
          <w:szCs w:val="32"/>
          <w:highlight w:val="none"/>
          <w:lang w:eastAsia="zh-CN"/>
        </w:rPr>
        <w:t>，</w:t>
      </w:r>
      <w:r>
        <w:rPr>
          <w:rFonts w:hint="eastAsia" w:ascii="仿宋_GB2312" w:hAnsi="仿宋_GB2312" w:eastAsia="仿宋_GB2312" w:cs="仿宋_GB2312"/>
          <w:color w:val="000000"/>
          <w:spacing w:val="-4"/>
          <w:kern w:val="21"/>
          <w:sz w:val="32"/>
          <w:szCs w:val="32"/>
          <w:highlight w:val="none"/>
        </w:rPr>
        <w:t>或约定完成生产托管服务后一次性支付全部服务费用</w:t>
      </w:r>
      <w:r>
        <w:rPr>
          <w:rFonts w:hint="eastAsia" w:ascii="仿宋_GB2312" w:hAnsi="仿宋_GB2312" w:eastAsia="仿宋_GB2312" w:cs="仿宋_GB2312"/>
          <w:color w:val="000000"/>
          <w:spacing w:val="-4"/>
          <w:kern w:val="21"/>
          <w:sz w:val="32"/>
          <w:szCs w:val="32"/>
          <w:highlight w:val="none"/>
          <w:lang w:eastAsia="zh-CN"/>
        </w:rPr>
        <w:t>，</w:t>
      </w:r>
      <w:r>
        <w:rPr>
          <w:rFonts w:hint="eastAsia" w:ascii="仿宋_GB2312" w:hAnsi="仿宋_GB2312" w:eastAsia="仿宋_GB2312" w:cs="仿宋_GB2312"/>
          <w:color w:val="000000"/>
          <w:spacing w:val="-4"/>
          <w:kern w:val="21"/>
          <w:sz w:val="32"/>
          <w:szCs w:val="32"/>
          <w:highlight w:val="none"/>
        </w:rPr>
        <w:t>或约定从甲方委托乙方销售农业收益中扣除服务费用。）</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黑体" w:hAnsi="黑体" w:eastAsia="黑体" w:cs="黑体"/>
          <w:color w:val="000000"/>
          <w:kern w:val="21"/>
          <w:sz w:val="32"/>
          <w:szCs w:val="32"/>
          <w:highlight w:val="none"/>
        </w:rPr>
        <w:t xml:space="preserve">第六条 </w:t>
      </w:r>
      <w:r>
        <w:rPr>
          <w:rFonts w:ascii="黑体" w:hAnsi="黑体" w:eastAsia="黑体" w:cs="黑体"/>
          <w:color w:val="000000"/>
          <w:kern w:val="21"/>
          <w:sz w:val="32"/>
          <w:szCs w:val="32"/>
          <w:highlight w:val="none"/>
        </w:rPr>
        <w:t xml:space="preserve"> </w:t>
      </w:r>
      <w:r>
        <w:rPr>
          <w:rFonts w:hint="eastAsia" w:ascii="黑体" w:hAnsi="黑体" w:eastAsia="黑体" w:cs="黑体"/>
          <w:color w:val="000000"/>
          <w:kern w:val="21"/>
          <w:sz w:val="32"/>
          <w:szCs w:val="32"/>
          <w:highlight w:val="none"/>
        </w:rPr>
        <w:t>甲乙双方的权利和义务</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楷体_GB2312" w:hAnsi="仿宋_GB2312" w:eastAsia="楷体_GB2312" w:cs="仿宋_GB2312"/>
          <w:color w:val="000000"/>
          <w:kern w:val="21"/>
          <w:sz w:val="32"/>
          <w:szCs w:val="32"/>
          <w:highlight w:val="none"/>
        </w:rPr>
      </w:pPr>
      <w:r>
        <w:rPr>
          <w:rFonts w:hint="eastAsia" w:ascii="楷体_GB2312" w:hAnsi="仿宋_GB2312" w:eastAsia="楷体_GB2312" w:cs="仿宋_GB2312"/>
          <w:color w:val="000000"/>
          <w:kern w:val="21"/>
          <w:sz w:val="32"/>
          <w:szCs w:val="32"/>
          <w:highlight w:val="none"/>
        </w:rPr>
        <w:t>（一）甲方的权利和义务</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1.托管服务期间始终享有对托管地块的承包经营权</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托管地块产出品归甲方所有。</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2.按照合同约定接受乙方提供的生产托管服务</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要求乙方按照《农业生产托管服务标准指引》约定标准开展服务。对乙方服务进行监督和评价</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验收服务成果。</w:t>
      </w:r>
    </w:p>
    <w:p>
      <w:pPr>
        <w:keepNext w:val="0"/>
        <w:keepLines w:val="0"/>
        <w:pageBreakBefore w:val="0"/>
        <w:kinsoku/>
        <w:wordWrap w:val="0"/>
        <w:overflowPunct/>
        <w:topLinePunct w:val="0"/>
        <w:autoSpaceDE/>
        <w:autoSpaceDN/>
        <w:bidi w:val="0"/>
        <w:snapToGrid/>
        <w:spacing w:line="570" w:lineRule="exact"/>
        <w:ind w:firstLine="656" w:firstLineChars="200"/>
        <w:textAlignment w:val="auto"/>
        <w:rPr>
          <w:rFonts w:hint="eastAsia" w:ascii="仿宋_GB2312" w:hAnsi="仿宋_GB2312" w:eastAsia="仿宋_GB2312" w:cs="仿宋_GB2312"/>
          <w:color w:val="000000"/>
          <w:spacing w:val="4"/>
          <w:kern w:val="21"/>
          <w:sz w:val="32"/>
          <w:szCs w:val="32"/>
          <w:highlight w:val="none"/>
        </w:rPr>
      </w:pPr>
      <w:r>
        <w:rPr>
          <w:rFonts w:hint="eastAsia" w:ascii="仿宋_GB2312" w:hAnsi="仿宋_GB2312" w:eastAsia="仿宋_GB2312" w:cs="仿宋_GB2312"/>
          <w:color w:val="000000"/>
          <w:spacing w:val="4"/>
          <w:kern w:val="21"/>
          <w:sz w:val="32"/>
          <w:szCs w:val="32"/>
          <w:highlight w:val="none"/>
        </w:rPr>
        <w:t>3.有权阻止乙方实施破坏农用地和其他农业资源的行为。若因乙方故意或过失破坏托管地块种植条件、给土地造成严重损害或者严重破坏土地生态环境的</w:t>
      </w:r>
      <w:r>
        <w:rPr>
          <w:rFonts w:hint="eastAsia" w:ascii="仿宋_GB2312" w:hAnsi="仿宋_GB2312" w:eastAsia="仿宋_GB2312" w:cs="仿宋_GB2312"/>
          <w:color w:val="000000"/>
          <w:spacing w:val="4"/>
          <w:kern w:val="21"/>
          <w:sz w:val="32"/>
          <w:szCs w:val="32"/>
          <w:highlight w:val="none"/>
          <w:lang w:eastAsia="zh-CN"/>
        </w:rPr>
        <w:t>，</w:t>
      </w:r>
      <w:r>
        <w:rPr>
          <w:rFonts w:hint="eastAsia" w:ascii="仿宋_GB2312" w:hAnsi="仿宋_GB2312" w:eastAsia="仿宋_GB2312" w:cs="仿宋_GB2312"/>
          <w:color w:val="000000"/>
          <w:spacing w:val="4"/>
          <w:kern w:val="21"/>
          <w:sz w:val="32"/>
          <w:szCs w:val="32"/>
          <w:highlight w:val="none"/>
        </w:rPr>
        <w:t>有权要求乙方赔偿由此造成的损失。</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4.为乙方开展生产托管服务提供必要条件。（甲乙双方可根据实际情况约定甲方应提供必要条件的具体内容和时间。）</w:t>
      </w:r>
    </w:p>
    <w:p>
      <w:pPr>
        <w:keepNext w:val="0"/>
        <w:keepLines w:val="0"/>
        <w:pageBreakBefore w:val="0"/>
        <w:kinsoku/>
        <w:wordWrap w:val="0"/>
        <w:overflowPunct/>
        <w:topLinePunct w:val="0"/>
        <w:autoSpaceDE/>
        <w:autoSpaceDN/>
        <w:bidi w:val="0"/>
        <w:snapToGrid/>
        <w:spacing w:line="570" w:lineRule="exact"/>
        <w:ind w:firstLine="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5.法律、法规、规章和政策所规定的其他权利和义务。</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
          <w:color w:val="000000"/>
          <w:kern w:val="21"/>
          <w:sz w:val="32"/>
          <w:szCs w:val="32"/>
          <w:highlight w:val="none"/>
        </w:rPr>
      </w:pPr>
      <w:r>
        <w:rPr>
          <w:rFonts w:hint="eastAsia" w:ascii="楷体_GB2312" w:hAnsi="仿宋_GB2312" w:eastAsia="楷体_GB2312" w:cs="仿宋_GB2312"/>
          <w:color w:val="000000"/>
          <w:kern w:val="21"/>
          <w:sz w:val="32"/>
          <w:szCs w:val="32"/>
          <w:highlight w:val="none"/>
        </w:rPr>
        <w:t>（二）乙方的权利和义务</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1.要求甲方在约定时间内提供必要的作业条件</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并对服务结果进行验收。</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2.按照合同约定为甲方提供符合《农业生产托管服务标准指引》要求的生产托管服务</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并向甲方解读服务内容。</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3.法律、法规、规章和政策所规定的其他权利和义务。</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第七条 </w:t>
      </w:r>
      <w:r>
        <w:rPr>
          <w:rFonts w:hint="eastAsia" w:ascii="黑体" w:hAnsi="黑体" w:eastAsia="黑体" w:cs="黑体"/>
          <w:color w:val="000000"/>
          <w:kern w:val="21"/>
          <w:sz w:val="32"/>
          <w:szCs w:val="32"/>
          <w:highlight w:val="none"/>
          <w:lang w:val="en-US" w:eastAsia="zh-CN"/>
        </w:rPr>
        <w:t xml:space="preserve"> </w:t>
      </w:r>
      <w:r>
        <w:rPr>
          <w:rFonts w:hint="eastAsia" w:ascii="黑体" w:hAnsi="黑体" w:eastAsia="黑体" w:cs="黑体"/>
          <w:color w:val="000000"/>
          <w:kern w:val="21"/>
          <w:sz w:val="32"/>
          <w:szCs w:val="32"/>
          <w:highlight w:val="none"/>
        </w:rPr>
        <w:t>违约责任</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（一）甲方逾期未支付服务费用的</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从逾期之日起每日按应支付服务费用总额的百分之</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（小写：</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%）向乙方支付违约金</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 xml:space="preserve">但不超过应付服务费用总额的百分之五十。   </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（二）乙方未按本合同约定提供服务</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造成甲方损失的</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应予以赔偿</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具体赔偿金额和方式双方协商确定。</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（三）任何一方违约所造成的损失</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均由违约方负责赔偿。</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（四）因不可抗力等重大因素导致本合同无法履行的</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双方可以协商解除本合同</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双方均不承担违约责任。</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第八条 </w:t>
      </w:r>
      <w:r>
        <w:rPr>
          <w:rFonts w:hint="eastAsia" w:ascii="黑体" w:hAnsi="黑体" w:eastAsia="黑体" w:cs="黑体"/>
          <w:color w:val="000000"/>
          <w:kern w:val="21"/>
          <w:sz w:val="32"/>
          <w:szCs w:val="32"/>
          <w:highlight w:val="none"/>
          <w:lang w:val="en-US" w:eastAsia="zh-CN"/>
        </w:rPr>
        <w:t xml:space="preserve"> </w:t>
      </w:r>
      <w:r>
        <w:rPr>
          <w:rFonts w:hint="eastAsia" w:ascii="黑体" w:hAnsi="黑体" w:eastAsia="黑体" w:cs="黑体"/>
          <w:color w:val="000000"/>
          <w:kern w:val="21"/>
          <w:sz w:val="32"/>
          <w:szCs w:val="32"/>
          <w:highlight w:val="none"/>
        </w:rPr>
        <w:t>争议处理</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甲乙双方发生争议</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应协商解决。如协商不成</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可以向服务所在地农业行政主管部门申请调解</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也可以向服务所在地人民法院提起诉讼。</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黑体" w:hAnsi="黑体" w:eastAsia="黑体" w:cs="黑体"/>
          <w:color w:val="000000"/>
          <w:kern w:val="21"/>
          <w:sz w:val="32"/>
          <w:szCs w:val="32"/>
          <w:highlight w:val="none"/>
        </w:rPr>
      </w:pPr>
      <w:r>
        <w:rPr>
          <w:rFonts w:hint="eastAsia" w:ascii="黑体" w:hAnsi="黑体" w:eastAsia="黑体" w:cs="黑体"/>
          <w:color w:val="000000"/>
          <w:kern w:val="21"/>
          <w:sz w:val="32"/>
          <w:szCs w:val="32"/>
          <w:highlight w:val="none"/>
        </w:rPr>
        <w:t xml:space="preserve">第九条 </w:t>
      </w:r>
      <w:r>
        <w:rPr>
          <w:rFonts w:hint="eastAsia" w:ascii="黑体" w:hAnsi="黑体" w:eastAsia="黑体" w:cs="黑体"/>
          <w:color w:val="000000"/>
          <w:kern w:val="21"/>
          <w:sz w:val="32"/>
          <w:szCs w:val="32"/>
          <w:highlight w:val="none"/>
          <w:lang w:val="en-US" w:eastAsia="zh-CN"/>
        </w:rPr>
        <w:t xml:space="preserve"> </w:t>
      </w:r>
      <w:r>
        <w:rPr>
          <w:rFonts w:hint="eastAsia" w:ascii="黑体" w:hAnsi="黑体" w:eastAsia="黑体" w:cs="黑体"/>
          <w:color w:val="000000"/>
          <w:kern w:val="21"/>
          <w:sz w:val="32"/>
          <w:szCs w:val="32"/>
          <w:highlight w:val="none"/>
        </w:rPr>
        <w:t>其他约定事项</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（一）本合同自甲乙双方签字之日起生效。</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（二）未尽或须调整事宜经甲乙双方协商一致可签订补充协议</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补充协议与本合同具有同等法律效力。补充协议与本合同不一致的</w:t>
      </w:r>
      <w:r>
        <w:rPr>
          <w:rFonts w:hint="eastAsia" w:ascii="仿宋_GB2312" w:hAnsi="仿宋_GB2312" w:eastAsia="仿宋_GB2312" w:cs="仿宋_GB2312"/>
          <w:color w:val="000000"/>
          <w:kern w:val="21"/>
          <w:sz w:val="32"/>
          <w:szCs w:val="32"/>
          <w:highlight w:val="none"/>
          <w:lang w:eastAsia="zh-CN"/>
        </w:rPr>
        <w:t>，</w:t>
      </w:r>
      <w:r>
        <w:rPr>
          <w:rFonts w:hint="eastAsia" w:ascii="仿宋_GB2312" w:hAnsi="仿宋_GB2312" w:eastAsia="仿宋_GB2312" w:cs="仿宋_GB2312"/>
          <w:color w:val="000000"/>
          <w:kern w:val="21"/>
          <w:sz w:val="32"/>
          <w:szCs w:val="32"/>
          <w:highlight w:val="none"/>
        </w:rPr>
        <w:t>以补充协议为准。</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（三）服务所在地村委会或村集体经济组织可对甲乙双方的托管服务关系予以指导和监督。</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（四）本合同（包括附件《农业生产托管服务标准指引》）</w:t>
      </w:r>
      <w:r>
        <w:rPr>
          <w:rFonts w:hint="eastAsia" w:ascii="仿宋_GB2312" w:hAnsi="仿宋_GB2312" w:eastAsia="仿宋_GB2312" w:cs="仿宋_GB2312"/>
          <w:color w:val="000000"/>
          <w:spacing w:val="-11"/>
          <w:kern w:val="21"/>
          <w:sz w:val="32"/>
          <w:szCs w:val="32"/>
          <w:highlight w:val="none"/>
        </w:rPr>
        <w:t>一式</w:t>
      </w:r>
      <w:r>
        <w:rPr>
          <w:rFonts w:hint="eastAsia" w:ascii="仿宋_GB2312" w:hAnsi="仿宋_GB2312" w:eastAsia="仿宋_GB2312" w:cs="仿宋_GB2312"/>
          <w:color w:val="000000"/>
          <w:spacing w:val="-11"/>
          <w:kern w:val="21"/>
          <w:sz w:val="32"/>
          <w:szCs w:val="32"/>
          <w:highlight w:val="none"/>
          <w:lang w:val="en-US" w:eastAsia="zh-CN"/>
        </w:rPr>
        <w:t>三</w:t>
      </w:r>
      <w:r>
        <w:rPr>
          <w:rFonts w:hint="eastAsia" w:ascii="仿宋_GB2312" w:hAnsi="仿宋_GB2312" w:eastAsia="仿宋_GB2312" w:cs="仿宋_GB2312"/>
          <w:color w:val="000000"/>
          <w:spacing w:val="-11"/>
          <w:kern w:val="21"/>
          <w:sz w:val="32"/>
          <w:szCs w:val="32"/>
          <w:highlight w:val="none"/>
        </w:rPr>
        <w:t>份</w:t>
      </w:r>
      <w:r>
        <w:rPr>
          <w:rFonts w:hint="eastAsia" w:ascii="仿宋_GB2312" w:hAnsi="仿宋_GB2312" w:eastAsia="仿宋_GB2312" w:cs="仿宋_GB2312"/>
          <w:color w:val="000000"/>
          <w:spacing w:val="-11"/>
          <w:kern w:val="21"/>
          <w:sz w:val="32"/>
          <w:szCs w:val="32"/>
          <w:highlight w:val="none"/>
          <w:lang w:eastAsia="zh-CN"/>
        </w:rPr>
        <w:t>，</w:t>
      </w:r>
      <w:r>
        <w:rPr>
          <w:rFonts w:hint="eastAsia" w:ascii="仿宋_GB2312" w:hAnsi="仿宋_GB2312" w:eastAsia="仿宋_GB2312" w:cs="仿宋_GB2312"/>
          <w:color w:val="000000"/>
          <w:spacing w:val="-11"/>
          <w:kern w:val="21"/>
          <w:sz w:val="32"/>
          <w:szCs w:val="32"/>
          <w:highlight w:val="none"/>
        </w:rPr>
        <w:t>甲乙双方各持一份</w:t>
      </w:r>
      <w:r>
        <w:rPr>
          <w:rFonts w:hint="eastAsia" w:ascii="仿宋_GB2312" w:hAnsi="仿宋_GB2312" w:eastAsia="仿宋_GB2312" w:cs="仿宋_GB2312"/>
          <w:color w:val="000000"/>
          <w:spacing w:val="-11"/>
          <w:kern w:val="21"/>
          <w:sz w:val="32"/>
          <w:szCs w:val="32"/>
          <w:highlight w:val="none"/>
          <w:lang w:eastAsia="zh-CN"/>
        </w:rPr>
        <w:t>，</w:t>
      </w:r>
      <w:r>
        <w:rPr>
          <w:rFonts w:hint="eastAsia" w:ascii="仿宋_GB2312" w:hAnsi="仿宋_GB2312" w:eastAsia="仿宋_GB2312" w:cs="仿宋_GB2312"/>
          <w:color w:val="000000"/>
          <w:spacing w:val="-11"/>
          <w:kern w:val="21"/>
          <w:sz w:val="32"/>
          <w:szCs w:val="32"/>
          <w:highlight w:val="none"/>
          <w:lang w:val="en-US" w:eastAsia="zh-CN"/>
        </w:rPr>
        <w:t>乡镇存档一份，</w:t>
      </w:r>
      <w:r>
        <w:rPr>
          <w:rFonts w:hint="eastAsia" w:ascii="仿宋_GB2312" w:hAnsi="仿宋_GB2312" w:eastAsia="仿宋_GB2312" w:cs="仿宋_GB2312"/>
          <w:color w:val="000000"/>
          <w:spacing w:val="-11"/>
          <w:kern w:val="21"/>
          <w:sz w:val="32"/>
          <w:szCs w:val="32"/>
          <w:highlight w:val="none"/>
        </w:rPr>
        <w:t>具有同等法律效力。</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u w:val="single"/>
        </w:rPr>
      </w:pPr>
      <w:r>
        <w:rPr>
          <w:rFonts w:hint="eastAsia" w:ascii="仿宋_GB2312" w:hAnsi="仿宋_GB2312" w:eastAsia="仿宋_GB2312" w:cs="仿宋_GB2312"/>
          <w:color w:val="000000"/>
          <w:kern w:val="21"/>
          <w:sz w:val="32"/>
          <w:szCs w:val="32"/>
          <w:highlight w:val="none"/>
        </w:rPr>
        <w:t>（五）其他约定事宜：</w:t>
      </w:r>
      <w:r>
        <w:rPr>
          <w:rFonts w:hint="eastAsia" w:ascii="仿宋_GB2312" w:hAnsi="仿宋_GB2312" w:eastAsia="仿宋_GB2312" w:cs="仿宋_GB2312"/>
          <w:color w:val="000000"/>
          <w:kern w:val="21"/>
          <w:sz w:val="32"/>
          <w:szCs w:val="32"/>
          <w:highlight w:val="none"/>
          <w:u w:val="single"/>
        </w:rPr>
        <w:t xml:space="preserve">                            </w:t>
      </w:r>
      <w:r>
        <w:rPr>
          <w:rFonts w:hint="eastAsia" w:ascii="仿宋_GB2312" w:hAnsi="仿宋_GB2312" w:eastAsia="仿宋_GB2312" w:cs="仿宋_GB2312"/>
          <w:color w:val="000000"/>
          <w:kern w:val="21"/>
          <w:sz w:val="32"/>
          <w:szCs w:val="32"/>
          <w:highlight w:val="none"/>
        </w:rPr>
        <w:t>。</w:t>
      </w:r>
    </w:p>
    <w:p>
      <w:pPr>
        <w:keepNext w:val="0"/>
        <w:keepLines w:val="0"/>
        <w:pageBreakBefore w:val="0"/>
        <w:kinsoku/>
        <w:wordWrap w:val="0"/>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pPr>
      <w:r>
        <w:rPr>
          <w:rFonts w:hint="eastAsia" w:ascii="仿宋_GB2312" w:hAnsi="仿宋_GB2312" w:eastAsia="仿宋_GB2312" w:cs="仿宋_GB2312"/>
          <w:color w:val="000000"/>
          <w:kern w:val="21"/>
          <w:sz w:val="32"/>
          <w:szCs w:val="32"/>
          <w:highlight w:val="none"/>
        </w:rPr>
        <w:t>附件：农业生产托管服务标准指引</w:t>
      </w:r>
    </w:p>
    <w:p>
      <w:pPr>
        <w:keepNext w:val="0"/>
        <w:keepLines w:val="0"/>
        <w:pageBreakBefore w:val="0"/>
        <w:kinsoku/>
        <w:wordWrap w:val="0"/>
        <w:overflowPunct/>
        <w:topLinePunct w:val="0"/>
        <w:autoSpaceDE/>
        <w:autoSpaceDN/>
        <w:bidi w:val="0"/>
        <w:snapToGrid/>
        <w:spacing w:line="570" w:lineRule="exact"/>
        <w:textAlignment w:val="auto"/>
        <w:rPr>
          <w:rFonts w:hint="eastAsia" w:ascii="仿宋_GB2312" w:hAnsi="仿宋_GB2312" w:eastAsia="仿宋_GB2312" w:cs="仿宋_GB2312"/>
          <w:color w:val="000000"/>
          <w:kern w:val="21"/>
          <w:sz w:val="32"/>
          <w:szCs w:val="32"/>
          <w:highlight w:val="none"/>
        </w:rPr>
      </w:pP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甲方（签字或盖章）：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bCs/>
          <w:color w:val="000000"/>
          <w:sz w:val="32"/>
          <w:szCs w:val="32"/>
          <w:highlight w:val="none"/>
        </w:rPr>
      </w:pP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sz w:val="32"/>
          <w:szCs w:val="32"/>
          <w:highlight w:val="none"/>
          <w:u w:val="single"/>
        </w:rPr>
      </w:pPr>
      <w:r>
        <w:rPr>
          <w:rFonts w:hint="eastAsia" w:ascii="仿宋_GB2312" w:hAnsi="仿宋_GB2312" w:eastAsia="仿宋_GB2312" w:cs="仿宋_GB2312"/>
          <w:bCs/>
          <w:color w:val="000000"/>
          <w:sz w:val="32"/>
          <w:szCs w:val="32"/>
          <w:highlight w:val="none"/>
        </w:rPr>
        <w:t>乙方（签字或盖章）：</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single"/>
        </w:rPr>
        <w:t xml:space="preserve">    </w:t>
      </w:r>
    </w:p>
    <w:p>
      <w:pPr>
        <w:keepNext w:val="0"/>
        <w:keepLines w:val="0"/>
        <w:pageBreakBefore w:val="0"/>
        <w:kinsoku/>
        <w:wordWrap w:val="0"/>
        <w:overflowPunct/>
        <w:topLinePunct w:val="0"/>
        <w:autoSpaceDE/>
        <w:autoSpaceDN/>
        <w:bidi w:val="0"/>
        <w:snapToGrid/>
        <w:spacing w:line="570" w:lineRule="exact"/>
        <w:ind w:firstLine="640" w:firstLineChars="200"/>
        <w:textAlignment w:val="auto"/>
        <w:rPr>
          <w:rFonts w:hint="eastAsia" w:ascii="仿宋_GB2312" w:hAnsi="仿宋_GB2312" w:eastAsia="仿宋_GB2312" w:cs="仿宋_GB2312"/>
          <w:color w:val="000000"/>
          <w:kern w:val="21"/>
          <w:sz w:val="32"/>
          <w:szCs w:val="32"/>
          <w:highlight w:val="none"/>
        </w:rPr>
        <w:sectPr>
          <w:pgSz w:w="11906" w:h="16838"/>
          <w:pgMar w:top="2098" w:right="1474" w:bottom="1984" w:left="1587" w:header="851" w:footer="1417" w:gutter="0"/>
          <w:pgNumType w:fmt="numberInDash"/>
          <w:cols w:space="720" w:num="1"/>
          <w:rtlGutter w:val="0"/>
          <w:docGrid w:type="lines" w:linePitch="312" w:charSpace="0"/>
        </w:sectPr>
      </w:pPr>
      <w:r>
        <w:rPr>
          <w:rFonts w:hint="eastAsia" w:ascii="仿宋_GB2312" w:hAnsi="仿宋_GB2312" w:eastAsia="仿宋_GB2312" w:cs="仿宋_GB2312"/>
          <w:bCs/>
          <w:color w:val="000000"/>
          <w:sz w:val="32"/>
          <w:szCs w:val="32"/>
          <w:highlight w:val="none"/>
        </w:rPr>
        <w:t>时    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年</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月</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u w:val="single"/>
          <w:lang w:val="en-US" w:eastAsia="zh-CN"/>
        </w:rPr>
        <w:t xml:space="preserve"> </w:t>
      </w:r>
      <w:r>
        <w:rPr>
          <w:rFonts w:hint="eastAsia" w:ascii="仿宋_GB2312" w:hAnsi="仿宋_GB2312" w:eastAsia="仿宋_GB2312" w:cs="仿宋_GB2312"/>
          <w:bCs/>
          <w:color w:val="000000"/>
          <w:sz w:val="32"/>
          <w:szCs w:val="32"/>
          <w:highlight w:val="none"/>
          <w:u w:val="single"/>
        </w:rPr>
        <w:t xml:space="preserve"> </w:t>
      </w:r>
      <w:r>
        <w:rPr>
          <w:rFonts w:hint="eastAsia" w:ascii="仿宋_GB2312" w:hAnsi="仿宋_GB2312" w:eastAsia="仿宋_GB2312" w:cs="仿宋_GB2312"/>
          <w:bCs/>
          <w:color w:val="000000"/>
          <w:sz w:val="32"/>
          <w:szCs w:val="32"/>
          <w:highlight w:val="none"/>
        </w:rPr>
        <w:t>日</w:t>
      </w:r>
    </w:p>
    <w:tbl>
      <w:tblPr>
        <w:tblStyle w:val="5"/>
        <w:tblW w:w="14401" w:type="dxa"/>
        <w:jc w:val="center"/>
        <w:tblLayout w:type="fixed"/>
        <w:tblCellMar>
          <w:top w:w="0" w:type="dxa"/>
          <w:left w:w="0" w:type="dxa"/>
          <w:bottom w:w="0" w:type="dxa"/>
          <w:right w:w="0" w:type="dxa"/>
        </w:tblCellMar>
      </w:tblPr>
      <w:tblGrid>
        <w:gridCol w:w="1562"/>
        <w:gridCol w:w="738"/>
        <w:gridCol w:w="1611"/>
        <w:gridCol w:w="4369"/>
        <w:gridCol w:w="6121"/>
      </w:tblGrid>
      <w:tr>
        <w:tblPrEx>
          <w:tblCellMar>
            <w:top w:w="0" w:type="dxa"/>
            <w:left w:w="0" w:type="dxa"/>
            <w:bottom w:w="0" w:type="dxa"/>
            <w:right w:w="0" w:type="dxa"/>
          </w:tblCellMar>
        </w:tblPrEx>
        <w:trPr>
          <w:trHeight w:val="523" w:hRule="atLeast"/>
          <w:tblHeader/>
          <w:jc w:val="center"/>
        </w:trPr>
        <w:tc>
          <w:tcPr>
            <w:tcW w:w="156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黑体"/>
                <w:b/>
                <w:bCs/>
                <w:color w:val="000000"/>
                <w:kern w:val="2"/>
                <w:sz w:val="22"/>
                <w:szCs w:val="24"/>
                <w:highlight w:val="none"/>
                <w:lang w:val="en-US" w:eastAsia="zh-CN" w:bidi="ar-SA"/>
              </w:rPr>
            </w:pPr>
            <w:r>
              <w:rPr>
                <w:rFonts w:hint="eastAsia" w:ascii="宋体" w:hAnsi="宋体" w:cs="黑体"/>
                <w:b/>
                <w:bCs/>
                <w:color w:val="000000"/>
                <w:kern w:val="0"/>
                <w:sz w:val="22"/>
                <w:highlight w:val="none"/>
                <w:lang w:bidi="ar"/>
              </w:rPr>
              <w:t>托管服务事项</w:t>
            </w:r>
          </w:p>
        </w:tc>
        <w:tc>
          <w:tcPr>
            <w:tcW w:w="2349"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黑体"/>
                <w:b/>
                <w:bCs/>
                <w:color w:val="000000"/>
                <w:kern w:val="2"/>
                <w:sz w:val="22"/>
                <w:szCs w:val="24"/>
                <w:highlight w:val="none"/>
                <w:lang w:val="en-US" w:eastAsia="zh-CN" w:bidi="ar-SA"/>
              </w:rPr>
            </w:pPr>
            <w:r>
              <w:rPr>
                <w:rFonts w:hint="eastAsia" w:ascii="宋体" w:hAnsi="宋体" w:cs="黑体"/>
                <w:b/>
                <w:bCs/>
                <w:color w:val="000000"/>
                <w:kern w:val="0"/>
                <w:sz w:val="22"/>
                <w:highlight w:val="none"/>
                <w:lang w:bidi="ar"/>
              </w:rPr>
              <w:t>具体内容</w:t>
            </w:r>
          </w:p>
        </w:tc>
        <w:tc>
          <w:tcPr>
            <w:tcW w:w="43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黑体"/>
                <w:b/>
                <w:bCs/>
                <w:color w:val="000000"/>
                <w:kern w:val="2"/>
                <w:sz w:val="22"/>
                <w:szCs w:val="24"/>
                <w:highlight w:val="none"/>
                <w:lang w:val="en-US" w:eastAsia="zh-CN" w:bidi="ar-SA"/>
              </w:rPr>
            </w:pPr>
            <w:r>
              <w:rPr>
                <w:rFonts w:hint="eastAsia" w:ascii="宋体" w:hAnsi="宋体" w:cs="黑体"/>
                <w:b/>
                <w:bCs/>
                <w:color w:val="000000"/>
                <w:kern w:val="0"/>
                <w:sz w:val="22"/>
                <w:highlight w:val="none"/>
                <w:lang w:bidi="ar"/>
              </w:rPr>
              <w:t>约定标准（由甲乙双方协商约定）</w:t>
            </w:r>
          </w:p>
        </w:tc>
        <w:tc>
          <w:tcPr>
            <w:tcW w:w="612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黑体"/>
                <w:b/>
                <w:bCs/>
                <w:color w:val="000000"/>
                <w:kern w:val="2"/>
                <w:sz w:val="22"/>
                <w:szCs w:val="24"/>
                <w:highlight w:val="none"/>
                <w:lang w:val="en-US" w:eastAsia="zh-CN" w:bidi="ar-SA"/>
              </w:rPr>
            </w:pPr>
            <w:r>
              <w:rPr>
                <w:rFonts w:hint="eastAsia" w:ascii="宋体" w:hAnsi="宋体" w:cs="黑体"/>
                <w:b/>
                <w:bCs/>
                <w:color w:val="000000"/>
                <w:kern w:val="0"/>
                <w:sz w:val="22"/>
                <w:highlight w:val="none"/>
                <w:lang w:bidi="ar"/>
              </w:rPr>
              <w:t>备注</w:t>
            </w:r>
          </w:p>
        </w:tc>
      </w:tr>
      <w:tr>
        <w:tblPrEx>
          <w:tblCellMar>
            <w:top w:w="0" w:type="dxa"/>
            <w:left w:w="0" w:type="dxa"/>
            <w:bottom w:w="0" w:type="dxa"/>
            <w:right w:w="0" w:type="dxa"/>
          </w:tblCellMar>
        </w:tblPrEx>
        <w:trPr>
          <w:trHeight w:val="365" w:hRule="atLeast"/>
          <w:jc w:val="center"/>
        </w:trPr>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备耕（生产</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r>
              <w:rPr>
                <w:rFonts w:hint="eastAsia" w:ascii="宋体" w:hAnsi="宋体" w:cs="楷体_GB2312"/>
                <w:b/>
                <w:color w:val="000000"/>
                <w:kern w:val="0"/>
                <w:sz w:val="22"/>
                <w:highlight w:val="none"/>
                <w:lang w:bidi="ar"/>
              </w:rPr>
              <w:t>计划制定和农资农机准备）</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备耕时间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甲乙双方可协商约定备耕时间范围。</w:t>
            </w:r>
          </w:p>
        </w:tc>
      </w:tr>
      <w:tr>
        <w:tblPrEx>
          <w:tblCellMar>
            <w:top w:w="0" w:type="dxa"/>
            <w:left w:w="0" w:type="dxa"/>
            <w:bottom w:w="0" w:type="dxa"/>
            <w:right w:w="0" w:type="dxa"/>
          </w:tblCellMar>
        </w:tblPrEx>
        <w:trPr>
          <w:trHeight w:val="1033"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农资采购</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根据托管规模制定年度生产计划</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列出种、肥、药等农资采购品种、单价、单位用量及配给方式</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同时注明农资采购完成时间。</w:t>
            </w:r>
          </w:p>
        </w:tc>
      </w:tr>
      <w:tr>
        <w:tblPrEx>
          <w:tblCellMar>
            <w:top w:w="0" w:type="dxa"/>
            <w:left w:w="0" w:type="dxa"/>
            <w:bottom w:w="0" w:type="dxa"/>
            <w:right w:w="0" w:type="dxa"/>
          </w:tblCellMar>
        </w:tblPrEx>
        <w:trPr>
          <w:trHeight w:val="23"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农机选用</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每个作业环节所用农机型号及作业能力</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同时注明农机保障完成时间。</w:t>
            </w:r>
          </w:p>
        </w:tc>
      </w:tr>
      <w:tr>
        <w:tblPrEx>
          <w:tblCellMar>
            <w:top w:w="0" w:type="dxa"/>
            <w:left w:w="0" w:type="dxa"/>
            <w:bottom w:w="0" w:type="dxa"/>
            <w:right w:w="0" w:type="dxa"/>
          </w:tblCellMar>
        </w:tblPrEx>
        <w:trPr>
          <w:trHeight w:val="390" w:hRule="atLeast"/>
          <w:jc w:val="center"/>
        </w:trPr>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23" w:hRule="atLeast"/>
          <w:jc w:val="center"/>
        </w:trPr>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耕整地</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作业模式</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根据当地耕作制度和生产实际</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列出主要耕整地模式</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如旋耕、深翻、深耕、免耕等方式。</w:t>
            </w:r>
          </w:p>
        </w:tc>
      </w:tr>
      <w:tr>
        <w:tblPrEx>
          <w:tblCellMar>
            <w:top w:w="0" w:type="dxa"/>
            <w:left w:w="0" w:type="dxa"/>
            <w:bottom w:w="0" w:type="dxa"/>
            <w:right w:w="0" w:type="dxa"/>
          </w:tblCellMar>
        </w:tblPrEx>
        <w:trPr>
          <w:trHeight w:val="445"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作业时间范围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根据农时</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列出耕整地作业起止时间范围及进度安排。</w:t>
            </w:r>
          </w:p>
        </w:tc>
      </w:tr>
      <w:tr>
        <w:tblPrEx>
          <w:tblCellMar>
            <w:top w:w="0" w:type="dxa"/>
            <w:left w:w="0" w:type="dxa"/>
            <w:bottom w:w="0" w:type="dxa"/>
            <w:right w:w="0" w:type="dxa"/>
          </w:tblCellMar>
        </w:tblPrEx>
        <w:trPr>
          <w:trHeight w:val="23"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作业技术要求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作业要求列出所采用机械的作业深度、作业幅宽、作业速度等技术指标。</w:t>
            </w:r>
          </w:p>
        </w:tc>
      </w:tr>
      <w:tr>
        <w:tblPrEx>
          <w:tblCellMar>
            <w:top w:w="0" w:type="dxa"/>
            <w:left w:w="0" w:type="dxa"/>
            <w:bottom w:w="0" w:type="dxa"/>
            <w:right w:w="0" w:type="dxa"/>
          </w:tblCellMar>
        </w:tblPrEx>
        <w:trPr>
          <w:trHeight w:val="412"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作业质量</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说明各个作业环节可达到的作业效果。</w:t>
            </w:r>
          </w:p>
        </w:tc>
      </w:tr>
      <w:tr>
        <w:tblPrEx>
          <w:tblCellMar>
            <w:top w:w="0" w:type="dxa"/>
            <w:left w:w="0" w:type="dxa"/>
            <w:bottom w:w="0" w:type="dxa"/>
            <w:right w:w="0" w:type="dxa"/>
          </w:tblCellMar>
        </w:tblPrEx>
        <w:trPr>
          <w:trHeight w:val="417" w:hRule="atLeast"/>
          <w:jc w:val="center"/>
        </w:trPr>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435" w:hRule="atLeast"/>
          <w:jc w:val="center"/>
        </w:trPr>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种子处理</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种子处理工艺</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如包衣等</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说明使用的药剂及其成份和用量。</w:t>
            </w:r>
          </w:p>
        </w:tc>
      </w:tr>
      <w:tr>
        <w:tblPrEx>
          <w:tblCellMar>
            <w:top w:w="0" w:type="dxa"/>
            <w:left w:w="0" w:type="dxa"/>
            <w:bottom w:w="0" w:type="dxa"/>
            <w:right w:w="0" w:type="dxa"/>
          </w:tblCellMar>
        </w:tblPrEx>
        <w:trPr>
          <w:trHeight w:val="415"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种子处理时间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根据农时</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说明种子处理时间范围和进度安排。</w:t>
            </w:r>
          </w:p>
        </w:tc>
      </w:tr>
      <w:tr>
        <w:tblPrEx>
          <w:tblCellMar>
            <w:top w:w="0" w:type="dxa"/>
            <w:left w:w="0" w:type="dxa"/>
            <w:bottom w:w="0" w:type="dxa"/>
            <w:right w:w="0" w:type="dxa"/>
          </w:tblCellMar>
        </w:tblPrEx>
        <w:trPr>
          <w:trHeight w:val="545"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种子处理要求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说明种子处理应达到的效果。</w:t>
            </w:r>
          </w:p>
        </w:tc>
      </w:tr>
      <w:tr>
        <w:tblPrEx>
          <w:tblCellMar>
            <w:top w:w="0" w:type="dxa"/>
            <w:left w:w="0" w:type="dxa"/>
            <w:bottom w:w="0" w:type="dxa"/>
            <w:right w:w="0" w:type="dxa"/>
          </w:tblCellMar>
        </w:tblPrEx>
        <w:trPr>
          <w:trHeight w:val="367" w:hRule="atLeast"/>
          <w:jc w:val="center"/>
        </w:trPr>
        <w:tc>
          <w:tcPr>
            <w:tcW w:w="156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784" w:hRule="atLeast"/>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种植</w:t>
            </w: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种植方式</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按种子品类、耕作制度、地块面积、土壤特性等综合选定不同种植方式。如免耕播种、常规播种、移栽等。</w:t>
            </w:r>
          </w:p>
        </w:tc>
      </w:tr>
      <w:tr>
        <w:tblPrEx>
          <w:tblCellMar>
            <w:top w:w="0" w:type="dxa"/>
            <w:left w:w="0" w:type="dxa"/>
            <w:bottom w:w="0" w:type="dxa"/>
            <w:right w:w="0" w:type="dxa"/>
          </w:tblCellMar>
        </w:tblPrEx>
        <w:trPr>
          <w:trHeight w:val="440" w:hRule="atLeast"/>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种植时间范围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根据农时</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注明作业起止时间范围和进度安排。</w:t>
            </w:r>
          </w:p>
        </w:tc>
      </w:tr>
      <w:tr>
        <w:tblPrEx>
          <w:tblCellMar>
            <w:top w:w="0" w:type="dxa"/>
            <w:left w:w="0" w:type="dxa"/>
            <w:bottom w:w="0" w:type="dxa"/>
            <w:right w:w="0" w:type="dxa"/>
          </w:tblCellMar>
        </w:tblPrEx>
        <w:trPr>
          <w:trHeight w:val="1295" w:hRule="atLeast"/>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种植</w:t>
            </w: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列出所采用机械的作业幅宽、速度、深度、行距、株距</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以及种、肥、药等农资使用量。非直播水田插秧在本环节说明。播种同时采用机械施底肥的</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列出机械作业方式（如侧施肥）、幅宽、速度、深度、种肥间距等特性并注明用肥品类品牌、施用方法和施肥量。</w:t>
            </w:r>
          </w:p>
        </w:tc>
      </w:tr>
      <w:tr>
        <w:tblPrEx>
          <w:tblCellMar>
            <w:top w:w="0" w:type="dxa"/>
            <w:left w:w="0" w:type="dxa"/>
            <w:bottom w:w="0" w:type="dxa"/>
            <w:right w:w="0" w:type="dxa"/>
          </w:tblCellMar>
        </w:tblPrEx>
        <w:trPr>
          <w:trHeight w:val="395" w:hRule="atLeast"/>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kern w:val="0"/>
                <w:sz w:val="22"/>
                <w:highlight w:val="none"/>
                <w:lang w:bidi="ar"/>
              </w:rPr>
              <w:t>作业</w:t>
            </w:r>
            <w:r>
              <w:rPr>
                <w:rFonts w:hint="eastAsia" w:ascii="宋体" w:hAnsi="宋体" w:cs="楷体_GB2312"/>
                <w:color w:val="000000"/>
                <w:sz w:val="22"/>
                <w:highlight w:val="none"/>
              </w:rPr>
              <w:t>效果</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说明可达到的作业效果。</w:t>
            </w:r>
          </w:p>
        </w:tc>
      </w:tr>
      <w:tr>
        <w:tblPrEx>
          <w:tblCellMar>
            <w:top w:w="0" w:type="dxa"/>
            <w:left w:w="0" w:type="dxa"/>
            <w:bottom w:w="0" w:type="dxa"/>
            <w:right w:w="0" w:type="dxa"/>
          </w:tblCellMar>
        </w:tblPrEx>
        <w:trPr>
          <w:trHeight w:val="320" w:hRule="atLeast"/>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390" w:hRule="atLeast"/>
          <w:jc w:val="center"/>
        </w:trPr>
        <w:tc>
          <w:tcPr>
            <w:tcW w:w="156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田间管理</w:t>
            </w:r>
          </w:p>
        </w:tc>
        <w:tc>
          <w:tcPr>
            <w:tcW w:w="738"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 xml:space="preserve">中耕 </w:t>
            </w:r>
            <w:r>
              <w:rPr>
                <w:rFonts w:ascii="宋体" w:hAnsi="宋体" w:cs="楷体_GB2312"/>
                <w:color w:val="000000"/>
                <w:sz w:val="22"/>
                <w:highlight w:val="none"/>
              </w:rPr>
              <w:t xml:space="preserve">  </w:t>
            </w:r>
            <w:r>
              <w:rPr>
                <w:rFonts w:hint="eastAsia" w:ascii="宋体" w:hAnsi="宋体" w:cs="楷体_GB2312"/>
                <w:color w:val="000000"/>
                <w:sz w:val="22"/>
                <w:highlight w:val="none"/>
              </w:rPr>
              <w:t>追肥</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时间范围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说明进行中耕追肥的时间范围。</w:t>
            </w:r>
          </w:p>
        </w:tc>
      </w:tr>
      <w:tr>
        <w:tblPrEx>
          <w:tblCellMar>
            <w:top w:w="0" w:type="dxa"/>
            <w:left w:w="0" w:type="dxa"/>
            <w:bottom w:w="0" w:type="dxa"/>
            <w:right w:w="0" w:type="dxa"/>
          </w:tblCellMar>
        </w:tblPrEx>
        <w:trPr>
          <w:trHeight w:val="936" w:hRule="atLeast"/>
          <w:jc w:val="center"/>
        </w:trPr>
        <w:tc>
          <w:tcPr>
            <w:tcW w:w="1562"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738"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根据农艺技术要求</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确定采用机械的作业幅宽、速度、深度等特性</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并注明用肥品类、施用方法和施肥量。水田不进行中耕</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但不同生育期需肥量、品类和施用方法要注明。</w:t>
            </w:r>
          </w:p>
        </w:tc>
      </w:tr>
      <w:tr>
        <w:tblPrEx>
          <w:tblCellMar>
            <w:top w:w="0" w:type="dxa"/>
            <w:left w:w="0" w:type="dxa"/>
            <w:bottom w:w="0" w:type="dxa"/>
            <w:right w:w="0" w:type="dxa"/>
          </w:tblCellMar>
        </w:tblPrEx>
        <w:trPr>
          <w:trHeight w:val="700" w:hRule="atLeast"/>
          <w:jc w:val="center"/>
        </w:trPr>
        <w:tc>
          <w:tcPr>
            <w:tcW w:w="1562"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738"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作业效果</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说明中耕追肥需要达到的指标如耕深、培土厚度、精准施肥等。</w:t>
            </w:r>
          </w:p>
        </w:tc>
      </w:tr>
      <w:tr>
        <w:tblPrEx>
          <w:tblCellMar>
            <w:top w:w="0" w:type="dxa"/>
            <w:left w:w="0" w:type="dxa"/>
            <w:bottom w:w="0" w:type="dxa"/>
            <w:right w:w="0" w:type="dxa"/>
          </w:tblCellMar>
        </w:tblPrEx>
        <w:trPr>
          <w:trHeight w:val="400" w:hRule="atLeast"/>
          <w:jc w:val="center"/>
        </w:trPr>
        <w:tc>
          <w:tcPr>
            <w:tcW w:w="1562"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738"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kern w:val="0"/>
                <w:sz w:val="22"/>
                <w:highlight w:val="none"/>
                <w:lang w:bidi="ar"/>
              </w:rPr>
              <w:t>灌溉</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灌溉时间范围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说明灌溉的时间范围。</w:t>
            </w:r>
          </w:p>
        </w:tc>
      </w:tr>
      <w:tr>
        <w:tblPrEx>
          <w:tblCellMar>
            <w:top w:w="0" w:type="dxa"/>
            <w:left w:w="0" w:type="dxa"/>
            <w:bottom w:w="0" w:type="dxa"/>
            <w:right w:w="0" w:type="dxa"/>
          </w:tblCellMar>
        </w:tblPrEx>
        <w:trPr>
          <w:trHeight w:val="680" w:hRule="atLeast"/>
          <w:jc w:val="center"/>
        </w:trPr>
        <w:tc>
          <w:tcPr>
            <w:tcW w:w="1562"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738"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p>
        </w:tc>
        <w:tc>
          <w:tcPr>
            <w:tcW w:w="161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灌溉制度</w:t>
            </w:r>
          </w:p>
        </w:tc>
        <w:tc>
          <w:tcPr>
            <w:tcW w:w="43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按作物不同生育期需水量标准</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同时结合当地实际情况制定灌溉制度</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如采用水肥一体化技术。</w:t>
            </w:r>
          </w:p>
        </w:tc>
      </w:tr>
      <w:tr>
        <w:tblPrEx>
          <w:tblCellMar>
            <w:top w:w="0" w:type="dxa"/>
            <w:left w:w="0" w:type="dxa"/>
            <w:bottom w:w="0" w:type="dxa"/>
            <w:right w:w="0" w:type="dxa"/>
          </w:tblCellMar>
        </w:tblPrEx>
        <w:trPr>
          <w:trHeight w:val="710" w:hRule="atLeast"/>
          <w:jc w:val="center"/>
        </w:trPr>
        <w:tc>
          <w:tcPr>
            <w:tcW w:w="1562"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738"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灌溉</w:t>
            </w:r>
          </w:p>
        </w:tc>
        <w:tc>
          <w:tcPr>
            <w:tcW w:w="161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灌溉技术要求及作业效果</w:t>
            </w:r>
          </w:p>
        </w:tc>
        <w:tc>
          <w:tcPr>
            <w:tcW w:w="43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说明采用的灌溉技术要求</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如灌溉水源、灌溉量等。说明灌溉应达到什么效果。</w:t>
            </w:r>
          </w:p>
        </w:tc>
      </w:tr>
      <w:tr>
        <w:tblPrEx>
          <w:tblCellMar>
            <w:top w:w="0" w:type="dxa"/>
            <w:left w:w="0" w:type="dxa"/>
            <w:bottom w:w="0" w:type="dxa"/>
            <w:right w:w="0" w:type="dxa"/>
          </w:tblCellMar>
        </w:tblPrEx>
        <w:trPr>
          <w:trHeight w:val="1845" w:hRule="atLeast"/>
          <w:jc w:val="center"/>
        </w:trPr>
        <w:tc>
          <w:tcPr>
            <w:tcW w:w="1562"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738"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植保</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植保方案</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针对作物不同生育期易发生的病虫草害</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制定科学防治预案</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注明易爆发的时间范围、诱发环境和形成灾害的表现</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列出对应适用的“农业防治、生物防治、物理防治和化学防治”等防治措施</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包括相应的药剂施用方案、设备设施布置方案、天敌释放数量方案等。本部分难点在于灾害诊断</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各服务主体应有专业的技术人员（或聘任兼职专家）负责防治方案的制定和实施</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或将本项工作托管给专业的植保队伍。</w:t>
            </w:r>
          </w:p>
        </w:tc>
      </w:tr>
      <w:tr>
        <w:tblPrEx>
          <w:tblCellMar>
            <w:top w:w="0" w:type="dxa"/>
            <w:left w:w="0" w:type="dxa"/>
            <w:bottom w:w="0" w:type="dxa"/>
            <w:right w:w="0" w:type="dxa"/>
          </w:tblCellMar>
        </w:tblPrEx>
        <w:trPr>
          <w:trHeight w:val="435" w:hRule="atLeast"/>
          <w:jc w:val="center"/>
        </w:trPr>
        <w:tc>
          <w:tcPr>
            <w:tcW w:w="1562"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田间管理</w:t>
            </w:r>
          </w:p>
        </w:tc>
        <w:tc>
          <w:tcPr>
            <w:tcW w:w="73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植保</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植保作业机具</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列出植保方案中的作业机具</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如无人机、高地隙植保机等。</w:t>
            </w:r>
          </w:p>
        </w:tc>
      </w:tr>
      <w:tr>
        <w:tblPrEx>
          <w:tblCellMar>
            <w:top w:w="0" w:type="dxa"/>
            <w:left w:w="0" w:type="dxa"/>
            <w:bottom w:w="0" w:type="dxa"/>
            <w:right w:w="0" w:type="dxa"/>
          </w:tblCellMar>
        </w:tblPrEx>
        <w:trPr>
          <w:trHeight w:val="399"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73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植保作业效果</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说明植保作业的效果。</w:t>
            </w:r>
          </w:p>
        </w:tc>
      </w:tr>
      <w:tr>
        <w:tblPrEx>
          <w:tblCellMar>
            <w:top w:w="0" w:type="dxa"/>
            <w:left w:w="0" w:type="dxa"/>
            <w:bottom w:w="0" w:type="dxa"/>
            <w:right w:w="0" w:type="dxa"/>
          </w:tblCellMar>
        </w:tblPrEx>
        <w:trPr>
          <w:trHeight w:val="355" w:hRule="atLeast"/>
          <w:jc w:val="center"/>
        </w:trPr>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450" w:hRule="atLeast"/>
          <w:jc w:val="center"/>
        </w:trPr>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作物收获</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收获机机型</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按作物品种、收获物、地块面积和地形条件选择收割机机型。</w:t>
            </w:r>
          </w:p>
        </w:tc>
      </w:tr>
      <w:tr>
        <w:tblPrEx>
          <w:tblCellMar>
            <w:top w:w="0" w:type="dxa"/>
            <w:left w:w="0" w:type="dxa"/>
            <w:bottom w:w="0" w:type="dxa"/>
            <w:right w:w="0" w:type="dxa"/>
          </w:tblCellMar>
        </w:tblPrEx>
        <w:trPr>
          <w:trHeight w:val="600"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作业时间范围</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按作物成熟度、气象条件、土壤条件等作业条件要求</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确定收割时间及作业进度。</w:t>
            </w:r>
          </w:p>
        </w:tc>
      </w:tr>
      <w:tr>
        <w:tblPrEx>
          <w:tblCellMar>
            <w:top w:w="0" w:type="dxa"/>
            <w:left w:w="0" w:type="dxa"/>
            <w:bottom w:w="0" w:type="dxa"/>
            <w:right w:w="0" w:type="dxa"/>
          </w:tblCellMar>
        </w:tblPrEx>
        <w:trPr>
          <w:trHeight w:val="805"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列出所采用收割机的作业宽度、速度、秸秆切碎长度、割茬高度、籽粒损失率、果穗损失率、籽粒破碎率、秸秆抛撒不均匀率等作业特性。</w:t>
            </w:r>
          </w:p>
        </w:tc>
      </w:tr>
      <w:tr>
        <w:tblPrEx>
          <w:tblCellMar>
            <w:top w:w="0" w:type="dxa"/>
            <w:left w:w="0" w:type="dxa"/>
            <w:bottom w:w="0" w:type="dxa"/>
            <w:right w:w="0" w:type="dxa"/>
          </w:tblCellMar>
        </w:tblPrEx>
        <w:trPr>
          <w:trHeight w:val="502"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作业效果</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说明可达到的作业效果。</w:t>
            </w:r>
          </w:p>
        </w:tc>
      </w:tr>
      <w:tr>
        <w:tblPrEx>
          <w:tblCellMar>
            <w:top w:w="0" w:type="dxa"/>
            <w:left w:w="0" w:type="dxa"/>
            <w:bottom w:w="0" w:type="dxa"/>
            <w:right w:w="0" w:type="dxa"/>
          </w:tblCellMar>
        </w:tblPrEx>
        <w:trPr>
          <w:trHeight w:val="300" w:hRule="atLeast"/>
          <w:jc w:val="center"/>
        </w:trPr>
        <w:tc>
          <w:tcPr>
            <w:tcW w:w="156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555" w:hRule="atLeast"/>
          <w:jc w:val="center"/>
        </w:trPr>
        <w:tc>
          <w:tcPr>
            <w:tcW w:w="156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秸秆处理</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秸秆处理情况</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根据农业生产服务主体实际情况</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说明作物秸秆利用时间和利用情况</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包括秸秆离田、秸秆还田。</w:t>
            </w:r>
          </w:p>
        </w:tc>
      </w:tr>
      <w:tr>
        <w:tblPrEx>
          <w:tblCellMar>
            <w:top w:w="0" w:type="dxa"/>
            <w:left w:w="0" w:type="dxa"/>
            <w:bottom w:w="0" w:type="dxa"/>
            <w:right w:w="0" w:type="dxa"/>
          </w:tblCellMar>
        </w:tblPrEx>
        <w:trPr>
          <w:trHeight w:val="623"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秸秆离田农机具</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如果秸秆离田</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列出所用的打包机、制粒机、运输车辆、装卸搬运机械等机具的名称、型号、作业效率等。</w:t>
            </w:r>
          </w:p>
        </w:tc>
      </w:tr>
      <w:tr>
        <w:tblPrEx>
          <w:tblCellMar>
            <w:top w:w="0" w:type="dxa"/>
            <w:left w:w="0" w:type="dxa"/>
            <w:bottom w:w="0" w:type="dxa"/>
            <w:right w:w="0" w:type="dxa"/>
          </w:tblCellMar>
        </w:tblPrEx>
        <w:trPr>
          <w:trHeight w:val="688"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秸秆还田方式</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如果秸秆还田</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说明采用的还田方式</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如秸秆全量粉碎还田、秸秆覆盖还田、翻埋（压）还田等。</w:t>
            </w:r>
          </w:p>
        </w:tc>
      </w:tr>
      <w:tr>
        <w:tblPrEx>
          <w:tblCellMar>
            <w:top w:w="0" w:type="dxa"/>
            <w:left w:w="0" w:type="dxa"/>
            <w:bottom w:w="0" w:type="dxa"/>
            <w:right w:w="0" w:type="dxa"/>
          </w:tblCellMar>
        </w:tblPrEx>
        <w:trPr>
          <w:trHeight w:val="459" w:hRule="atLeast"/>
          <w:jc w:val="center"/>
        </w:trPr>
        <w:tc>
          <w:tcPr>
            <w:tcW w:w="1562" w:type="dxa"/>
            <w:vMerge w:val="continue"/>
            <w:tcBorders>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秸秆还田农机具</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列出所用机具的名称、型号、作业效率等。</w:t>
            </w:r>
          </w:p>
        </w:tc>
      </w:tr>
      <w:tr>
        <w:tblPrEx>
          <w:tblCellMar>
            <w:top w:w="0" w:type="dxa"/>
            <w:left w:w="0" w:type="dxa"/>
            <w:bottom w:w="0" w:type="dxa"/>
            <w:right w:w="0" w:type="dxa"/>
          </w:tblCellMar>
        </w:tblPrEx>
        <w:trPr>
          <w:trHeight w:val="319" w:hRule="atLeast"/>
          <w:jc w:val="center"/>
        </w:trPr>
        <w:tc>
          <w:tcPr>
            <w:tcW w:w="156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630" w:hRule="atLeast"/>
          <w:jc w:val="center"/>
        </w:trPr>
        <w:tc>
          <w:tcPr>
            <w:tcW w:w="1562"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烘干及仓储</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烘干标准及方式</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依据作物用途确定烘干时间、烘干标准和烘干方式</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如热风干燥、微波干燥等。</w:t>
            </w:r>
          </w:p>
        </w:tc>
      </w:tr>
      <w:tr>
        <w:tblPrEx>
          <w:tblCellMar>
            <w:top w:w="0" w:type="dxa"/>
            <w:left w:w="0" w:type="dxa"/>
            <w:bottom w:w="0" w:type="dxa"/>
            <w:right w:w="0" w:type="dxa"/>
          </w:tblCellMar>
        </w:tblPrEx>
        <w:trPr>
          <w:trHeight w:val="495" w:hRule="atLeast"/>
          <w:jc w:val="center"/>
        </w:trPr>
        <w:tc>
          <w:tcPr>
            <w:tcW w:w="156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烘干机</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列出采用的烘干机型号、烘干效率及达到的烘干质量。</w:t>
            </w:r>
          </w:p>
        </w:tc>
      </w:tr>
      <w:tr>
        <w:tblPrEx>
          <w:tblCellMar>
            <w:top w:w="0" w:type="dxa"/>
            <w:left w:w="0" w:type="dxa"/>
            <w:bottom w:w="0" w:type="dxa"/>
            <w:right w:w="0" w:type="dxa"/>
          </w:tblCellMar>
        </w:tblPrEx>
        <w:trPr>
          <w:trHeight w:val="740" w:hRule="atLeast"/>
          <w:jc w:val="center"/>
        </w:trPr>
        <w:tc>
          <w:tcPr>
            <w:tcW w:w="1562"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烘干及仓储</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仓储方式及要求</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sz w:val="22"/>
                <w:highlight w:val="none"/>
              </w:rPr>
            </w:pPr>
            <w:r>
              <w:rPr>
                <w:rFonts w:hint="eastAsia" w:ascii="宋体" w:hAnsi="宋体" w:cs="楷体_GB2312"/>
                <w:color w:val="000000"/>
                <w:kern w:val="0"/>
                <w:sz w:val="22"/>
                <w:highlight w:val="none"/>
                <w:lang w:bidi="ar"/>
              </w:rPr>
              <w:t>说明仓储时间和方式</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一般烘干结束后应将作物按品种分类仓储</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保证不混杂</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粮仓保持日常通风干燥</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有效保障作物品质。</w:t>
            </w:r>
          </w:p>
        </w:tc>
      </w:tr>
      <w:tr>
        <w:tblPrEx>
          <w:tblCellMar>
            <w:top w:w="0" w:type="dxa"/>
            <w:left w:w="0" w:type="dxa"/>
            <w:bottom w:w="0" w:type="dxa"/>
            <w:right w:w="0" w:type="dxa"/>
          </w:tblCellMar>
        </w:tblPrEx>
        <w:trPr>
          <w:trHeight w:val="465" w:hRule="atLeast"/>
          <w:jc w:val="center"/>
        </w:trPr>
        <w:tc>
          <w:tcPr>
            <w:tcW w:w="1562"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425" w:hRule="atLeast"/>
          <w:jc w:val="center"/>
        </w:trPr>
        <w:tc>
          <w:tcPr>
            <w:tcW w:w="1562"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销售</w:t>
            </w: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r>
              <w:rPr>
                <w:rFonts w:hint="eastAsia" w:ascii="宋体" w:hAnsi="宋体" w:cs="楷体_GB2312"/>
                <w:color w:val="000000"/>
                <w:kern w:val="0"/>
                <w:sz w:val="22"/>
                <w:highlight w:val="none"/>
                <w:lang w:bidi="ar"/>
              </w:rPr>
              <w:t>约定销售时间或销售价格等。</w:t>
            </w:r>
          </w:p>
        </w:tc>
      </w:tr>
      <w:tr>
        <w:tblPrEx>
          <w:tblCellMar>
            <w:top w:w="0" w:type="dxa"/>
            <w:left w:w="0" w:type="dxa"/>
            <w:bottom w:w="0" w:type="dxa"/>
            <w:right w:w="0" w:type="dxa"/>
          </w:tblCellMar>
        </w:tblPrEx>
        <w:trPr>
          <w:trHeight w:val="410" w:hRule="atLeast"/>
          <w:jc w:val="center"/>
        </w:trPr>
        <w:tc>
          <w:tcPr>
            <w:tcW w:w="1562"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440" w:hRule="atLeast"/>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sz w:val="22"/>
                <w:highlight w:val="none"/>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技术解决方案</w:t>
            </w: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r>
              <w:rPr>
                <w:rFonts w:hint="eastAsia" w:ascii="宋体" w:hAnsi="宋体" w:cs="楷体_GB2312"/>
                <w:color w:val="000000"/>
                <w:kern w:val="0"/>
                <w:sz w:val="22"/>
                <w:highlight w:val="none"/>
                <w:lang w:bidi="ar"/>
              </w:rPr>
              <w:t xml:space="preserve">水肥药托管方案或全程种植技术解决方案等。  </w:t>
            </w:r>
          </w:p>
        </w:tc>
      </w:tr>
      <w:tr>
        <w:tblPrEx>
          <w:tblCellMar>
            <w:top w:w="0" w:type="dxa"/>
            <w:left w:w="0" w:type="dxa"/>
            <w:bottom w:w="0" w:type="dxa"/>
            <w:right w:w="0" w:type="dxa"/>
          </w:tblCellMar>
        </w:tblPrEx>
        <w:trPr>
          <w:trHeight w:val="425" w:hRule="atLeast"/>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
                <w:color w:val="000000"/>
                <w:kern w:val="0"/>
                <w:sz w:val="22"/>
                <w:highlight w:val="none"/>
                <w:lang w:bidi="ar"/>
              </w:rPr>
            </w:pP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p>
        </w:tc>
      </w:tr>
      <w:tr>
        <w:tblPrEx>
          <w:tblCellMar>
            <w:top w:w="0" w:type="dxa"/>
            <w:left w:w="0" w:type="dxa"/>
            <w:bottom w:w="0" w:type="dxa"/>
            <w:right w:w="0" w:type="dxa"/>
          </w:tblCellMar>
        </w:tblPrEx>
        <w:trPr>
          <w:trHeight w:val="761" w:hRule="atLeast"/>
          <w:jc w:val="center"/>
        </w:trPr>
        <w:tc>
          <w:tcPr>
            <w:tcW w:w="1562"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楷体_GB2312"/>
                <w:bCs/>
                <w:color w:val="000000"/>
                <w:kern w:val="0"/>
                <w:sz w:val="22"/>
                <w:highlight w:val="none"/>
                <w:lang w:bidi="ar"/>
              </w:rPr>
            </w:pPr>
            <w:r>
              <w:rPr>
                <w:rFonts w:hint="eastAsia" w:ascii="宋体" w:hAnsi="宋体" w:cs="楷体_GB2312"/>
                <w:b/>
                <w:color w:val="000000"/>
                <w:kern w:val="0"/>
                <w:sz w:val="22"/>
                <w:highlight w:val="none"/>
                <w:lang w:bidi="ar"/>
              </w:rPr>
              <w:sym w:font="Wingdings 2" w:char="00A3"/>
            </w:r>
            <w:r>
              <w:rPr>
                <w:rFonts w:hint="eastAsia" w:ascii="宋体" w:hAnsi="宋体" w:cs="楷体_GB2312"/>
                <w:b/>
                <w:color w:val="000000"/>
                <w:kern w:val="0"/>
                <w:sz w:val="22"/>
                <w:highlight w:val="none"/>
                <w:lang w:bidi="ar"/>
              </w:rPr>
              <w:t>全程托管</w:t>
            </w: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楷体_GB2312"/>
                <w:color w:val="000000"/>
                <w:sz w:val="22"/>
                <w:highlight w:val="none"/>
              </w:rPr>
            </w:pPr>
            <w:r>
              <w:rPr>
                <w:rFonts w:hint="eastAsia" w:ascii="宋体" w:hAnsi="宋体" w:cs="楷体_GB2312"/>
                <w:color w:val="000000"/>
                <w:sz w:val="22"/>
                <w:highlight w:val="none"/>
              </w:rPr>
              <w:sym w:font="Wingdings 2" w:char="00A3"/>
            </w:r>
            <w:r>
              <w:rPr>
                <w:rFonts w:hint="eastAsia" w:ascii="宋体" w:hAnsi="宋体" w:cs="楷体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楷体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楷体_GB2312"/>
                <w:color w:val="000000"/>
                <w:kern w:val="0"/>
                <w:sz w:val="22"/>
                <w:highlight w:val="none"/>
                <w:lang w:bidi="ar"/>
              </w:rPr>
            </w:pPr>
            <w:r>
              <w:rPr>
                <w:rFonts w:hint="eastAsia" w:ascii="宋体" w:hAnsi="宋体" w:cs="楷体_GB2312"/>
                <w:color w:val="000000"/>
                <w:kern w:val="0"/>
                <w:sz w:val="22"/>
                <w:highlight w:val="none"/>
                <w:lang w:bidi="ar"/>
              </w:rPr>
              <w:t>约定亩均农作物产量或亩均农作物收益</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如未达到约定产量或收益</w:t>
            </w:r>
            <w:r>
              <w:rPr>
                <w:rFonts w:hint="eastAsia" w:ascii="宋体" w:hAnsi="宋体" w:cs="楷体_GB2312"/>
                <w:color w:val="000000"/>
                <w:kern w:val="0"/>
                <w:sz w:val="22"/>
                <w:highlight w:val="none"/>
                <w:lang w:eastAsia="zh-CN" w:bidi="ar"/>
              </w:rPr>
              <w:t>，</w:t>
            </w:r>
            <w:r>
              <w:rPr>
                <w:rFonts w:hint="eastAsia" w:ascii="宋体" w:hAnsi="宋体" w:cs="楷体_GB2312"/>
                <w:color w:val="000000"/>
                <w:kern w:val="0"/>
                <w:sz w:val="22"/>
                <w:highlight w:val="none"/>
                <w:lang w:bidi="ar"/>
              </w:rPr>
              <w:t>双方协商补偿金额或具体补偿方式等。</w:t>
            </w:r>
          </w:p>
        </w:tc>
      </w:tr>
      <w:tr>
        <w:tblPrEx>
          <w:tblCellMar>
            <w:top w:w="0" w:type="dxa"/>
            <w:left w:w="0" w:type="dxa"/>
            <w:bottom w:w="0" w:type="dxa"/>
            <w:right w:w="0" w:type="dxa"/>
          </w:tblCellMar>
        </w:tblPrEx>
        <w:trPr>
          <w:trHeight w:val="420" w:hRule="atLeast"/>
          <w:jc w:val="center"/>
        </w:trPr>
        <w:tc>
          <w:tcPr>
            <w:tcW w:w="1562"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cs="仿宋_GB2312"/>
                <w:b/>
                <w:color w:val="000000"/>
                <w:kern w:val="0"/>
                <w:sz w:val="22"/>
                <w:highlight w:val="none"/>
                <w:lang w:bidi="ar"/>
              </w:rPr>
            </w:pPr>
          </w:p>
        </w:tc>
        <w:tc>
          <w:tcPr>
            <w:tcW w:w="2349"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cs="仿宋_GB2312"/>
                <w:color w:val="000000"/>
                <w:sz w:val="22"/>
                <w:highlight w:val="none"/>
              </w:rPr>
            </w:pPr>
            <w:r>
              <w:rPr>
                <w:rFonts w:hint="eastAsia" w:ascii="宋体" w:hAnsi="宋体" w:cs="仿宋_GB2312"/>
                <w:color w:val="000000"/>
                <w:sz w:val="22"/>
                <w:highlight w:val="none"/>
              </w:rPr>
              <w:sym w:font="Wingdings 2" w:char="00A3"/>
            </w:r>
            <w:r>
              <w:rPr>
                <w:rFonts w:hint="eastAsia" w:ascii="宋体" w:hAnsi="宋体" w:cs="仿宋_GB2312"/>
                <w:color w:val="000000"/>
                <w:sz w:val="22"/>
                <w:highlight w:val="none"/>
              </w:rPr>
              <w:t>......</w:t>
            </w:r>
          </w:p>
        </w:tc>
        <w:tc>
          <w:tcPr>
            <w:tcW w:w="43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cs="仿宋_GB2312"/>
                <w:color w:val="000000"/>
                <w:sz w:val="22"/>
                <w:highlight w:val="none"/>
              </w:rPr>
            </w:pPr>
          </w:p>
        </w:tc>
        <w:tc>
          <w:tcPr>
            <w:tcW w:w="61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ind w:firstLine="440" w:firstLineChars="200"/>
              <w:textAlignment w:val="center"/>
              <w:rPr>
                <w:rFonts w:hint="eastAsia" w:ascii="宋体" w:hAnsi="宋体" w:cs="仿宋_GB2312"/>
                <w:color w:val="000000"/>
                <w:kern w:val="0"/>
                <w:sz w:val="22"/>
                <w:highlight w:val="none"/>
                <w:lang w:bidi="ar"/>
              </w:rPr>
            </w:pPr>
          </w:p>
        </w:tc>
      </w:tr>
    </w:tbl>
    <w:p>
      <w:pPr>
        <w:spacing w:beforeLines="100"/>
        <w:rPr>
          <w:rFonts w:hint="eastAsia" w:ascii="宋体" w:hAnsi="宋体" w:cs="楷体_GB2312"/>
          <w:bCs/>
          <w:color w:val="000000"/>
          <w:sz w:val="22"/>
          <w:highlight w:val="none"/>
        </w:rPr>
      </w:pPr>
      <w:r>
        <w:rPr>
          <w:rFonts w:hint="eastAsia" w:ascii="宋体" w:hAnsi="宋体" w:cs="楷体_GB2312"/>
          <w:bCs/>
          <w:color w:val="000000"/>
          <w:sz w:val="22"/>
          <w:highlight w:val="none"/>
        </w:rPr>
        <w:t>注：1.甲乙双方根据约定选择服务事项和服务内容</w:t>
      </w:r>
      <w:r>
        <w:rPr>
          <w:rFonts w:hint="eastAsia" w:ascii="宋体" w:hAnsi="宋体" w:cs="楷体_GB2312"/>
          <w:bCs/>
          <w:color w:val="000000"/>
          <w:sz w:val="22"/>
          <w:highlight w:val="none"/>
          <w:lang w:eastAsia="zh-CN"/>
        </w:rPr>
        <w:t>，</w:t>
      </w:r>
      <w:r>
        <w:rPr>
          <w:rFonts w:hint="eastAsia" w:ascii="宋体" w:hAnsi="宋体" w:cs="楷体_GB2312"/>
          <w:bCs/>
          <w:color w:val="000000"/>
          <w:sz w:val="22"/>
          <w:highlight w:val="none"/>
        </w:rPr>
        <w:t>也可根据实际情况增加具体服务内容；</w:t>
      </w:r>
    </w:p>
    <w:p>
      <w:pPr>
        <w:spacing w:beforeLines="50"/>
        <w:ind w:firstLine="440" w:firstLineChars="200"/>
        <w:rPr>
          <w:rFonts w:hint="eastAsia" w:ascii="宋体" w:hAnsi="宋体" w:cs="楷体_GB2312"/>
          <w:bCs/>
          <w:color w:val="000000"/>
          <w:sz w:val="22"/>
          <w:highlight w:val="none"/>
        </w:rPr>
      </w:pPr>
      <w:r>
        <w:rPr>
          <w:rFonts w:hint="eastAsia" w:ascii="宋体" w:hAnsi="宋体" w:cs="楷体_GB2312"/>
          <w:bCs/>
          <w:color w:val="000000"/>
          <w:sz w:val="22"/>
          <w:highlight w:val="none"/>
        </w:rPr>
        <w:t>2.本《农业生产托管服务标准指引》一式</w:t>
      </w:r>
      <w:r>
        <w:rPr>
          <w:rFonts w:hint="eastAsia" w:ascii="宋体" w:hAnsi="宋体" w:cs="楷体_GB2312"/>
          <w:bCs/>
          <w:color w:val="000000"/>
          <w:sz w:val="22"/>
          <w:highlight w:val="none"/>
          <w:lang w:val="en-US" w:eastAsia="zh-CN"/>
        </w:rPr>
        <w:t>三</w:t>
      </w:r>
      <w:r>
        <w:rPr>
          <w:rFonts w:hint="eastAsia" w:ascii="宋体" w:hAnsi="宋体" w:cs="楷体_GB2312"/>
          <w:bCs/>
          <w:color w:val="000000"/>
          <w:sz w:val="22"/>
          <w:highlight w:val="none"/>
        </w:rPr>
        <w:t>份</w:t>
      </w:r>
      <w:r>
        <w:rPr>
          <w:rFonts w:hint="eastAsia" w:ascii="宋体" w:hAnsi="宋体" w:cs="楷体_GB2312"/>
          <w:bCs/>
          <w:color w:val="000000"/>
          <w:sz w:val="22"/>
          <w:highlight w:val="none"/>
          <w:lang w:eastAsia="zh-CN"/>
        </w:rPr>
        <w:t>，</w:t>
      </w:r>
      <w:r>
        <w:rPr>
          <w:rFonts w:hint="eastAsia" w:ascii="宋体" w:hAnsi="宋体" w:cs="楷体_GB2312"/>
          <w:bCs/>
          <w:color w:val="000000"/>
          <w:sz w:val="22"/>
          <w:highlight w:val="none"/>
        </w:rPr>
        <w:t>甲乙双方各持一份</w:t>
      </w:r>
      <w:r>
        <w:rPr>
          <w:rFonts w:hint="eastAsia" w:ascii="宋体" w:hAnsi="宋体" w:cs="楷体_GB2312"/>
          <w:bCs/>
          <w:color w:val="000000"/>
          <w:sz w:val="22"/>
          <w:highlight w:val="none"/>
          <w:lang w:eastAsia="zh-CN"/>
        </w:rPr>
        <w:t>，</w:t>
      </w:r>
      <w:r>
        <w:rPr>
          <w:rFonts w:hint="eastAsia" w:ascii="宋体" w:hAnsi="宋体" w:cs="楷体_GB2312"/>
          <w:bCs/>
          <w:color w:val="000000"/>
          <w:sz w:val="22"/>
          <w:highlight w:val="none"/>
          <w:lang w:val="en-US" w:eastAsia="zh-CN"/>
        </w:rPr>
        <w:t>乡镇存档一份</w:t>
      </w:r>
      <w:r>
        <w:rPr>
          <w:rFonts w:hint="eastAsia" w:ascii="宋体" w:hAnsi="宋体" w:cs="楷体_GB2312"/>
          <w:bCs/>
          <w:color w:val="000000"/>
          <w:sz w:val="22"/>
          <w:highlight w:val="none"/>
          <w:lang w:eastAsia="zh-CN"/>
        </w:rPr>
        <w:t>，</w:t>
      </w:r>
      <w:r>
        <w:rPr>
          <w:rFonts w:hint="eastAsia" w:ascii="宋体" w:hAnsi="宋体" w:cs="楷体_GB2312"/>
          <w:bCs/>
          <w:color w:val="000000"/>
          <w:sz w:val="22"/>
          <w:highlight w:val="none"/>
        </w:rPr>
        <w:t>附于《农业生产托管服务合同</w:t>
      </w:r>
      <w:r>
        <w:rPr>
          <w:rFonts w:ascii="宋体" w:hAnsi="宋体" w:cs="楷体_GB2312"/>
          <w:bCs/>
          <w:color w:val="000000"/>
          <w:sz w:val="22"/>
          <w:highlight w:val="none"/>
        </w:rPr>
        <w:t>示范文本</w:t>
      </w:r>
      <w:r>
        <w:rPr>
          <w:rFonts w:hint="eastAsia" w:ascii="宋体" w:hAnsi="宋体" w:cs="楷体_GB2312"/>
          <w:bCs/>
          <w:color w:val="000000"/>
          <w:sz w:val="22"/>
          <w:highlight w:val="none"/>
        </w:rPr>
        <w:t>》之后</w:t>
      </w:r>
      <w:r>
        <w:rPr>
          <w:rFonts w:hint="eastAsia" w:ascii="宋体" w:hAnsi="宋体" w:cs="楷体_GB2312"/>
          <w:bCs/>
          <w:color w:val="000000"/>
          <w:sz w:val="22"/>
          <w:highlight w:val="none"/>
          <w:lang w:eastAsia="zh-CN"/>
        </w:rPr>
        <w:t>，</w:t>
      </w:r>
      <w:r>
        <w:rPr>
          <w:rFonts w:hint="eastAsia" w:ascii="宋体" w:hAnsi="宋体" w:cs="楷体_GB2312"/>
          <w:bCs/>
          <w:color w:val="000000"/>
          <w:sz w:val="22"/>
          <w:highlight w:val="none"/>
        </w:rPr>
        <w:t>具有同等法律效力。</w:t>
      </w:r>
    </w:p>
    <w:p>
      <w:pPr>
        <w:rPr>
          <w:rFonts w:hint="eastAsia"/>
          <w:b/>
          <w:bCs/>
          <w:color w:val="000000"/>
          <w:sz w:val="24"/>
          <w:szCs w:val="24"/>
          <w:highlight w:val="none"/>
        </w:rPr>
      </w:pPr>
    </w:p>
    <w:p>
      <w:pPr>
        <w:spacing w:line="600" w:lineRule="exact"/>
        <w:rPr>
          <w:rFonts w:hint="eastAsia"/>
          <w:color w:val="000000"/>
          <w:sz w:val="24"/>
          <w:highlight w:val="none"/>
        </w:rPr>
      </w:pPr>
      <w:r>
        <w:rPr>
          <w:rFonts w:hint="eastAsia"/>
          <w:bCs/>
          <w:color w:val="000000"/>
          <w:sz w:val="24"/>
          <w:highlight w:val="none"/>
        </w:rPr>
        <w:t>甲方（签字</w:t>
      </w:r>
      <w:r>
        <w:rPr>
          <w:bCs/>
          <w:color w:val="000000"/>
          <w:sz w:val="24"/>
          <w:highlight w:val="none"/>
        </w:rPr>
        <w:t>或盖章</w:t>
      </w:r>
      <w:r>
        <w:rPr>
          <w:rFonts w:hint="eastAsia"/>
          <w:bCs/>
          <w:color w:val="000000"/>
          <w:sz w:val="24"/>
          <w:highlight w:val="none"/>
        </w:rPr>
        <w:t>）：</w:t>
      </w:r>
      <w:r>
        <w:rPr>
          <w:rFonts w:hint="eastAsia"/>
          <w:color w:val="000000"/>
          <w:sz w:val="24"/>
          <w:highlight w:val="none"/>
          <w:u w:val="single"/>
        </w:rPr>
        <w:t xml:space="preserve">               </w:t>
      </w:r>
      <w:r>
        <w:rPr>
          <w:rFonts w:hint="eastAsia"/>
          <w:color w:val="000000"/>
          <w:sz w:val="24"/>
          <w:highlight w:val="none"/>
        </w:rPr>
        <w:t xml:space="preserve">   </w:t>
      </w:r>
      <w:r>
        <w:rPr>
          <w:rFonts w:hint="eastAsia"/>
          <w:bCs/>
          <w:color w:val="000000"/>
          <w:sz w:val="24"/>
          <w:highlight w:val="none"/>
        </w:rPr>
        <w:t xml:space="preserve">             </w:t>
      </w:r>
      <w:r>
        <w:rPr>
          <w:bCs/>
          <w:color w:val="000000"/>
          <w:sz w:val="24"/>
          <w:highlight w:val="none"/>
        </w:rPr>
        <w:t xml:space="preserve">     </w:t>
      </w:r>
      <w:r>
        <w:rPr>
          <w:rFonts w:hint="eastAsia"/>
          <w:bCs/>
          <w:color w:val="000000"/>
          <w:sz w:val="24"/>
          <w:highlight w:val="none"/>
        </w:rPr>
        <w:t xml:space="preserve"> </w:t>
      </w:r>
      <w:r>
        <w:rPr>
          <w:bCs/>
          <w:color w:val="000000"/>
          <w:sz w:val="24"/>
          <w:highlight w:val="none"/>
        </w:rPr>
        <w:t xml:space="preserve">   </w:t>
      </w:r>
      <w:r>
        <w:rPr>
          <w:rFonts w:hint="eastAsia"/>
          <w:bCs/>
          <w:color w:val="000000"/>
          <w:sz w:val="24"/>
          <w:highlight w:val="none"/>
        </w:rPr>
        <w:t>乙方（</w:t>
      </w:r>
      <w:r>
        <w:rPr>
          <w:bCs/>
          <w:color w:val="000000"/>
          <w:sz w:val="24"/>
          <w:highlight w:val="none"/>
        </w:rPr>
        <w:t>签字或</w:t>
      </w:r>
      <w:r>
        <w:rPr>
          <w:rFonts w:hint="eastAsia"/>
          <w:bCs/>
          <w:color w:val="000000"/>
          <w:sz w:val="24"/>
          <w:highlight w:val="none"/>
        </w:rPr>
        <w:t>盖章）：</w:t>
      </w:r>
      <w:r>
        <w:rPr>
          <w:rFonts w:hint="eastAsia"/>
          <w:color w:val="000000"/>
          <w:sz w:val="24"/>
          <w:highlight w:val="none"/>
          <w:u w:val="single"/>
        </w:rPr>
        <w:t xml:space="preserve">               </w:t>
      </w:r>
    </w:p>
    <w:p>
      <w:pPr>
        <w:spacing w:line="600" w:lineRule="exact"/>
        <w:rPr>
          <w:color w:val="000000"/>
          <w:highlight w:val="none"/>
        </w:rPr>
      </w:pPr>
      <w:r>
        <w:rPr>
          <w:bCs/>
          <w:color w:val="000000"/>
          <w:sz w:val="24"/>
          <w:highlight w:val="none"/>
        </w:rPr>
        <w:t>时    间</w:t>
      </w:r>
      <w:r>
        <w:rPr>
          <w:rFonts w:hint="eastAsia"/>
          <w:bCs/>
          <w:color w:val="000000"/>
          <w:sz w:val="24"/>
          <w:highlight w:val="none"/>
        </w:rPr>
        <w:t xml:space="preserve"> </w:t>
      </w:r>
      <w:r>
        <w:rPr>
          <w:bCs/>
          <w:color w:val="000000"/>
          <w:sz w:val="24"/>
          <w:highlight w:val="none"/>
        </w:rPr>
        <w:t>：</w:t>
      </w:r>
      <w:r>
        <w:rPr>
          <w:rFonts w:hint="eastAsia"/>
          <w:bCs/>
          <w:color w:val="000000"/>
          <w:sz w:val="24"/>
          <w:highlight w:val="none"/>
          <w:u w:val="single"/>
        </w:rPr>
        <w:t xml:space="preserve">      </w:t>
      </w:r>
      <w:r>
        <w:rPr>
          <w:rFonts w:hint="eastAsia"/>
          <w:bCs/>
          <w:color w:val="000000"/>
          <w:sz w:val="24"/>
          <w:highlight w:val="none"/>
        </w:rPr>
        <w:t>年</w:t>
      </w:r>
      <w:r>
        <w:rPr>
          <w:rFonts w:hint="eastAsia"/>
          <w:bCs/>
          <w:color w:val="000000"/>
          <w:sz w:val="24"/>
          <w:highlight w:val="none"/>
          <w:u w:val="single"/>
        </w:rPr>
        <w:t xml:space="preserve">      </w:t>
      </w:r>
      <w:r>
        <w:rPr>
          <w:rFonts w:hint="eastAsia"/>
          <w:bCs/>
          <w:color w:val="000000"/>
          <w:sz w:val="24"/>
          <w:highlight w:val="none"/>
        </w:rPr>
        <w:t>月</w:t>
      </w:r>
      <w:r>
        <w:rPr>
          <w:rFonts w:hint="eastAsia"/>
          <w:bCs/>
          <w:color w:val="000000"/>
          <w:sz w:val="24"/>
          <w:highlight w:val="none"/>
          <w:u w:val="single"/>
        </w:rPr>
        <w:t xml:space="preserve">      </w:t>
      </w:r>
      <w:r>
        <w:rPr>
          <w:rFonts w:hint="eastAsia"/>
          <w:bCs/>
          <w:color w:val="000000"/>
          <w:sz w:val="24"/>
          <w:highlight w:val="none"/>
        </w:rPr>
        <w:t>日</w:t>
      </w:r>
      <w:r>
        <w:rPr>
          <w:bCs/>
          <w:color w:val="000000"/>
          <w:sz w:val="24"/>
          <w:highlight w:val="none"/>
        </w:rPr>
        <w:t xml:space="preserve">     </w:t>
      </w:r>
      <w:r>
        <w:rPr>
          <w:rFonts w:hint="eastAsia"/>
          <w:bCs/>
          <w:color w:val="000000"/>
          <w:sz w:val="24"/>
          <w:highlight w:val="none"/>
        </w:rPr>
        <w:t xml:space="preserve">              </w:t>
      </w:r>
      <w:r>
        <w:rPr>
          <w:rFonts w:hint="eastAsia"/>
          <w:bCs/>
          <w:color w:val="000000"/>
          <w:sz w:val="24"/>
          <w:highlight w:val="none"/>
          <w:lang w:val="en-US" w:eastAsia="zh-CN"/>
        </w:rPr>
        <w:t xml:space="preserve"> </w:t>
      </w:r>
      <w:r>
        <w:rPr>
          <w:rFonts w:hint="eastAsia"/>
          <w:bCs/>
          <w:color w:val="000000"/>
          <w:sz w:val="24"/>
          <w:highlight w:val="none"/>
        </w:rPr>
        <w:t xml:space="preserve">    </w:t>
      </w:r>
      <w:r>
        <w:rPr>
          <w:bCs/>
          <w:color w:val="000000"/>
          <w:sz w:val="24"/>
          <w:highlight w:val="none"/>
        </w:rPr>
        <w:t xml:space="preserve"> 时    间</w:t>
      </w:r>
      <w:r>
        <w:rPr>
          <w:rFonts w:hint="eastAsia"/>
          <w:bCs/>
          <w:color w:val="000000"/>
          <w:sz w:val="24"/>
          <w:highlight w:val="none"/>
        </w:rPr>
        <w:t xml:space="preserve"> </w:t>
      </w:r>
      <w:r>
        <w:rPr>
          <w:bCs/>
          <w:color w:val="000000"/>
          <w:sz w:val="24"/>
          <w:highlight w:val="none"/>
        </w:rPr>
        <w:t>：</w:t>
      </w:r>
      <w:r>
        <w:rPr>
          <w:rFonts w:hint="eastAsia"/>
          <w:bCs/>
          <w:color w:val="000000"/>
          <w:sz w:val="24"/>
          <w:highlight w:val="none"/>
          <w:u w:val="single"/>
        </w:rPr>
        <w:t xml:space="preserve">      </w:t>
      </w:r>
      <w:r>
        <w:rPr>
          <w:rFonts w:hint="eastAsia"/>
          <w:bCs/>
          <w:color w:val="000000"/>
          <w:sz w:val="24"/>
          <w:highlight w:val="none"/>
        </w:rPr>
        <w:t>年</w:t>
      </w:r>
      <w:r>
        <w:rPr>
          <w:rFonts w:hint="eastAsia"/>
          <w:bCs/>
          <w:color w:val="000000"/>
          <w:sz w:val="24"/>
          <w:highlight w:val="none"/>
          <w:u w:val="single"/>
        </w:rPr>
        <w:t xml:space="preserve">      </w:t>
      </w:r>
      <w:r>
        <w:rPr>
          <w:rFonts w:hint="eastAsia"/>
          <w:bCs/>
          <w:color w:val="000000"/>
          <w:sz w:val="24"/>
          <w:highlight w:val="none"/>
        </w:rPr>
        <w:t>月</w:t>
      </w:r>
      <w:r>
        <w:rPr>
          <w:rFonts w:hint="eastAsia"/>
          <w:bCs/>
          <w:color w:val="000000"/>
          <w:sz w:val="24"/>
          <w:highlight w:val="none"/>
          <w:u w:val="single"/>
        </w:rPr>
        <w:t xml:space="preserve">      </w:t>
      </w:r>
      <w:r>
        <w:rPr>
          <w:rFonts w:hint="eastAsia"/>
          <w:bCs/>
          <w:color w:val="000000"/>
          <w:sz w:val="24"/>
          <w:highlight w:val="none"/>
        </w:rPr>
        <w:t>日</w:t>
      </w:r>
      <w:r>
        <w:rPr>
          <w:rFonts w:ascii="仿宋_GB2312" w:hAnsi="仿宋_GB2312" w:eastAsia="仿宋_GB2312" w:cs="仿宋_GB2312"/>
          <w:color w:val="000000"/>
          <w:kern w:val="21"/>
          <w:sz w:val="32"/>
          <w:szCs w:val="32"/>
          <w:highlight w:val="none"/>
        </w:rPr>
        <w:t xml:space="preserve">  </w:t>
      </w:r>
    </w:p>
    <w:p>
      <w:pPr>
        <w:rPr>
          <w:rFonts w:hint="eastAsia"/>
          <w:color w:val="000000"/>
          <w:highlight w:val="none"/>
          <w:lang w:val="en-US" w:eastAsia="zh-CN"/>
        </w:rPr>
        <w:sectPr>
          <w:footerReference r:id="rId6" w:type="default"/>
          <w:pgSz w:w="16838" w:h="11906" w:orient="landscape"/>
          <w:pgMar w:top="1587" w:right="1587" w:bottom="1587"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center"/>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both"/>
      <w:rPr>
        <w:rFonts w:hint="eastAsia"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ZmU4YTFiMDIyYzYxNDZkOTk5YWZhNzg5MDRmNmYifQ=="/>
  </w:docVars>
  <w:rsids>
    <w:rsidRoot w:val="40BE3DCE"/>
    <w:rsid w:val="40BE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kern w:val="2"/>
      <w:sz w:val="21"/>
      <w:szCs w:val="22"/>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Title"/>
    <w:basedOn w:val="1"/>
    <w:next w:val="1"/>
    <w:qFormat/>
    <w:uiPriority w:val="0"/>
    <w:pPr>
      <w:spacing w:beforeAutospacing="0" w:afterAutospacing="0" w:line="600" w:lineRule="exact"/>
      <w:ind w:firstLine="0" w:firstLineChars="0"/>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2023-06-07T02:10:00Z</dcterms:created>
  <dc:creator>Administrator</dc:creator>
  <cp:lastModifiedBy>Administrator</cp:lastModifiedBy>
  <dcterms:modified xsi:type="dcterms:W3CDTF">2023-06-07T02:10:41Z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5EC4EC25AC6E4EA2A30FB143DF1FDACA_11</vt:lpwstr>
  </property>
</Properties>
</file>