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8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2"/>
        <w:gridCol w:w="1005"/>
        <w:gridCol w:w="705"/>
        <w:gridCol w:w="9870"/>
        <w:gridCol w:w="1845"/>
        <w:gridCol w:w="9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4850" w:type="dxa"/>
            <w:gridSpan w:val="6"/>
            <w:tcBorders>
              <w:top w:val="nil"/>
              <w:left w:val="nil"/>
              <w:bottom w:val="single" w:color="auto"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bookmarkStart w:id="0" w:name="_GoBack"/>
            <w:r>
              <w:rPr>
                <w:color w:val="000000" w:themeColor="text1"/>
                <w:sz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-3785870</wp:posOffset>
                      </wp:positionH>
                      <wp:positionV relativeFrom="paragraph">
                        <wp:posOffset>635</wp:posOffset>
                      </wp:positionV>
                      <wp:extent cx="3835400" cy="5220970"/>
                      <wp:effectExtent l="0" t="0" r="12700" b="17780"/>
                      <wp:wrapNone/>
                      <wp:docPr id="18" name="文本框 18"/>
                      <wp:cNvGraphicFramePr/>
                      <a:graphic xmlns:a="http://schemas.openxmlformats.org/drawingml/2006/main">
                        <a:graphicData uri="http://schemas.microsoft.com/office/word/2010/wordprocessingShape">
                          <wps:wsp>
                            <wps:cNvSpPr txBox="1"/>
                            <wps:spPr>
                              <a:xfrm>
                                <a:off x="0" y="0"/>
                                <a:ext cx="3835400" cy="5220970"/>
                              </a:xfrm>
                              <a:prstGeom prst="rect">
                                <a:avLst/>
                              </a:prstGeom>
                              <a:gradFill rotWithShape="0">
                                <a:gsLst>
                                  <a:gs pos="0">
                                    <a:srgbClr val="FFFFFF"/>
                                  </a:gs>
                                  <a:gs pos="100000">
                                    <a:srgbClr val="FFFFFF"/>
                                  </a:gs>
                                </a:gsLst>
                                <a:lin ang="0"/>
                                <a:tileRect/>
                              </a:gradFill>
                              <a:ln w="15875">
                                <a:noFill/>
                              </a:ln>
                            </wps:spPr>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- 42 -</w:t>
                                  </w:r>
                                </w:p>
                              </w:txbxContent>
                            </wps:txbx>
                            <wps:bodyPr vert="eaVert" upright="1"/>
                          </wps:wsp>
                        </a:graphicData>
                      </a:graphic>
                    </wp:anchor>
                  </w:drawing>
                </mc:Choice>
                <mc:Fallback>
                  <w:pict>
                    <v:shape id="_x0000_s1026" o:spid="_x0000_s1026" o:spt="202" type="#_x0000_t202" style="position:absolute;left:0pt;margin-left:-298.1pt;margin-top:0.05pt;height:411.1pt;width:302pt;z-index:-251657216;mso-width-relative:page;mso-height-relative:page;" fillcolor="#FFFFFF" filled="t" stroked="f" coordsize="21600,21600" o:gfxdata="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xC7dcAAAAHAQAADwAAAAAAAAABACAAAAAiAAAA&#10;ZHJzL2Rvd25yZXYueG1sUEsBAhQAFAAAAAgAh07iQCctlocIAgAAGQQAAA4AAAAAAAAAAQAgAAAA&#10;JgEAAGRycy9lMm9Eb2MueG1sUEsFBgAAAAAGAAYAWQEAAKAFAAAAAA==&#10;">
                      <v:fill type="gradient" on="t" color2="#FFFFFF" angle="90" focus="100%" focussize="0,0">
                        <o:fill type="gradientUnscaled" v:ext="backwardCompatible"/>
                      </v:fill>
                      <v:stroke on="f" weight="1.2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- 42 -</w:t>
                            </w:r>
                          </w:p>
                        </w:txbxContent>
                      </v:textbox>
                    </v:shape>
                  </w:pict>
                </mc:Fallback>
              </mc:AlternateContent>
            </w:r>
            <w:r>
              <w:rPr>
                <w:rFonts w:hint="eastAsia" w:ascii="方正小标宋简体" w:hAnsi="方正小标宋简体" w:eastAsia="方正小标宋简体" w:cs="方正小标宋简体"/>
                <w:b w:val="0"/>
                <w:bCs w:val="0"/>
                <w:i w:val="0"/>
                <w:iCs w:val="0"/>
                <w:color w:val="000000" w:themeColor="text1"/>
                <w:kern w:val="0"/>
                <w:sz w:val="44"/>
                <w:szCs w:val="44"/>
                <w:u w:val="none"/>
                <w:lang w:val="en-US" w:eastAsia="zh-CN" w:bidi="ar"/>
                <w14:textFill>
                  <w14:solidFill>
                    <w14:schemeClr w14:val="tx1"/>
                  </w14:solidFill>
                </w14:textFill>
              </w:rPr>
              <w:t>交城县生态环境质量再提升2023年工作任务清单</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tcBorders>
              <w:top w:val="single" w:color="auto"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themeColor="text1"/>
                <w:sz w:val="24"/>
                <w:szCs w:val="24"/>
                <w:u w:val="none"/>
                <w14:textFill>
                  <w14:solidFill>
                    <w14:schemeClr w14:val="tx1"/>
                  </w14:solidFill>
                </w14:textFill>
              </w:rPr>
            </w:pPr>
            <w:r>
              <w:rPr>
                <w:rFonts w:hint="eastAsia" w:ascii="黑体" w:hAnsi="黑体" w:eastAsia="黑体" w:cs="黑体"/>
                <w:b w:val="0"/>
                <w:bCs w:val="0"/>
                <w:i w:val="0"/>
                <w:iCs w:val="0"/>
                <w:color w:val="000000" w:themeColor="text1"/>
                <w:kern w:val="0"/>
                <w:sz w:val="24"/>
                <w:szCs w:val="24"/>
                <w:u w:val="none"/>
                <w:lang w:val="en-US" w:eastAsia="zh-CN" w:bidi="ar"/>
                <w14:textFill>
                  <w14:solidFill>
                    <w14:schemeClr w14:val="tx1"/>
                  </w14:solidFill>
                </w14:textFill>
              </w:rPr>
              <w:t>序号</w:t>
            </w:r>
          </w:p>
        </w:tc>
        <w:tc>
          <w:tcPr>
            <w:tcW w:w="100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黑体" w:hAnsi="黑体" w:eastAsia="黑体" w:cs="黑体"/>
                <w:b w:val="0"/>
                <w:bCs w:val="0"/>
                <w:i w:val="0"/>
                <w:iCs w:val="0"/>
                <w:color w:val="000000" w:themeColor="text1"/>
                <w:kern w:val="0"/>
                <w:sz w:val="24"/>
                <w:szCs w:val="24"/>
                <w:u w:val="none"/>
                <w:lang w:val="en-US" w:eastAsia="zh-CN" w:bidi="ar"/>
                <w14:textFill>
                  <w14:solidFill>
                    <w14:schemeClr w14:val="tx1"/>
                  </w14:solidFill>
                </w14:textFill>
              </w:rPr>
              <w:t>责任</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themeColor="text1"/>
                <w:sz w:val="24"/>
                <w:szCs w:val="24"/>
                <w:u w:val="none"/>
                <w14:textFill>
                  <w14:solidFill>
                    <w14:schemeClr w14:val="tx1"/>
                  </w14:solidFill>
                </w14:textFill>
              </w:rPr>
            </w:pPr>
            <w:r>
              <w:rPr>
                <w:rFonts w:hint="eastAsia" w:ascii="黑体" w:hAnsi="黑体" w:eastAsia="黑体" w:cs="黑体"/>
                <w:b w:val="0"/>
                <w:bCs w:val="0"/>
                <w:i w:val="0"/>
                <w:iCs w:val="0"/>
                <w:color w:val="000000" w:themeColor="text1"/>
                <w:kern w:val="0"/>
                <w:sz w:val="24"/>
                <w:szCs w:val="24"/>
                <w:u w:val="none"/>
                <w:lang w:val="en-US" w:eastAsia="zh-CN" w:bidi="ar"/>
                <w14:textFill>
                  <w14:solidFill>
                    <w14:schemeClr w14:val="tx1"/>
                  </w14:solidFill>
                </w14:textFill>
              </w:rPr>
              <w:t>单位</w:t>
            </w:r>
          </w:p>
        </w:tc>
        <w:tc>
          <w:tcPr>
            <w:tcW w:w="70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黑体" w:hAnsi="黑体" w:eastAsia="黑体" w:cs="黑体"/>
                <w:b w:val="0"/>
                <w:bCs w:val="0"/>
                <w:i w:val="0"/>
                <w:iCs w:val="0"/>
                <w:color w:val="000000" w:themeColor="text1"/>
                <w:kern w:val="0"/>
                <w:sz w:val="24"/>
                <w:szCs w:val="24"/>
                <w:u w:val="none"/>
                <w:lang w:val="en-US" w:eastAsia="zh-CN" w:bidi="ar"/>
                <w14:textFill>
                  <w14:solidFill>
                    <w14:schemeClr w14:val="tx1"/>
                  </w14:solidFill>
                </w14:textFill>
              </w:rPr>
              <w:t>任务</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themeColor="text1"/>
                <w:sz w:val="24"/>
                <w:szCs w:val="24"/>
                <w:u w:val="none"/>
                <w14:textFill>
                  <w14:solidFill>
                    <w14:schemeClr w14:val="tx1"/>
                  </w14:solidFill>
                </w14:textFill>
              </w:rPr>
            </w:pPr>
            <w:r>
              <w:rPr>
                <w:rFonts w:hint="eastAsia" w:ascii="黑体" w:hAnsi="黑体" w:eastAsia="黑体" w:cs="黑体"/>
                <w:b w:val="0"/>
                <w:bCs w:val="0"/>
                <w:i w:val="0"/>
                <w:iCs w:val="0"/>
                <w:color w:val="000000" w:themeColor="text1"/>
                <w:kern w:val="0"/>
                <w:sz w:val="24"/>
                <w:szCs w:val="24"/>
                <w:u w:val="none"/>
                <w:lang w:val="en-US" w:eastAsia="zh-CN" w:bidi="ar"/>
                <w14:textFill>
                  <w14:solidFill>
                    <w14:schemeClr w14:val="tx1"/>
                  </w14:solidFill>
                </w14:textFill>
              </w:rPr>
              <w:t>序号</w:t>
            </w:r>
          </w:p>
        </w:tc>
        <w:tc>
          <w:tcPr>
            <w:tcW w:w="987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themeColor="text1"/>
                <w:sz w:val="24"/>
                <w:szCs w:val="24"/>
                <w:u w:val="none"/>
                <w14:textFill>
                  <w14:solidFill>
                    <w14:schemeClr w14:val="tx1"/>
                  </w14:solidFill>
                </w14:textFill>
              </w:rPr>
            </w:pPr>
            <w:r>
              <w:rPr>
                <w:rFonts w:hint="eastAsia" w:ascii="黑体" w:hAnsi="黑体" w:eastAsia="黑体" w:cs="黑体"/>
                <w:b w:val="0"/>
                <w:bCs w:val="0"/>
                <w:i w:val="0"/>
                <w:iCs w:val="0"/>
                <w:color w:val="000000" w:themeColor="text1"/>
                <w:kern w:val="0"/>
                <w:sz w:val="24"/>
                <w:szCs w:val="24"/>
                <w:u w:val="none"/>
                <w:lang w:val="en-US" w:eastAsia="zh-CN" w:bidi="ar"/>
                <w14:textFill>
                  <w14:solidFill>
                    <w14:schemeClr w14:val="tx1"/>
                  </w14:solidFill>
                </w14:textFill>
              </w:rPr>
              <w:t>工作任务</w:t>
            </w:r>
          </w:p>
        </w:tc>
        <w:tc>
          <w:tcPr>
            <w:tcW w:w="184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themeColor="text1"/>
                <w:sz w:val="24"/>
                <w:szCs w:val="24"/>
                <w:u w:val="none"/>
                <w14:textFill>
                  <w14:solidFill>
                    <w14:schemeClr w14:val="tx1"/>
                  </w14:solidFill>
                </w14:textFill>
              </w:rPr>
            </w:pPr>
            <w:r>
              <w:rPr>
                <w:rFonts w:hint="eastAsia" w:ascii="黑体" w:hAnsi="黑体" w:eastAsia="黑体" w:cs="黑体"/>
                <w:b w:val="0"/>
                <w:bCs w:val="0"/>
                <w:i w:val="0"/>
                <w:iCs w:val="0"/>
                <w:color w:val="000000" w:themeColor="text1"/>
                <w:kern w:val="0"/>
                <w:sz w:val="24"/>
                <w:szCs w:val="24"/>
                <w:u w:val="none"/>
                <w:lang w:val="en-US" w:eastAsia="zh-CN" w:bidi="ar"/>
                <w14:textFill>
                  <w14:solidFill>
                    <w14:schemeClr w14:val="tx1"/>
                  </w14:solidFill>
                </w14:textFill>
              </w:rPr>
              <w:t>时限要求</w:t>
            </w:r>
          </w:p>
        </w:tc>
        <w:tc>
          <w:tcPr>
            <w:tcW w:w="943" w:type="dxa"/>
            <w:tcBorders>
              <w:top w:val="single" w:color="auto"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themeColor="text1"/>
                <w:sz w:val="24"/>
                <w:szCs w:val="24"/>
                <w:u w:val="none"/>
                <w14:textFill>
                  <w14:solidFill>
                    <w14:schemeClr w14:val="tx1"/>
                  </w14:solidFill>
                </w14:textFill>
              </w:rPr>
            </w:pPr>
            <w:r>
              <w:rPr>
                <w:rFonts w:hint="eastAsia" w:ascii="黑体" w:hAnsi="黑体" w:eastAsia="黑体" w:cs="黑体"/>
                <w:b w:val="0"/>
                <w:bCs w:val="0"/>
                <w:i w:val="0"/>
                <w:iCs w:val="0"/>
                <w:color w:val="000000" w:themeColor="text1"/>
                <w:kern w:val="0"/>
                <w:sz w:val="24"/>
                <w:szCs w:val="24"/>
                <w:u w:val="none"/>
                <w:lang w:val="en-US" w:eastAsia="zh-CN" w:bidi="ar"/>
                <w14:textFill>
                  <w14:solidFill>
                    <w14:schemeClr w14:val="tx1"/>
                  </w14:solidFill>
                </w14:textFill>
              </w:rPr>
              <w:t>责任人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restart"/>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10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经济开发区管委会</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9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禁止审批新建、改建、扩建高污染、高耗能、高耗水、高风险项目</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restar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陈向东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督促山西上德水务有限公司中水深度提盐处理和回用工程，实现零排放</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2024年5月底</w:t>
            </w:r>
          </w:p>
        </w:tc>
        <w:tc>
          <w:tcPr>
            <w:tcW w:w="943"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负责政府划分的责任路段的路面保洁；监管整治经济开发区主要道路两侧可视范围内物料、渣土和固废乱堆乱放行为</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筹划在经济开发区建设一座综合性危险废物处置工程项目</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有序推进</w:t>
            </w:r>
          </w:p>
        </w:tc>
        <w:tc>
          <w:tcPr>
            <w:tcW w:w="943"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restart"/>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w:t>
            </w:r>
          </w:p>
        </w:tc>
        <w:tc>
          <w:tcPr>
            <w:tcW w:w="10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公安局</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依法查处各有关部门移送的适用行政拘留的生态环境案件，对涉嫌污染环境犯罪行为，提前介入侦察</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restart"/>
            <w:tcBorders>
              <w:top w:val="single" w:color="000000" w:sz="4" w:space="0"/>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赵  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公安交管部门牵头联合执法，常态化路检路查柴油货车污染控制装置、车载诊断系统（OBD）、尾气排放达标等情况</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制定重点扬尘污染路段交通管制措施，对通行车辆进行管控</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restart"/>
            <w:tcBorders>
              <w:top w:val="single" w:color="000000" w:sz="4" w:space="0"/>
              <w:left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w:t>
            </w:r>
          </w:p>
        </w:tc>
        <w:tc>
          <w:tcPr>
            <w:tcW w:w="100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市生态环境局交城分局</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建立落实河道水质巡查巡检、研判通报、排查溯源、应急响应机制、体制</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restart"/>
            <w:tcBorders>
              <w:top w:val="single" w:color="000000" w:sz="4" w:space="0"/>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吴晨劲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对备案的入河排污口监督监测管理</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监管督促涉水企业落实“水六条”治理标准</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对新、改、扩建重点工业企业提出建设雨水收集、储蓄、处理、回用设施要求</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对县级地表水型集中式饮用水水源保护区环境问题和风险隐患排查整治，划分乡镇级饮用水水源和“千吨万人”、千人供水工程饮用水水源保护区，对保护区排查整治、定期监测</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6</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建设完成磁窑河交城段水质污染控制和生态修复工程</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2023年10月底</w:t>
            </w:r>
          </w:p>
        </w:tc>
        <w:tc>
          <w:tcPr>
            <w:tcW w:w="943" w:type="dxa"/>
            <w:vMerge w:val="continue"/>
            <w:tcBorders>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7</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钢铁、焦化、水泥行业超底排放改造</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2023年年底</w:t>
            </w:r>
          </w:p>
        </w:tc>
        <w:tc>
          <w:tcPr>
            <w:tcW w:w="943" w:type="dxa"/>
            <w:vMerge w:val="continue"/>
            <w:tcBorders>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restart"/>
            <w:tcBorders>
              <w:top w:val="single" w:color="000000" w:sz="4" w:space="0"/>
              <w:left w:val="single" w:color="auto"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-3795395</wp:posOffset>
                      </wp:positionH>
                      <wp:positionV relativeFrom="paragraph">
                        <wp:posOffset>4864735</wp:posOffset>
                      </wp:positionV>
                      <wp:extent cx="3835400" cy="792480"/>
                      <wp:effectExtent l="0" t="0" r="12700" b="7620"/>
                      <wp:wrapNone/>
                      <wp:docPr id="22" name="文本框 22"/>
                      <wp:cNvGraphicFramePr/>
                      <a:graphic xmlns:a="http://schemas.openxmlformats.org/drawingml/2006/main">
                        <a:graphicData uri="http://schemas.microsoft.com/office/word/2010/wordprocessingShape">
                          <wps:wsp>
                            <wps:cNvSpPr txBox="1"/>
                            <wps:spPr>
                              <a:xfrm>
                                <a:off x="0" y="0"/>
                                <a:ext cx="3835400" cy="792480"/>
                              </a:xfrm>
                              <a:prstGeom prst="rect">
                                <a:avLst/>
                              </a:prstGeom>
                              <a:gradFill rotWithShape="0">
                                <a:gsLst>
                                  <a:gs pos="0">
                                    <a:srgbClr val="FFFFFF"/>
                                  </a:gs>
                                  <a:gs pos="100000">
                                    <a:srgbClr val="FFFFFF"/>
                                  </a:gs>
                                </a:gsLst>
                                <a:lin ang="0"/>
                                <a:tileRect/>
                              </a:gradFill>
                              <a:ln w="15875">
                                <a:noFill/>
                              </a:ln>
                            </wps:spPr>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- 43 -</w:t>
                                  </w:r>
                                </w:p>
                              </w:txbxContent>
                            </wps:txbx>
                            <wps:bodyPr vert="eaVert" upright="1"/>
                          </wps:wsp>
                        </a:graphicData>
                      </a:graphic>
                    </wp:anchor>
                  </w:drawing>
                </mc:Choice>
                <mc:Fallback>
                  <w:pict>
                    <v:shape id="_x0000_s1026" o:spid="_x0000_s1026" o:spt="202" type="#_x0000_t202" style="position:absolute;left:0pt;margin-left:-298.85pt;margin-top:383.05pt;height:62.4pt;width:302pt;z-index:-251656192;mso-width-relative:page;mso-height-relative:page;" fillcolor="#FFFFFF" filled="t" stroked="f" coordsize="21600,21600" o:gfxdata="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QvotA2QAAAAoBAAAPAAAAAAAAAAEAIAAAACIA&#10;AABkcnMvZG93bnJldi54bWxQSwECFAAUAAAACACHTuJAdt1DkwgCAAAYBAAADgAAAAAAAAABACAA&#10;AAAoAQAAZHJzL2Uyb0RvYy54bWxQSwUGAAAAAAYABgBZAQAAogUAAAAA&#10;">
                      <v:fill type="gradient" on="t" color2="#FFFFFF" angle="90" focus="100%" focussize="0,0">
                        <o:fill type="gradientUnscaled" v:ext="backwardCompatible"/>
                      </v:fill>
                      <v:stroke on="f" weight="1.2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- 43 -</w:t>
                            </w:r>
                          </w:p>
                        </w:txbxContent>
                      </v:textbox>
                    </v:shape>
                  </w:pict>
                </mc:Fallback>
              </mc:AlternateContent>
            </w: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3</w:t>
            </w:r>
          </w:p>
        </w:tc>
        <w:tc>
          <w:tcPr>
            <w:tcW w:w="100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市生态环境局交城分局</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8</w:t>
            </w:r>
          </w:p>
        </w:tc>
        <w:tc>
          <w:tcPr>
            <w:tcW w:w="987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全县工业企业污染治理水平提升整治</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2023年年底</w:t>
            </w:r>
          </w:p>
        </w:tc>
        <w:tc>
          <w:tcPr>
            <w:tcW w:w="943" w:type="dxa"/>
            <w:vMerge w:val="restart"/>
            <w:tcBorders>
              <w:top w:val="single" w:color="000000" w:sz="4" w:space="0"/>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吴晨劲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9</w:t>
            </w:r>
          </w:p>
        </w:tc>
        <w:tc>
          <w:tcPr>
            <w:tcW w:w="9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加强对非道路移动机械排放控制区执法管控，全县范围内非道路移动机械排放控制区不得使用国三以下排放标准、未编码登记、冒黑烟等超标排放非道路移动机械，涉及民生保障和应急抢险等情形除外</w:t>
            </w:r>
          </w:p>
        </w:tc>
        <w:tc>
          <w:tcPr>
            <w:tcW w:w="184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2023年底</w:t>
            </w:r>
          </w:p>
        </w:tc>
        <w:tc>
          <w:tcPr>
            <w:tcW w:w="943" w:type="dxa"/>
            <w:vMerge w:val="continue"/>
            <w:tcBorders>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482" w:type="dxa"/>
            <w:vMerge w:val="continue"/>
            <w:tcBorders>
              <w:left w:val="single" w:color="auto"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10</w:t>
            </w:r>
          </w:p>
        </w:tc>
        <w:tc>
          <w:tcPr>
            <w:tcW w:w="987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5-9月每日10-16时，以化工、工业涂装、包装印刷、油品储运销等行业为重点，实施涉挥发性有机物排放工序错时生产、错时作业。</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2023年9月底</w:t>
            </w:r>
          </w:p>
        </w:tc>
        <w:tc>
          <w:tcPr>
            <w:tcW w:w="943" w:type="dxa"/>
            <w:vMerge w:val="continue"/>
            <w:tcBorders>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11</w:t>
            </w:r>
          </w:p>
        </w:tc>
        <w:tc>
          <w:tcPr>
            <w:tcW w:w="9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现有使用高污染燃料的工业炉窑改用工业余热、电能、天然气、焦炉净煤气等</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2023年年底</w:t>
            </w:r>
          </w:p>
        </w:tc>
        <w:tc>
          <w:tcPr>
            <w:tcW w:w="943" w:type="dxa"/>
            <w:vMerge w:val="continue"/>
            <w:tcBorders>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12</w:t>
            </w:r>
          </w:p>
        </w:tc>
        <w:tc>
          <w:tcPr>
            <w:tcW w:w="9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对以化工、焦化、工业涂装、包装印刷和油品储运销等行业为重点的涉有机废气排放单位加强监管，督促整治</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2023年9月底前</w:t>
            </w:r>
          </w:p>
        </w:tc>
        <w:tc>
          <w:tcPr>
            <w:tcW w:w="943" w:type="dxa"/>
            <w:vMerge w:val="continue"/>
            <w:tcBorders>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w:t>
            </w:r>
          </w:p>
        </w:tc>
        <w:tc>
          <w:tcPr>
            <w:tcW w:w="9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配合公安交管部门联合执法，常态化路检路查柴油货车污染控制装置、车载诊断系统（OBD）、尾气排放达标等情况</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14</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将符合筛选条件的排放镉等有毒有害大气、水污染物的企业纳入重点排污单位名录</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2023年2月底</w:t>
            </w:r>
          </w:p>
        </w:tc>
        <w:tc>
          <w:tcPr>
            <w:tcW w:w="943" w:type="dxa"/>
            <w:vMerge w:val="continue"/>
            <w:tcBorders>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15</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排查优先保护类耕地集中区域周边矿区的历史遗留废物，制定整治方案，分阶段治理</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按时序进度</w:t>
            </w:r>
          </w:p>
        </w:tc>
        <w:tc>
          <w:tcPr>
            <w:tcW w:w="943" w:type="dxa"/>
            <w:vMerge w:val="continue"/>
            <w:tcBorders>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16</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对涉及有毒有害物质可能造成土壤污染的新（改、扩）建项目进行环境影响评价，提出并落实防腐蚀、防渗漏、防遗撒等土壤污染防治具体措施</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17</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更新土壤污染重点监管单位名录，依法纳入排污许可管理</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2023年2月底</w:t>
            </w:r>
          </w:p>
        </w:tc>
        <w:tc>
          <w:tcPr>
            <w:tcW w:w="943" w:type="dxa"/>
            <w:vMerge w:val="continue"/>
            <w:tcBorders>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18</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对企业拆除活动污染防治依法依规监管</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19</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严禁审批永久基本农田集中区域可能造成土壤污染的新建项目</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开展以用途变更为“一住两公”（住宅、公共管理与公共服务）用地的地块为重点土壤污染状况调查和风险评估（原用途为“一住两公”地块除外）</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21</w:t>
            </w:r>
          </w:p>
        </w:tc>
        <w:tc>
          <w:tcPr>
            <w:tcW w:w="98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与自然资源、住建、行政审批等部门及时互通共享土壤污染信息</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restart"/>
            <w:tcBorders>
              <w:top w:val="single" w:color="000000" w:sz="4" w:space="0"/>
              <w:left w:val="single" w:color="auto"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3</w:t>
            </w:r>
          </w:p>
        </w:tc>
        <w:tc>
          <w:tcPr>
            <w:tcW w:w="100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市生态环境局交城分局</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22</w:t>
            </w:r>
            <w:r>
              <w:rPr>
                <w:color w:val="000000" w:themeColor="text1"/>
                <w:sz w:val="24"/>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-4730115</wp:posOffset>
                      </wp:positionH>
                      <wp:positionV relativeFrom="paragraph">
                        <wp:posOffset>-5715</wp:posOffset>
                      </wp:positionV>
                      <wp:extent cx="3835400" cy="5220970"/>
                      <wp:effectExtent l="0" t="0" r="12700" b="17780"/>
                      <wp:wrapNone/>
                      <wp:docPr id="3" name="文本框 3"/>
                      <wp:cNvGraphicFramePr/>
                      <a:graphic xmlns:a="http://schemas.openxmlformats.org/drawingml/2006/main">
                        <a:graphicData uri="http://schemas.microsoft.com/office/word/2010/wordprocessingShape">
                          <wps:wsp>
                            <wps:cNvSpPr txBox="1"/>
                            <wps:spPr>
                              <a:xfrm>
                                <a:off x="0" y="0"/>
                                <a:ext cx="3835400" cy="5220970"/>
                              </a:xfrm>
                              <a:prstGeom prst="rect">
                                <a:avLst/>
                              </a:prstGeom>
                              <a:gradFill rotWithShape="0">
                                <a:gsLst>
                                  <a:gs pos="0">
                                    <a:srgbClr val="FFFFFF"/>
                                  </a:gs>
                                  <a:gs pos="100000">
                                    <a:srgbClr val="FFFFFF"/>
                                  </a:gs>
                                </a:gsLst>
                                <a:lin ang="0"/>
                                <a:tileRect/>
                              </a:gradFill>
                              <a:ln w="15875">
                                <a:noFill/>
                              </a:ln>
                            </wps:spPr>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- 44 -</w:t>
                                  </w:r>
                                </w:p>
                              </w:txbxContent>
                            </wps:txbx>
                            <wps:bodyPr vert="eaVert" upright="1"/>
                          </wps:wsp>
                        </a:graphicData>
                      </a:graphic>
                    </wp:anchor>
                  </w:drawing>
                </mc:Choice>
                <mc:Fallback>
                  <w:pict>
                    <v:shape id="_x0000_s1026" o:spid="_x0000_s1026" o:spt="202" type="#_x0000_t202" style="position:absolute;left:0pt;margin-left:-372.45pt;margin-top:-0.45pt;height:411.1pt;width:302pt;z-index:-251655168;mso-width-relative:page;mso-height-relative:page;" fillcolor="#FFFFFF" filled="t" stroked="f" coordsize="21600,21600" o:gfxdata="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glUVP2gAAAAsBAAAPAAAAAAAAAAEAIAAAACIA&#10;AABkcnMvZG93bnJldi54bWxQSwECFAAUAAAACACHTuJAcDlMSwcCAAAXBAAADgAAAAAAAAABACAA&#10;AAApAQAAZHJzL2Uyb0RvYy54bWxQSwUGAAAAAAYABgBZAQAAogUAAAAA&#10;">
                      <v:fill type="gradient" on="t" color2="#FFFFFF" angle="90" focus="100%" focussize="0,0">
                        <o:fill type="gradientUnscaled" v:ext="backwardCompatible"/>
                      </v:fill>
                      <v:stroke on="f" weight="1.2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- 44 -</w:t>
                            </w:r>
                          </w:p>
                        </w:txbxContent>
                      </v:textbox>
                    </v:shape>
                  </w:pict>
                </mc:Fallback>
              </mc:AlternateContent>
            </w:r>
          </w:p>
        </w:tc>
        <w:tc>
          <w:tcPr>
            <w:tcW w:w="9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配合市生态环境局按要求完成地下水环境状况调查评估</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2023年年底</w:t>
            </w:r>
          </w:p>
        </w:tc>
        <w:tc>
          <w:tcPr>
            <w:tcW w:w="943" w:type="dxa"/>
            <w:vMerge w:val="restart"/>
            <w:tcBorders>
              <w:top w:val="single" w:color="000000" w:sz="4" w:space="0"/>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吴晨劲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23</w:t>
            </w:r>
          </w:p>
        </w:tc>
        <w:tc>
          <w:tcPr>
            <w:tcW w:w="9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配合市生态环境局按要求完成闭坑煤矿矿坑水污染状况调查评估</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2023年10月底</w:t>
            </w:r>
          </w:p>
        </w:tc>
        <w:tc>
          <w:tcPr>
            <w:tcW w:w="943" w:type="dxa"/>
            <w:vMerge w:val="continue"/>
            <w:tcBorders>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24</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督促指导“一企一库”“两场两区”、加油站等单位按要求建设地下水环境长期监测井，落实地下水自行监测要求,采取防渗漏措施，并进行防渗漏监测</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有序推进</w:t>
            </w:r>
          </w:p>
        </w:tc>
        <w:tc>
          <w:tcPr>
            <w:tcW w:w="943" w:type="dxa"/>
            <w:vMerge w:val="continue"/>
            <w:tcBorders>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25</w:t>
            </w:r>
          </w:p>
        </w:tc>
        <w:tc>
          <w:tcPr>
            <w:tcW w:w="9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对辖区内未达到水质目标要求的地下水国考区域，组织开展污染成因分析，对于非地质原因造成水质超标的点位制定水质达标方案并落实，确保地下水环境质量达标或保持稳定</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有序推进</w:t>
            </w:r>
          </w:p>
        </w:tc>
        <w:tc>
          <w:tcPr>
            <w:tcW w:w="943" w:type="dxa"/>
            <w:vMerge w:val="continue"/>
            <w:tcBorders>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26</w:t>
            </w:r>
          </w:p>
        </w:tc>
        <w:tc>
          <w:tcPr>
            <w:tcW w:w="9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配合市生态环境局按要求完成我县地下水污染防治重点区初步划定</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2023年年底</w:t>
            </w:r>
          </w:p>
        </w:tc>
        <w:tc>
          <w:tcPr>
            <w:tcW w:w="943" w:type="dxa"/>
            <w:vMerge w:val="continue"/>
            <w:tcBorders>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27</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逐步完善我县地下水污染防治重点排污单位名录，并实施动态更新，推动纳入排污许可管理</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有序推进</w:t>
            </w:r>
          </w:p>
        </w:tc>
        <w:tc>
          <w:tcPr>
            <w:tcW w:w="943" w:type="dxa"/>
            <w:vMerge w:val="continue"/>
            <w:tcBorders>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28</w:t>
            </w:r>
          </w:p>
        </w:tc>
        <w:tc>
          <w:tcPr>
            <w:tcW w:w="9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对报废矿井排查登记，摸清底数，建立清单，与县水利局互通共享</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2023年6月底</w:t>
            </w:r>
          </w:p>
        </w:tc>
        <w:tc>
          <w:tcPr>
            <w:tcW w:w="943" w:type="dxa"/>
            <w:vMerge w:val="continue"/>
            <w:tcBorders>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29</w:t>
            </w:r>
          </w:p>
        </w:tc>
        <w:tc>
          <w:tcPr>
            <w:tcW w:w="9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开展农田灌溉用水及退水的监测</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30</w:t>
            </w:r>
          </w:p>
        </w:tc>
        <w:tc>
          <w:tcPr>
            <w:tcW w:w="9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监督地热能开发利用项目对地下热水及回灌水水质自行监测，定期报备</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31</w:t>
            </w:r>
          </w:p>
        </w:tc>
        <w:tc>
          <w:tcPr>
            <w:tcW w:w="9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组织开展县级集中式地下水型生活饮用水水源地、农村“千吨万人”地下水型饮用水水源地、乡镇集中式地下水型饮用水水源地水质监测及国考饮用水源点位平水期水质监测</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有序推进</w:t>
            </w:r>
          </w:p>
        </w:tc>
        <w:tc>
          <w:tcPr>
            <w:tcW w:w="943" w:type="dxa"/>
            <w:vMerge w:val="continue"/>
            <w:tcBorders>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32</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推进“千吨万人”及以上规模地下水型饮用水水源保护区划定与规范化建设</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有序推进</w:t>
            </w:r>
          </w:p>
        </w:tc>
        <w:tc>
          <w:tcPr>
            <w:tcW w:w="943" w:type="dxa"/>
            <w:vMerge w:val="continue"/>
            <w:tcBorders>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33</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完成“千吨万人”及以上规模集中式地下水型饮用水源补给区初步划定</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2023年年底</w:t>
            </w:r>
          </w:p>
        </w:tc>
        <w:tc>
          <w:tcPr>
            <w:tcW w:w="943" w:type="dxa"/>
            <w:vMerge w:val="continue"/>
            <w:tcBorders>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34</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按规定对全县污染源进行监管，依法查处生态环境违法行为</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restart"/>
            <w:tcBorders>
              <w:top w:val="single" w:color="000000" w:sz="4" w:space="0"/>
              <w:left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w:t>
            </w:r>
          </w:p>
        </w:tc>
        <w:tc>
          <w:tcPr>
            <w:tcW w:w="100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县住建局</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监管督促交城县污水处理厂针对污水处理设施老化，部分设施停运等问题制定方案，落实整改</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按时序进度</w:t>
            </w:r>
          </w:p>
        </w:tc>
        <w:tc>
          <w:tcPr>
            <w:tcW w:w="943" w:type="dxa"/>
            <w:vMerge w:val="restart"/>
            <w:tcBorders>
              <w:top w:val="single" w:color="000000" w:sz="4" w:space="0"/>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左利军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w:t>
            </w:r>
          </w:p>
        </w:tc>
        <w:tc>
          <w:tcPr>
            <w:tcW w:w="98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完成交城县城西污水处理厂建设工程</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2023年10月底</w:t>
            </w:r>
          </w:p>
        </w:tc>
        <w:tc>
          <w:tcPr>
            <w:tcW w:w="943" w:type="dxa"/>
            <w:vMerge w:val="continue"/>
            <w:tcBorders>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开展城市黑臭水体排查整治</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对城区雨污合流制排水管网进行改造</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2023年12月底</w:t>
            </w:r>
          </w:p>
        </w:tc>
        <w:tc>
          <w:tcPr>
            <w:tcW w:w="943" w:type="dxa"/>
            <w:vMerge w:val="continue"/>
            <w:tcBorders>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最大程度减少汛期雨水携带生活污水直排入河</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restart"/>
            <w:tcBorders>
              <w:top w:val="single" w:color="000000" w:sz="4" w:space="0"/>
              <w:left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w:t>
            </w:r>
          </w:p>
        </w:tc>
        <w:tc>
          <w:tcPr>
            <w:tcW w:w="100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县住建局</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6</w:t>
            </w:r>
            <w:r>
              <w:rPr>
                <w:rFonts w:hint="eastAsia" w:ascii="黑体" w:hAnsi="黑体" w:eastAsia="黑体" w:cs="黑体"/>
                <w:color w:val="000000" w:themeColor="text1"/>
                <w:sz w:val="32"/>
                <w:szCs w:val="32"/>
                <w14:textFill>
                  <w14:solidFill>
                    <w14:schemeClr w14:val="tx1"/>
                  </w14:solidFill>
                </w14:textFill>
              </w:rPr>
              <mc:AlternateContent>
                <mc:Choice Requires="wps">
                  <w:drawing>
                    <wp:anchor distT="0" distB="0" distL="114300" distR="114300" simplePos="0" relativeHeight="251662336" behindDoc="1" locked="0" layoutInCell="1" allowOverlap="1">
                      <wp:simplePos x="0" y="0"/>
                      <wp:positionH relativeFrom="column">
                        <wp:posOffset>-4739640</wp:posOffset>
                      </wp:positionH>
                      <wp:positionV relativeFrom="paragraph">
                        <wp:posOffset>4864735</wp:posOffset>
                      </wp:positionV>
                      <wp:extent cx="3835400" cy="792480"/>
                      <wp:effectExtent l="0" t="0" r="12700" b="7620"/>
                      <wp:wrapNone/>
                      <wp:docPr id="4" name="文本框 4"/>
                      <wp:cNvGraphicFramePr/>
                      <a:graphic xmlns:a="http://schemas.openxmlformats.org/drawingml/2006/main">
                        <a:graphicData uri="http://schemas.microsoft.com/office/word/2010/wordprocessingShape">
                          <wps:wsp>
                            <wps:cNvSpPr txBox="1"/>
                            <wps:spPr>
                              <a:xfrm>
                                <a:off x="0" y="0"/>
                                <a:ext cx="3835400" cy="792480"/>
                              </a:xfrm>
                              <a:prstGeom prst="rect">
                                <a:avLst/>
                              </a:prstGeom>
                              <a:gradFill rotWithShape="0">
                                <a:gsLst>
                                  <a:gs pos="0">
                                    <a:srgbClr val="FFFFFF"/>
                                  </a:gs>
                                  <a:gs pos="100000">
                                    <a:srgbClr val="FFFFFF"/>
                                  </a:gs>
                                </a:gsLst>
                                <a:lin ang="0"/>
                                <a:tileRect/>
                              </a:gradFill>
                              <a:ln w="15875">
                                <a:noFill/>
                              </a:ln>
                            </wps:spPr>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- 45 -</w:t>
                                  </w:r>
                                </w:p>
                              </w:txbxContent>
                            </wps:txbx>
                            <wps:bodyPr vert="eaVert" upright="1"/>
                          </wps:wsp>
                        </a:graphicData>
                      </a:graphic>
                    </wp:anchor>
                  </w:drawing>
                </mc:Choice>
                <mc:Fallback>
                  <w:pict>
                    <v:shape id="_x0000_s1026" o:spid="_x0000_s1026" o:spt="202" type="#_x0000_t202" style="position:absolute;left:0pt;margin-left:-373.2pt;margin-top:383.05pt;height:62.4pt;width:302pt;z-index:-251654144;mso-width-relative:page;mso-height-relative:page;" fillcolor="#FFFFFF" filled="t" stroked="f" coordsize="21600,21600" o:gfxdata="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Pnb2TcAAAADQEAAA8AAAAAAAAAAQAgAAAA&#10;IgAAAGRycy9kb3ducmV2LnhtbFBLAQIUABQAAAAIAIdO4kAcd16zBwIAABYEAAAOAAAAAAAAAAEA&#10;IAAAACs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- 45 -</w:t>
                            </w:r>
                          </w:p>
                        </w:txbxContent>
                      </v:textbox>
                    </v:shape>
                  </w:pict>
                </mc:Fallback>
              </mc:AlternateConten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县城老旧城区清洁取暖全覆盖</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2023年10月底</w:t>
            </w:r>
          </w:p>
        </w:tc>
        <w:tc>
          <w:tcPr>
            <w:tcW w:w="943" w:type="dxa"/>
            <w:vMerge w:val="restart"/>
            <w:tcBorders>
              <w:top w:val="single" w:color="000000" w:sz="4" w:space="0"/>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左利军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7</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有效利用城西区域已建成的天然气采暖工程</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2023年10月底</w:t>
            </w:r>
          </w:p>
        </w:tc>
        <w:tc>
          <w:tcPr>
            <w:tcW w:w="943" w:type="dxa"/>
            <w:vMerge w:val="continue"/>
            <w:tcBorders>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482" w:type="dxa"/>
            <w:vMerge w:val="continue"/>
            <w:tcBorders>
              <w:left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8</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完成东部区域、北部区域，南部区域，25个村，1个福利院，2个城区分散区，2个移民区的一网及换热站建设。</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2023年10月底</w:t>
            </w:r>
          </w:p>
        </w:tc>
        <w:tc>
          <w:tcPr>
            <w:tcW w:w="943" w:type="dxa"/>
            <w:vMerge w:val="continue"/>
            <w:tcBorders>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9</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建成区经营户燃煤炉具、散煤“双清零”。</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2023年10月底</w:t>
            </w:r>
          </w:p>
        </w:tc>
        <w:tc>
          <w:tcPr>
            <w:tcW w:w="943" w:type="dxa"/>
            <w:vMerge w:val="continue"/>
            <w:tcBorders>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10</w:t>
            </w:r>
          </w:p>
        </w:tc>
        <w:tc>
          <w:tcPr>
            <w:tcW w:w="9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监管落实建筑施工工地“六个百分之百”扬尘管控措施，对未执行的依法处理</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11</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监管落实城区餐饮行业油烟污染治理，对未安装和不正常运行油烟净化设施的依法处理</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12</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负责政府划分的责任路段的路面保洁</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w:t>
            </w:r>
          </w:p>
        </w:tc>
        <w:tc>
          <w:tcPr>
            <w:tcW w:w="9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监管落实5-9月每日10-16时，停止建成区建筑墙体涂刷以及道路划线、栏杆喷涂、道路沥青铺装等户外工程作业</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2023年9月底</w:t>
            </w:r>
          </w:p>
        </w:tc>
        <w:tc>
          <w:tcPr>
            <w:tcW w:w="943" w:type="dxa"/>
            <w:vMerge w:val="continue"/>
            <w:tcBorders>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14</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在审批“一住两公”（住宅、公共管理与公共服务）开发建设项目时，与生态环境、自然资源、行政审批等部门及时互通共享信息，防治土壤污染地块改变用途，配合开展土壤污染状况调查和风险评估</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15</w:t>
            </w:r>
          </w:p>
        </w:tc>
        <w:tc>
          <w:tcPr>
            <w:tcW w:w="9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生活垃圾填埋场进行地下水环境状况调查评估</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2023年年底</w:t>
            </w:r>
          </w:p>
        </w:tc>
        <w:tc>
          <w:tcPr>
            <w:tcW w:w="943" w:type="dxa"/>
            <w:vMerge w:val="continue"/>
            <w:tcBorders>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restart"/>
            <w:tcBorders>
              <w:top w:val="single" w:color="000000" w:sz="4" w:space="0"/>
              <w:left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w:t>
            </w:r>
          </w:p>
        </w:tc>
        <w:tc>
          <w:tcPr>
            <w:tcW w:w="100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县水利局</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正常运行夏家营镇南五村节水灌溉及退水治理工程，监管落实冬春浇时的退水不入磁窑河</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restart"/>
            <w:tcBorders>
              <w:top w:val="single" w:color="000000" w:sz="4" w:space="0"/>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贺争明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按县环委会要求，对磁窑河适时启动生态调水，促进磁窑河生态流量和水质稳定</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在磁窑河、文峪河干流两岸30～50米建设生态缓冲带，截留河流两岸污染</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有序推进</w:t>
            </w:r>
          </w:p>
        </w:tc>
        <w:tc>
          <w:tcPr>
            <w:tcW w:w="943" w:type="dxa"/>
            <w:vMerge w:val="continue"/>
            <w:tcBorders>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w:t>
            </w:r>
          </w:p>
        </w:tc>
        <w:tc>
          <w:tcPr>
            <w:tcW w:w="9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组织开展“清河行动”，及时清理国省考断面所涉干流支流河道堤内建筑垃圾、生活垃圾、工业废弃物、违法建筑物和影响河流水质的底淤</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建设完成磁窑河9.9公里防洪提升工程和瓦窑河11公里防洪提升工程</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2023年年底</w:t>
            </w:r>
          </w:p>
        </w:tc>
        <w:tc>
          <w:tcPr>
            <w:tcW w:w="943" w:type="dxa"/>
            <w:vMerge w:val="continue"/>
            <w:tcBorders>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6</w:t>
            </w:r>
          </w:p>
        </w:tc>
        <w:tc>
          <w:tcPr>
            <w:tcW w:w="9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配合生态环境部门开展地下水环境状况调查评估</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2023年年底</w:t>
            </w:r>
          </w:p>
        </w:tc>
        <w:tc>
          <w:tcPr>
            <w:tcW w:w="943" w:type="dxa"/>
            <w:vMerge w:val="continue"/>
            <w:tcBorders>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7</w:t>
            </w:r>
          </w:p>
        </w:tc>
        <w:tc>
          <w:tcPr>
            <w:tcW w:w="9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配合生态环境部门完成地下水污染防治重点区初步划定</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2023年底前</w:t>
            </w:r>
          </w:p>
        </w:tc>
        <w:tc>
          <w:tcPr>
            <w:tcW w:w="943" w:type="dxa"/>
            <w:vMerge w:val="continue"/>
            <w:tcBorders>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restart"/>
            <w:tcBorders>
              <w:top w:val="single" w:color="000000" w:sz="4" w:space="0"/>
              <w:left w:val="single" w:color="auto"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5</w:t>
            </w:r>
          </w:p>
        </w:tc>
        <w:tc>
          <w:tcPr>
            <w:tcW w:w="1005" w:type="dxa"/>
            <w:vMerge w:val="restart"/>
            <w:tcBorders>
              <w:top w:val="single" w:color="000000" w:sz="4" w:space="0"/>
              <w:left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县水利局</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8</w:t>
            </w:r>
            <w:r>
              <w:rPr>
                <w:color w:val="000000" w:themeColor="text1"/>
                <w:sz w:val="24"/>
                <w14:textFill>
                  <w14:solidFill>
                    <w14:schemeClr w14:val="tx1"/>
                  </w14:solidFill>
                </w14:textFill>
              </w:rPr>
              <mc:AlternateContent>
                <mc:Choice Requires="wps">
                  <w:drawing>
                    <wp:anchor distT="0" distB="0" distL="114300" distR="114300" simplePos="0" relativeHeight="251663360" behindDoc="1" locked="0" layoutInCell="1" allowOverlap="1">
                      <wp:simplePos x="0" y="0"/>
                      <wp:positionH relativeFrom="column">
                        <wp:posOffset>-4730115</wp:posOffset>
                      </wp:positionH>
                      <wp:positionV relativeFrom="paragraph">
                        <wp:posOffset>-5715</wp:posOffset>
                      </wp:positionV>
                      <wp:extent cx="3835400" cy="5220970"/>
                      <wp:effectExtent l="0" t="0" r="12700" b="17780"/>
                      <wp:wrapNone/>
                      <wp:docPr id="5" name="文本框 5"/>
                      <wp:cNvGraphicFramePr/>
                      <a:graphic xmlns:a="http://schemas.openxmlformats.org/drawingml/2006/main">
                        <a:graphicData uri="http://schemas.microsoft.com/office/word/2010/wordprocessingShape">
                          <wps:wsp>
                            <wps:cNvSpPr txBox="1"/>
                            <wps:spPr>
                              <a:xfrm>
                                <a:off x="0" y="0"/>
                                <a:ext cx="3835400" cy="5220970"/>
                              </a:xfrm>
                              <a:prstGeom prst="rect">
                                <a:avLst/>
                              </a:prstGeom>
                              <a:gradFill rotWithShape="0">
                                <a:gsLst>
                                  <a:gs pos="0">
                                    <a:srgbClr val="FFFFFF"/>
                                  </a:gs>
                                  <a:gs pos="100000">
                                    <a:srgbClr val="FFFFFF"/>
                                  </a:gs>
                                </a:gsLst>
                                <a:lin ang="0"/>
                                <a:tileRect/>
                              </a:gradFill>
                              <a:ln w="15875">
                                <a:noFill/>
                              </a:ln>
                            </wps:spPr>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- 46 -</w:t>
                                  </w:r>
                                </w:p>
                              </w:txbxContent>
                            </wps:txbx>
                            <wps:bodyPr vert="eaVert" upright="1"/>
                          </wps:wsp>
                        </a:graphicData>
                      </a:graphic>
                    </wp:anchor>
                  </w:drawing>
                </mc:Choice>
                <mc:Fallback>
                  <w:pict>
                    <v:shape id="_x0000_s1026" o:spid="_x0000_s1026" o:spt="202" type="#_x0000_t202" style="position:absolute;left:0pt;margin-left:-372.45pt;margin-top:-0.45pt;height:411.1pt;width:302pt;z-index:-251653120;mso-width-relative:page;mso-height-relative:page;" fillcolor="#FFFFFF" filled="t" stroked="f" coordsize="21600,21600" o:gfxdata="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glUVP2gAAAAsBAAAPAAAAAAAAAAEAIAAAACIA&#10;AABkcnMvZG93bnJldi54bWxQSwECFAAUAAAACACHTuJAjFqYUAcCAAAXBAAADgAAAAAAAAABACAA&#10;AAApAQAAZHJzL2Uyb0RvYy54bWxQSwUGAAAAAAYABgBZAQAAogUAAAAA&#10;">
                      <v:fill type="gradient" on="t" color2="#FFFFFF" angle="90" focus="100%" focussize="0,0">
                        <o:fill type="gradientUnscaled" v:ext="backwardCompatible"/>
                      </v:fill>
                      <v:stroke on="f" weight="1.2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- 46 -</w:t>
                            </w:r>
                          </w:p>
                        </w:txbxContent>
                      </v:textbox>
                    </v:shape>
                  </w:pict>
                </mc:Fallback>
              </mc:AlternateContent>
            </w:r>
          </w:p>
        </w:tc>
        <w:tc>
          <w:tcPr>
            <w:tcW w:w="9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对钻井、取水井排查登记，摸清底数，建立清单，与生态环境部门互通共享</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2023年6月前</w:t>
            </w:r>
          </w:p>
        </w:tc>
        <w:tc>
          <w:tcPr>
            <w:tcW w:w="943" w:type="dxa"/>
            <w:vMerge w:val="restart"/>
            <w:tcBorders>
              <w:top w:val="single" w:color="000000" w:sz="4" w:space="0"/>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贺争明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9</w:t>
            </w:r>
          </w:p>
        </w:tc>
        <w:tc>
          <w:tcPr>
            <w:tcW w:w="9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对农田灌溉用水及退水进行监测监控</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restar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6</w:t>
            </w:r>
          </w:p>
        </w:tc>
        <w:tc>
          <w:tcPr>
            <w:tcW w:w="100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县农业农村局</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推广农业节水灌溉，严控冬春浇期间农田“大水漫灌”行为，减少农田灌溉退水</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restar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王  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对农村沟渠存蓄的黑臭水体进行清理整治</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对山区因地制宜采取生物质取暖改造</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有序推进</w:t>
            </w:r>
          </w:p>
        </w:tc>
        <w:tc>
          <w:tcPr>
            <w:tcW w:w="943"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排查优先保护类耕地集中区域周边矿区的历史遗留废物，列出清单，与生态环境、自然资源部门及时互通共享</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2023年5月底</w:t>
            </w:r>
          </w:p>
        </w:tc>
        <w:tc>
          <w:tcPr>
            <w:tcW w:w="943"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依法将符合条件的优先保护类耕地划为永久基本农田， 定期进行土壤质量监测，监测结果与生态环境、自然资源部门及时互通共享</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有序推进</w:t>
            </w:r>
          </w:p>
        </w:tc>
        <w:tc>
          <w:tcPr>
            <w:tcW w:w="943"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6</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依法查处向农田施用重金属不达标肥料等农业投入品的行为</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7</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根据土地利用变更、土壤和农产品协同监测结果等，动态调整耕地土壤环境质量类别</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8</w:t>
            </w:r>
          </w:p>
        </w:tc>
        <w:tc>
          <w:tcPr>
            <w:tcW w:w="9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对辖区内农药、肥料等农业投入品使用进行指导和技术服务，鼓励和引导合理使用农药、肥料等农业投入品，防止地下水污染</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restart"/>
            <w:tcBorders>
              <w:top w:val="nil"/>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themeColor="text1"/>
                <w:sz w:val="24"/>
                <w:szCs w:val="24"/>
                <w:u w:val="none"/>
                <w:lang w:val="en-US"/>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7</w:t>
            </w:r>
          </w:p>
        </w:tc>
        <w:tc>
          <w:tcPr>
            <w:tcW w:w="1005" w:type="dxa"/>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发改局</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9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对在建、拟建和存量“两高”项目实行清单管理，分类处置，动态监管</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restart"/>
            <w:tcBorders>
              <w:top w:val="nil"/>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曹永卫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top w:val="nil"/>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w:t>
            </w:r>
          </w:p>
        </w:tc>
        <w:tc>
          <w:tcPr>
            <w:tcW w:w="9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加快推进年货运量150万吨以上工矿企业铁路专用线和联运转运衔接设施建设</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2023年年底</w:t>
            </w:r>
          </w:p>
        </w:tc>
        <w:tc>
          <w:tcPr>
            <w:tcW w:w="943" w:type="dxa"/>
            <w:vMerge w:val="continue"/>
            <w:tcBorders>
              <w:top w:val="nil"/>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top w:val="nil"/>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w:t>
            </w:r>
          </w:p>
        </w:tc>
        <w:tc>
          <w:tcPr>
            <w:tcW w:w="9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配合生态环境部门按要求完成我县地下水污染防治重点区初步划定</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2023年年底</w:t>
            </w:r>
          </w:p>
        </w:tc>
        <w:tc>
          <w:tcPr>
            <w:tcW w:w="943" w:type="dxa"/>
            <w:vMerge w:val="continue"/>
            <w:tcBorders>
              <w:top w:val="nil"/>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restart"/>
            <w:tcBorders>
              <w:top w:val="nil"/>
              <w:left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8</w:t>
            </w:r>
          </w:p>
        </w:tc>
        <w:tc>
          <w:tcPr>
            <w:tcW w:w="100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县工信局</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9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建成区重污染企业搬迁改造或关停退出</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2023年底</w:t>
            </w:r>
          </w:p>
        </w:tc>
        <w:tc>
          <w:tcPr>
            <w:tcW w:w="943" w:type="dxa"/>
            <w:vMerge w:val="restart"/>
            <w:tcBorders>
              <w:top w:val="nil"/>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孙  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w:t>
            </w:r>
          </w:p>
        </w:tc>
        <w:tc>
          <w:tcPr>
            <w:tcW w:w="9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淘汰炭化室高度4.3米焦炉.</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2023年底</w:t>
            </w:r>
          </w:p>
        </w:tc>
        <w:tc>
          <w:tcPr>
            <w:tcW w:w="943" w:type="dxa"/>
            <w:vMerge w:val="continue"/>
            <w:tcBorders>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w:t>
            </w:r>
          </w:p>
        </w:tc>
        <w:tc>
          <w:tcPr>
            <w:tcW w:w="9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以高排放行业为重点，按照企业环保绩效水平、所在位置，实施差异化错峰生产</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按时序进度</w:t>
            </w:r>
          </w:p>
        </w:tc>
        <w:tc>
          <w:tcPr>
            <w:tcW w:w="943" w:type="dxa"/>
            <w:vMerge w:val="continue"/>
            <w:tcBorders>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w:t>
            </w:r>
          </w:p>
        </w:tc>
        <w:tc>
          <w:tcPr>
            <w:tcW w:w="9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加快燃煤锅炉、间歇式固定床煤气发生炉淘汰</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按时序进度</w:t>
            </w:r>
          </w:p>
        </w:tc>
        <w:tc>
          <w:tcPr>
            <w:tcW w:w="943" w:type="dxa"/>
            <w:vMerge w:val="continue"/>
            <w:tcBorders>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5" w:hRule="atLeast"/>
          <w:jc w:val="center"/>
        </w:trPr>
        <w:tc>
          <w:tcPr>
            <w:tcW w:w="4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8</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县工信局</w:t>
            </w:r>
          </w:p>
        </w:tc>
        <w:tc>
          <w:tcPr>
            <w:tcW w:w="70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w:t>
            </w:r>
          </w:p>
        </w:tc>
        <w:tc>
          <w:tcPr>
            <w:tcW w:w="9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将全干法熄焦作为焦化行业的准入条件，监管全县所有“上大压小”新建焦炉要全部配套建设常用、备用干熄焦装置；现有5.5米焦炉完成常用干熄焦装置建设，具备条件的要配套建设备用干熄焦装置</w:t>
            </w:r>
          </w:p>
        </w:tc>
        <w:tc>
          <w:tcPr>
            <w:tcW w:w="184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2023年底</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孙  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restart"/>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9</w:t>
            </w:r>
          </w:p>
        </w:tc>
        <w:tc>
          <w:tcPr>
            <w:tcW w:w="1005"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县能源局</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9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牵头组织实施全县清洁取暖改造和重点区域散煤清零工程，天宁镇、夏家营镇、西营镇、洪相镇2023年采暖季前实现区域散煤基本清零。</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2023年10月底</w:t>
            </w:r>
          </w:p>
        </w:tc>
        <w:tc>
          <w:tcPr>
            <w:tcW w:w="943" w:type="dxa"/>
            <w:vMerge w:val="restart"/>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郭  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w:t>
            </w:r>
          </w:p>
        </w:tc>
        <w:tc>
          <w:tcPr>
            <w:tcW w:w="9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严格审核控制耗煤项目，落实耗煤项目煤炭减量替代措施</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w:t>
            </w:r>
          </w:p>
        </w:tc>
        <w:tc>
          <w:tcPr>
            <w:tcW w:w="9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全面评估现有清洁取暖改造运行情况，已完成清洁取暖改造但不能稳定运行、散煤复烧问题突出的区域，要因地制宜、实事求是优化清洁取暖改造方式或运行模式</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2023年10月底</w:t>
            </w:r>
          </w:p>
        </w:tc>
        <w:tc>
          <w:tcPr>
            <w:tcW w:w="943"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w:t>
            </w:r>
          </w:p>
        </w:tc>
        <w:tc>
          <w:tcPr>
            <w:tcW w:w="9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配合生态环境部门按要求完成我县闭坑煤矿矿坑水污染状况调查评估工作</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2023年10月底</w:t>
            </w:r>
          </w:p>
        </w:tc>
        <w:tc>
          <w:tcPr>
            <w:tcW w:w="943"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w:t>
            </w:r>
          </w:p>
        </w:tc>
        <w:tc>
          <w:tcPr>
            <w:tcW w:w="987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对报废矿井摸清底数，建立清单，与生态环境部门共享互通</w:t>
            </w:r>
          </w:p>
        </w:tc>
        <w:tc>
          <w:tcPr>
            <w:tcW w:w="184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2023年6月前</w:t>
            </w:r>
          </w:p>
        </w:tc>
        <w:tc>
          <w:tcPr>
            <w:tcW w:w="943"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themeColor="text1"/>
                <w:sz w:val="24"/>
                <w:szCs w:val="24"/>
                <w:u w:val="none"/>
                <w:lang w:val="en-US"/>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10</w:t>
            </w:r>
          </w:p>
        </w:tc>
        <w:tc>
          <w:tcPr>
            <w:tcW w:w="1005"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县交通局</w:t>
            </w:r>
          </w:p>
        </w:tc>
        <w:tc>
          <w:tcPr>
            <w:tcW w:w="705" w:type="dxa"/>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987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推广新能源、清洁车辆，新增或更换市政公共领域车辆全部使用电动汽车、氢能汽车或甲醇汽车</w:t>
            </w:r>
          </w:p>
        </w:tc>
        <w:tc>
          <w:tcPr>
            <w:tcW w:w="1845"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restart"/>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张学强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auto"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w:t>
            </w:r>
          </w:p>
        </w:tc>
        <w:tc>
          <w:tcPr>
            <w:tcW w:w="987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整治货运车辆停车场，防治停车场扬尘污染</w:t>
            </w:r>
          </w:p>
        </w:tc>
        <w:tc>
          <w:tcPr>
            <w:tcW w:w="184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2023年底</w:t>
            </w:r>
          </w:p>
        </w:tc>
        <w:tc>
          <w:tcPr>
            <w:tcW w:w="943"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w:t>
            </w:r>
          </w:p>
        </w:tc>
        <w:tc>
          <w:tcPr>
            <w:tcW w:w="9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对交鲁线实施扬尘污染整治</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w:t>
            </w:r>
          </w:p>
        </w:tc>
        <w:tc>
          <w:tcPr>
            <w:tcW w:w="9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在铁路专用线建设投运前，监管落实公路运输使用国六排放标准车辆或新能源车辆（包括氢能、甲醇车辆）</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2023年底</w:t>
            </w:r>
          </w:p>
        </w:tc>
        <w:tc>
          <w:tcPr>
            <w:tcW w:w="943"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w:t>
            </w:r>
          </w:p>
        </w:tc>
        <w:tc>
          <w:tcPr>
            <w:tcW w:w="9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推动国四及以下排放标准柴油货车和采用稀薄燃烧技术的燃气货车提前淘汰，符合强制报废情形的，强制报废、拆解</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6</w:t>
            </w:r>
            <w:r>
              <w:rPr>
                <w:rFonts w:hint="eastAsia" w:ascii="黑体" w:hAnsi="黑体" w:eastAsia="黑体" w:cs="黑体"/>
                <w:color w:val="000000" w:themeColor="text1"/>
                <w:sz w:val="32"/>
                <w:szCs w:val="32"/>
                <w14:textFill>
                  <w14:solidFill>
                    <w14:schemeClr w14:val="tx1"/>
                  </w14:solidFill>
                </w14:textFill>
              </w:rPr>
              <mc:AlternateContent>
                <mc:Choice Requires="wps">
                  <w:drawing>
                    <wp:anchor distT="0" distB="0" distL="114300" distR="114300" simplePos="0" relativeHeight="251669504" behindDoc="1" locked="0" layoutInCell="1" allowOverlap="1">
                      <wp:simplePos x="0" y="0"/>
                      <wp:positionH relativeFrom="column">
                        <wp:posOffset>-4739640</wp:posOffset>
                      </wp:positionH>
                      <wp:positionV relativeFrom="paragraph">
                        <wp:posOffset>143510</wp:posOffset>
                      </wp:positionV>
                      <wp:extent cx="3835400" cy="792480"/>
                      <wp:effectExtent l="0" t="0" r="12700" b="7620"/>
                      <wp:wrapNone/>
                      <wp:docPr id="12" name="文本框 12"/>
                      <wp:cNvGraphicFramePr/>
                      <a:graphic xmlns:a="http://schemas.openxmlformats.org/drawingml/2006/main">
                        <a:graphicData uri="http://schemas.microsoft.com/office/word/2010/wordprocessingShape">
                          <wps:wsp>
                            <wps:cNvSpPr txBox="1"/>
                            <wps:spPr>
                              <a:xfrm>
                                <a:off x="0" y="0"/>
                                <a:ext cx="3835400" cy="792480"/>
                              </a:xfrm>
                              <a:prstGeom prst="rect">
                                <a:avLst/>
                              </a:prstGeom>
                              <a:gradFill rotWithShape="0">
                                <a:gsLst>
                                  <a:gs pos="0">
                                    <a:srgbClr val="FFFFFF"/>
                                  </a:gs>
                                  <a:gs pos="100000">
                                    <a:srgbClr val="FFFFFF"/>
                                  </a:gs>
                                </a:gsLst>
                                <a:lin ang="0"/>
                                <a:tileRect/>
                              </a:gradFill>
                              <a:ln w="15875">
                                <a:noFill/>
                              </a:ln>
                            </wps:spPr>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- 47 -</w:t>
                                  </w:r>
                                </w:p>
                              </w:txbxContent>
                            </wps:txbx>
                            <wps:bodyPr vert="eaVert" upright="1"/>
                          </wps:wsp>
                        </a:graphicData>
                      </a:graphic>
                    </wp:anchor>
                  </w:drawing>
                </mc:Choice>
                <mc:Fallback>
                  <w:pict>
                    <v:shape id="_x0000_s1026" o:spid="_x0000_s1026" o:spt="202" type="#_x0000_t202" style="position:absolute;left:0pt;margin-left:-373.2pt;margin-top:11.3pt;height:62.4pt;width:302pt;z-index:-251646976;mso-width-relative:page;mso-height-relative:page;" fillcolor="#FFFFFF" filled="t" stroked="f" coordsize="21600,21600" o:gfxdata="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a/F6doAAAAMAQAADwAAAAAAAAABACAAAAAi&#10;AAAAZHJzL2Rvd25yZXYueG1sUEsBAhQAFAAAAAgAh07iQNErvCwIAgAAGAQAAA4AAAAAAAAAAQAg&#10;AAAAKQ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- 47 -</w:t>
                            </w:r>
                          </w:p>
                        </w:txbxContent>
                      </v:textbox>
                    </v:shape>
                  </w:pict>
                </mc:Fallback>
              </mc:AlternateContent>
            </w:r>
          </w:p>
        </w:tc>
        <w:tc>
          <w:tcPr>
            <w:tcW w:w="9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负责政府划分的责任路段的路面保洁</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7</w:t>
            </w:r>
          </w:p>
        </w:tc>
        <w:tc>
          <w:tcPr>
            <w:tcW w:w="9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加强城区渣土运输车辆管理，严查未按规定时间和路线行驶、沿途抛洒、随意倾倒等违法行为</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themeColor="text1"/>
                <w:sz w:val="24"/>
                <w:szCs w:val="24"/>
                <w:u w:val="none"/>
                <w:lang w:val="en-US"/>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11</w:t>
            </w:r>
          </w:p>
        </w:tc>
        <w:tc>
          <w:tcPr>
            <w:tcW w:w="1005" w:type="dxa"/>
            <w:vMerge w:val="restart"/>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县市场局</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r>
              <w:rPr>
                <w:color w:val="000000" w:themeColor="text1"/>
                <w:sz w:val="24"/>
                <w14:textFill>
                  <w14:solidFill>
                    <w14:schemeClr w14:val="tx1"/>
                  </w14:solidFill>
                </w14:textFill>
              </w:rPr>
              <mc:AlternateContent>
                <mc:Choice Requires="wps">
                  <w:drawing>
                    <wp:anchor distT="0" distB="0" distL="114300" distR="114300" simplePos="0" relativeHeight="251664384" behindDoc="1" locked="0" layoutInCell="1" allowOverlap="1">
                      <wp:simplePos x="0" y="0"/>
                      <wp:positionH relativeFrom="column">
                        <wp:posOffset>-4730115</wp:posOffset>
                      </wp:positionH>
                      <wp:positionV relativeFrom="paragraph">
                        <wp:posOffset>-5715</wp:posOffset>
                      </wp:positionV>
                      <wp:extent cx="3835400" cy="5220970"/>
                      <wp:effectExtent l="0" t="0" r="12700" b="17780"/>
                      <wp:wrapNone/>
                      <wp:docPr id="6" name="文本框 6"/>
                      <wp:cNvGraphicFramePr/>
                      <a:graphic xmlns:a="http://schemas.openxmlformats.org/drawingml/2006/main">
                        <a:graphicData uri="http://schemas.microsoft.com/office/word/2010/wordprocessingShape">
                          <wps:wsp>
                            <wps:cNvSpPr txBox="1"/>
                            <wps:spPr>
                              <a:xfrm>
                                <a:off x="0" y="0"/>
                                <a:ext cx="3835400" cy="5220970"/>
                              </a:xfrm>
                              <a:prstGeom prst="rect">
                                <a:avLst/>
                              </a:prstGeom>
                              <a:gradFill rotWithShape="0">
                                <a:gsLst>
                                  <a:gs pos="0">
                                    <a:srgbClr val="FFFFFF"/>
                                  </a:gs>
                                  <a:gs pos="100000">
                                    <a:srgbClr val="FFFFFF"/>
                                  </a:gs>
                                </a:gsLst>
                                <a:lin ang="0"/>
                                <a:tileRect/>
                              </a:gradFill>
                              <a:ln w="15875">
                                <a:noFill/>
                              </a:ln>
                            </wps:spPr>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- 48 -</w:t>
                                  </w:r>
                                </w:p>
                              </w:txbxContent>
                            </wps:txbx>
                            <wps:bodyPr vert="eaVert" upright="1"/>
                          </wps:wsp>
                        </a:graphicData>
                      </a:graphic>
                    </wp:anchor>
                  </w:drawing>
                </mc:Choice>
                <mc:Fallback>
                  <w:pict>
                    <v:shape id="_x0000_s1026" o:spid="_x0000_s1026" o:spt="202" type="#_x0000_t202" style="position:absolute;left:0pt;margin-left:-372.45pt;margin-top:-0.45pt;height:411.1pt;width:302pt;z-index:-251652096;mso-width-relative:page;mso-height-relative:page;" fillcolor="#FFFFFF" filled="t" stroked="f" coordsize="21600,21600" o:gfxdata="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JVFT9oAAAALAQAADwAAAAAAAAABACAAAAAi&#10;AAAAZHJzL2Rvd25yZXYueG1sUEsBAhQAFAAAAAgAh07iQHJrcl0IAgAAFwQAAA4AAAAAAAAAAQAg&#10;AAAAKQ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- 48 -</w:t>
                            </w:r>
                          </w:p>
                        </w:txbxContent>
                      </v:textbox>
                    </v:shape>
                  </w:pict>
                </mc:Fallback>
              </mc:AlternateContent>
            </w:r>
          </w:p>
        </w:tc>
        <w:tc>
          <w:tcPr>
            <w:tcW w:w="9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对天宁镇、夏家营镇、经济开发区洗车点进行规范整治，取缔不符合要求的洗车点</w:t>
            </w:r>
          </w:p>
        </w:tc>
        <w:tc>
          <w:tcPr>
            <w:tcW w:w="184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李建忠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w:t>
            </w:r>
          </w:p>
        </w:tc>
        <w:tc>
          <w:tcPr>
            <w:tcW w:w="9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加强油品生产、仓储、销售、运输、使用等全环节监管，对油品进行定期抽检，全面清理整顿无证无照的自建油罐、流动加油车、黑加油站点</w:t>
            </w:r>
          </w:p>
        </w:tc>
        <w:tc>
          <w:tcPr>
            <w:tcW w:w="184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w:t>
            </w:r>
          </w:p>
        </w:tc>
        <w:tc>
          <w:tcPr>
            <w:tcW w:w="9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对政府指定的清洁型煤和煤炭供应点煤炭质量定期抽检，与能源和生态环境部门及时互通信息</w:t>
            </w:r>
          </w:p>
        </w:tc>
        <w:tc>
          <w:tcPr>
            <w:tcW w:w="184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themeColor="text1"/>
                <w:sz w:val="24"/>
                <w:szCs w:val="24"/>
                <w:u w:val="none"/>
                <w:lang w:val="en-US"/>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12</w:t>
            </w:r>
          </w:p>
        </w:tc>
        <w:tc>
          <w:tcPr>
            <w:tcW w:w="100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公路管理段</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9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负责国、省道路面保洁</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贺文斌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restart"/>
            <w:tcBorders>
              <w:top w:val="nil"/>
              <w:left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13</w:t>
            </w:r>
          </w:p>
        </w:tc>
        <w:tc>
          <w:tcPr>
            <w:tcW w:w="100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自然资源局</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9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全面排查优先保护类耕地集中区域周边矿区的历史遗留废物，与农业农村和生态环境部门及时互通信息</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2023年5月底</w:t>
            </w:r>
          </w:p>
        </w:tc>
        <w:tc>
          <w:tcPr>
            <w:tcW w:w="943" w:type="dxa"/>
            <w:vMerge w:val="restart"/>
            <w:tcBorders>
              <w:top w:val="nil"/>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张五宁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w:t>
            </w:r>
          </w:p>
        </w:tc>
        <w:tc>
          <w:tcPr>
            <w:tcW w:w="9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依法将符合条件的优先保护类耕地划为永久基本农田， 实行严格保护，确保其面积不减少、土壤环境质量不下降</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有序推进</w:t>
            </w:r>
          </w:p>
        </w:tc>
        <w:tc>
          <w:tcPr>
            <w:tcW w:w="943" w:type="dxa"/>
            <w:vMerge w:val="continue"/>
            <w:tcBorders>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w:t>
            </w:r>
          </w:p>
        </w:tc>
        <w:tc>
          <w:tcPr>
            <w:tcW w:w="9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禁止将曾用于生产、使用、贮存、回收、处置有毒有害物质的工矿用地复垦为种植食用农产品的耕地</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w:t>
            </w:r>
          </w:p>
        </w:tc>
        <w:tc>
          <w:tcPr>
            <w:tcW w:w="9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牵头以用途变更为“一住两公”（住宅、公共管理与公共服务）用地的地块为重点，依法开展土壤污染状况调查和风险评估（原用途为“一住两公”地块除外）工作</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w:t>
            </w:r>
          </w:p>
        </w:tc>
        <w:tc>
          <w:tcPr>
            <w:tcW w:w="9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将土壤污染重点监管单位生产经营用地的土壤污染状况调查报告依法纳入不动产登记资料</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6</w:t>
            </w:r>
          </w:p>
        </w:tc>
        <w:tc>
          <w:tcPr>
            <w:tcW w:w="9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从严管控农药、焦化、化工等行业中的重度污染地块规划用途，严禁规划学校、住宅等，鼓励用于拓展生态空间</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7</w:t>
            </w:r>
          </w:p>
        </w:tc>
        <w:tc>
          <w:tcPr>
            <w:tcW w:w="9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对列入建设用地土壤污染风险管控和修复名录的地块，严禁作为“一住两公”用地办理土地收回、收购、土地供应以及改变土地用途等手续</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8</w:t>
            </w:r>
          </w:p>
        </w:tc>
        <w:tc>
          <w:tcPr>
            <w:tcW w:w="9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对于成片污染地块分期分批开发的，以及污染地块周边土地开发的，要优化开发时序，合理安排土地供应及相关规划许可证发放时序</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13</w:t>
            </w:r>
          </w:p>
        </w:tc>
        <w:tc>
          <w:tcPr>
            <w:tcW w:w="1005" w:type="dxa"/>
            <w:vMerge w:val="restart"/>
            <w:tcBorders>
              <w:top w:val="single" w:color="000000" w:sz="4" w:space="0"/>
              <w:left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自然资源局</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9</w:t>
            </w:r>
          </w:p>
        </w:tc>
        <w:tc>
          <w:tcPr>
            <w:tcW w:w="9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与生态环境、住建、行政审批等部门及时共享疑似污染地块、污染地块有关信息、拟将用途变更为“一住两公”的地块信息、土壤污染重点监管单位生产经营用地用途变更或土地使用权收回、转让信息。与生态环境、住建、行政审批等部门要建立调度协商机制，每季度调度分析本行政区域重点建设用地安全利用情况，及时解决存在的土壤环境风险</w:t>
            </w:r>
          </w:p>
        </w:tc>
        <w:tc>
          <w:tcPr>
            <w:tcW w:w="184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张五宁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10</w:t>
            </w:r>
          </w:p>
        </w:tc>
        <w:tc>
          <w:tcPr>
            <w:tcW w:w="9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依法查处污染物随意倾倒、填埋，受污染土壤随意处置等破坏土壤环境的行为，严厉打击污染地块违法违规再开发利用行为</w:t>
            </w:r>
          </w:p>
        </w:tc>
        <w:tc>
          <w:tcPr>
            <w:tcW w:w="184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11</w:t>
            </w:r>
          </w:p>
        </w:tc>
        <w:tc>
          <w:tcPr>
            <w:tcW w:w="9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配合生态环境部门按要求完成全市地下水环境状况调查评估工作。</w:t>
            </w:r>
          </w:p>
        </w:tc>
        <w:tc>
          <w:tcPr>
            <w:tcW w:w="184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2023年底前</w:t>
            </w:r>
          </w:p>
        </w:tc>
        <w:tc>
          <w:tcPr>
            <w:tcW w:w="9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12</w:t>
            </w:r>
          </w:p>
        </w:tc>
        <w:tc>
          <w:tcPr>
            <w:tcW w:w="9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配合生态环境部门按要求完成我县闭坑煤矿矿坑水污染状况调查评估工作</w:t>
            </w:r>
          </w:p>
        </w:tc>
        <w:tc>
          <w:tcPr>
            <w:tcW w:w="184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2023年10月底</w:t>
            </w:r>
          </w:p>
        </w:tc>
        <w:tc>
          <w:tcPr>
            <w:tcW w:w="9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w:t>
            </w:r>
          </w:p>
        </w:tc>
        <w:tc>
          <w:tcPr>
            <w:tcW w:w="9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配合生态环境部门按要求完成我县地下水污染防治重点区初步划定</w:t>
            </w:r>
          </w:p>
        </w:tc>
        <w:tc>
          <w:tcPr>
            <w:tcW w:w="184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2023年底前</w:t>
            </w:r>
          </w:p>
        </w:tc>
        <w:tc>
          <w:tcPr>
            <w:tcW w:w="9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restart"/>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themeColor="text1"/>
                <w:sz w:val="24"/>
                <w:szCs w:val="24"/>
                <w:u w:val="none"/>
                <w:lang w:val="en-US"/>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14</w:t>
            </w:r>
          </w:p>
        </w:tc>
        <w:tc>
          <w:tcPr>
            <w:tcW w:w="1005" w:type="dxa"/>
            <w:vMerge w:val="restart"/>
            <w:tcBorders>
              <w:top w:val="nil"/>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行政审批局</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9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从严审批生态环境负面清单和县政府、县环委会以正式文件限制审批的行业项目</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restart"/>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张文举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top w:val="nil"/>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w:t>
            </w:r>
          </w:p>
        </w:tc>
        <w:tc>
          <w:tcPr>
            <w:tcW w:w="9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在审批时，对列入建设用地土壤污染风险管控和修复名录的地块，严禁作为“一住两公”用地，严禁办理土地收回、收购、土地供应以及改变土地用途等手续</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top w:val="nil"/>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w:t>
            </w:r>
          </w:p>
        </w:tc>
        <w:tc>
          <w:tcPr>
            <w:tcW w:w="9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对于成片污染地块分期分批开发的，以及污染地块周边土地开发的，要优化开发时序，合理安排土地供应及相关规划许可证发放时序</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top w:val="nil"/>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w:t>
            </w:r>
          </w:p>
        </w:tc>
        <w:tc>
          <w:tcPr>
            <w:tcW w:w="9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与生态环境、自然资源、住建等部门应及时共享用途变更为“一住两公”的地块信息、土壤污染重点监管单位生产经营用地用途变更或土地使用权收回、转让信息。与生态环境、自然资源、住建等部门要建立调度协商机制，每季度调度，及时解决存在的土壤环境风险</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restart"/>
            <w:tcBorders>
              <w:top w:val="single" w:color="auto" w:sz="4" w:space="0"/>
              <w:left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15</w:t>
            </w:r>
          </w:p>
        </w:tc>
        <w:tc>
          <w:tcPr>
            <w:tcW w:w="1005"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天宁镇</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严格监管属地河道，严禁非法挖沙、采石、捕鱼及其他扰乱水体的行为，及时清理河道建筑垃圾、生活垃圾、工业废弃物及违法建筑物，对影响河流水质的底淤进行清理</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restart"/>
            <w:tcBorders>
              <w:top w:val="single" w:color="auto" w:sz="4" w:space="0"/>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张继国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组织推进农村生活污水治理</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按时序进度</w:t>
            </w:r>
          </w:p>
        </w:tc>
        <w:tc>
          <w:tcPr>
            <w:tcW w:w="943" w:type="dxa"/>
            <w:vMerge w:val="continue"/>
            <w:tcBorders>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动态清零辖区内“土小散污”企业</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w:t>
            </w:r>
            <w:r>
              <w:rPr>
                <w:rFonts w:hint="eastAsia" w:ascii="黑体" w:hAnsi="黑体" w:eastAsia="黑体" w:cs="黑体"/>
                <w:color w:val="000000" w:themeColor="text1"/>
                <w:sz w:val="32"/>
                <w:szCs w:val="32"/>
                <w14:textFill>
                  <w14:solidFill>
                    <w14:schemeClr w14:val="tx1"/>
                  </w14:solidFill>
                </w14:textFill>
              </w:rPr>
              <mc:AlternateContent>
                <mc:Choice Requires="wps">
                  <w:drawing>
                    <wp:anchor distT="0" distB="0" distL="114300" distR="114300" simplePos="0" relativeHeight="251667456" behindDoc="1" locked="0" layoutInCell="1" allowOverlap="1">
                      <wp:simplePos x="0" y="0"/>
                      <wp:positionH relativeFrom="column">
                        <wp:posOffset>-4739640</wp:posOffset>
                      </wp:positionH>
                      <wp:positionV relativeFrom="paragraph">
                        <wp:posOffset>-545465</wp:posOffset>
                      </wp:positionV>
                      <wp:extent cx="3835400" cy="792480"/>
                      <wp:effectExtent l="0" t="0" r="12700" b="7620"/>
                      <wp:wrapNone/>
                      <wp:docPr id="10" name="文本框 10"/>
                      <wp:cNvGraphicFramePr/>
                      <a:graphic xmlns:a="http://schemas.openxmlformats.org/drawingml/2006/main">
                        <a:graphicData uri="http://schemas.microsoft.com/office/word/2010/wordprocessingShape">
                          <wps:wsp>
                            <wps:cNvSpPr txBox="1"/>
                            <wps:spPr>
                              <a:xfrm>
                                <a:off x="0" y="0"/>
                                <a:ext cx="3835400" cy="792480"/>
                              </a:xfrm>
                              <a:prstGeom prst="rect">
                                <a:avLst/>
                              </a:prstGeom>
                              <a:gradFill rotWithShape="0">
                                <a:gsLst>
                                  <a:gs pos="0">
                                    <a:srgbClr val="FFFFFF"/>
                                  </a:gs>
                                  <a:gs pos="100000">
                                    <a:srgbClr val="FFFFFF"/>
                                  </a:gs>
                                </a:gsLst>
                                <a:lin ang="0"/>
                                <a:tileRect/>
                              </a:gradFill>
                              <a:ln w="15875">
                                <a:noFill/>
                              </a:ln>
                            </wps:spPr>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- 49 -</w:t>
                                  </w:r>
                                </w:p>
                              </w:txbxContent>
                            </wps:txbx>
                            <wps:bodyPr vert="eaVert" upright="1"/>
                          </wps:wsp>
                        </a:graphicData>
                      </a:graphic>
                    </wp:anchor>
                  </w:drawing>
                </mc:Choice>
                <mc:Fallback>
                  <w:pict>
                    <v:shape id="_x0000_s1026" o:spid="_x0000_s1026" o:spt="202" type="#_x0000_t202" style="position:absolute;left:0pt;margin-left:-373.2pt;margin-top:-42.95pt;height:62.4pt;width:302pt;z-index:-251649024;mso-width-relative:page;mso-height-relative:page;" fillcolor="#FFFFFF" filled="t" stroked="f" coordsize="21600,21600" o:gfxdata="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YGjw7cAAAADAEAAA8AAAAAAAAAAQAgAAAA&#10;IgAAAGRycy9kb3ducmV2LnhtbFBLAQIUABQAAAAIAIdO4kDz9aYZBwIAABgEAAAOAAAAAAAAAAEA&#10;IAAAACs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- 49 -</w:t>
                            </w:r>
                          </w:p>
                        </w:txbxContent>
                      </v:textbox>
                    </v:shape>
                  </w:pict>
                </mc:Fallback>
              </mc:AlternateConten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强化监管露天焚烧秸秆、垃圾、废物行为，对发现的违法行为依法进行查处</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restart"/>
            <w:tcBorders>
              <w:top w:val="single" w:color="auto" w:sz="4" w:space="0"/>
              <w:left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15</w:t>
            </w:r>
          </w:p>
        </w:tc>
        <w:tc>
          <w:tcPr>
            <w:tcW w:w="1005" w:type="dxa"/>
            <w:vMerge w:val="restart"/>
            <w:tcBorders>
              <w:top w:val="single" w:color="000000" w:sz="4" w:space="0"/>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天宁镇</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w:t>
            </w:r>
            <w:r>
              <w:rPr>
                <w:color w:val="000000" w:themeColor="text1"/>
                <w:sz w:val="24"/>
                <w14:textFill>
                  <w14:solidFill>
                    <w14:schemeClr w14:val="tx1"/>
                  </w14:solidFill>
                </w14:textFill>
              </w:rPr>
              <mc:AlternateContent>
                <mc:Choice Requires="wps">
                  <w:drawing>
                    <wp:anchor distT="0" distB="0" distL="114300" distR="114300" simplePos="0" relativeHeight="251665408" behindDoc="1" locked="0" layoutInCell="1" allowOverlap="1">
                      <wp:simplePos x="0" y="0"/>
                      <wp:positionH relativeFrom="column">
                        <wp:posOffset>-4730115</wp:posOffset>
                      </wp:positionH>
                      <wp:positionV relativeFrom="paragraph">
                        <wp:posOffset>-5715</wp:posOffset>
                      </wp:positionV>
                      <wp:extent cx="3835400" cy="5220970"/>
                      <wp:effectExtent l="0" t="0" r="12700" b="17780"/>
                      <wp:wrapNone/>
                      <wp:docPr id="7" name="文本框 7"/>
                      <wp:cNvGraphicFramePr/>
                      <a:graphic xmlns:a="http://schemas.openxmlformats.org/drawingml/2006/main">
                        <a:graphicData uri="http://schemas.microsoft.com/office/word/2010/wordprocessingShape">
                          <wps:wsp>
                            <wps:cNvSpPr txBox="1"/>
                            <wps:spPr>
                              <a:xfrm>
                                <a:off x="0" y="0"/>
                                <a:ext cx="3835400" cy="5220970"/>
                              </a:xfrm>
                              <a:prstGeom prst="rect">
                                <a:avLst/>
                              </a:prstGeom>
                              <a:gradFill rotWithShape="0">
                                <a:gsLst>
                                  <a:gs pos="0">
                                    <a:srgbClr val="FFFFFF"/>
                                  </a:gs>
                                  <a:gs pos="100000">
                                    <a:srgbClr val="FFFFFF"/>
                                  </a:gs>
                                </a:gsLst>
                                <a:lin ang="0"/>
                                <a:tileRect/>
                              </a:gradFill>
                              <a:ln w="15875">
                                <a:noFill/>
                              </a:ln>
                            </wps:spPr>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- 50 -</w:t>
                                  </w:r>
                                </w:p>
                              </w:txbxContent>
                            </wps:txbx>
                            <wps:bodyPr vert="eaVert" upright="1"/>
                          </wps:wsp>
                        </a:graphicData>
                      </a:graphic>
                    </wp:anchor>
                  </w:drawing>
                </mc:Choice>
                <mc:Fallback>
                  <w:pict>
                    <v:shape id="_x0000_s1026" o:spid="_x0000_s1026" o:spt="202" type="#_x0000_t202" style="position:absolute;left:0pt;margin-left:-372.45pt;margin-top:-0.45pt;height:411.1pt;width:302pt;z-index:-251651072;mso-width-relative:page;mso-height-relative:page;" fillcolor="#FFFFFF" filled="t" stroked="f" coordsize="21600,21600" o:gfxdata="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glUVP2gAAAAsBAAAPAAAAAAAAAAEAIAAAACIA&#10;AABkcnMvZG93bnJldi54bWxQSwECFAAUAAAACACHTuJA2HvUWQcCAAAXBAAADgAAAAAAAAABACAA&#10;AAApAQAAZHJzL2Uyb0RvYy54bWxQSwUGAAAAAAYABgBZAQAAogUAAAAA&#10;">
                      <v:fill type="gradient" on="t" color2="#FFFFFF" angle="90" focus="100%" focussize="0,0">
                        <o:fill type="gradientUnscaled" v:ext="backwardCompatible"/>
                      </v:fill>
                      <v:stroke on="f" weight="1.2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- 50 -</w:t>
                            </w:r>
                          </w:p>
                        </w:txbxContent>
                      </v:textbox>
                    </v:shape>
                  </w:pict>
                </mc:Fallback>
              </mc:AlternateConten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完成辖区内农村集中供热工程二网建设工程。</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2023年10月底</w:t>
            </w:r>
          </w:p>
        </w:tc>
        <w:tc>
          <w:tcPr>
            <w:tcW w:w="943" w:type="dxa"/>
            <w:vMerge w:val="restart"/>
            <w:tcBorders>
              <w:top w:val="single" w:color="auto" w:sz="4" w:space="0"/>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张继国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6</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监管纠正清洁采暖已覆盖区域散煤复烧问题；查处清洁采暖未覆盖区域劣质煤采暖行为，组织落实清洁采暖或清洁型煤置换工作</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2023年10月底</w:t>
            </w:r>
          </w:p>
        </w:tc>
        <w:tc>
          <w:tcPr>
            <w:tcW w:w="943" w:type="dxa"/>
            <w:vMerge w:val="continue"/>
            <w:tcBorders>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7</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组织落实辖区内村（街）级道路路面保洁工作</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restart"/>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16</w:t>
            </w:r>
          </w:p>
        </w:tc>
        <w:tc>
          <w:tcPr>
            <w:tcW w:w="10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夏家营镇</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严格监管属地河道，严禁非法挖沙、采石、捕鱼及其他扰乱水体的行为，及时清理河道建筑垃圾、生活垃圾、工业废弃物及违法建筑物，对影响河流水质的底淤进行清理</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restart"/>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闫国瑞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完成夏王村、段村、郑村、连家寨村、郭家寨村、贺家寨村、贾家寨村、大辛村、小辛村、辛南村10个农村生活污水处理站建设任务。恢复覃村、义望村、夏家营村、王明寨村生活污水泵站运行</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2023年12月底</w:t>
            </w:r>
          </w:p>
        </w:tc>
        <w:tc>
          <w:tcPr>
            <w:tcW w:w="943"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动态清零辖区内“土小散污”企业</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强化监管露天焚烧秸秆、垃圾、废物行为，对发现的违法行为依法进行查处</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完成辖区内农村集中供热工程二网建设工程。</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2023年10月底</w:t>
            </w:r>
          </w:p>
        </w:tc>
        <w:tc>
          <w:tcPr>
            <w:tcW w:w="943"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6</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监管纠正清洁采暖已覆盖区域散煤复烧问题；查处清洁采暖未覆盖区域劣质煤采暖行为，组织落实清洁采暖或清洁型煤置换工作</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2023年10月底</w:t>
            </w:r>
          </w:p>
        </w:tc>
        <w:tc>
          <w:tcPr>
            <w:tcW w:w="943"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7</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组织落实辖区内村（街）级道路路面保洁工作</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restart"/>
            <w:tcBorders>
              <w:top w:val="single" w:color="auto" w:sz="4" w:space="0"/>
              <w:left w:val="single" w:color="auto"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17</w:t>
            </w:r>
          </w:p>
        </w:tc>
        <w:tc>
          <w:tcPr>
            <w:tcW w:w="1005" w:type="dxa"/>
            <w:vMerge w:val="restart"/>
            <w:tcBorders>
              <w:top w:val="single" w:color="000000" w:sz="4" w:space="0"/>
              <w:left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洪相镇</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98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严格监管属地河道，严禁非法挖沙、采石、捕鱼及其他扰乱水体的行为，及时清理河道建筑垃圾、生活垃圾、工业废弃物及违法建筑物，对影响河流水质的底淤进行清理</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restart"/>
            <w:tcBorders>
              <w:top w:val="single" w:color="auto" w:sz="4" w:space="0"/>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杨  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组织推进农村生活污水治理，完成成村生活污水收集管网建设任务，正常运行广兴村生活污水处理设施</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按时序进度</w:t>
            </w:r>
          </w:p>
        </w:tc>
        <w:tc>
          <w:tcPr>
            <w:tcW w:w="943" w:type="dxa"/>
            <w:vMerge w:val="continue"/>
            <w:tcBorders>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动态清零辖区内“土小散污”企业</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强化监管露天焚烧秸秆、垃圾、废物行为，对发现的违法行为依法进行查处</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完成辖区内农村集中供热工程二网建设工程，组织落实对已建成的天然气采暖工程的运行</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2023年10月底</w:t>
            </w:r>
          </w:p>
        </w:tc>
        <w:tc>
          <w:tcPr>
            <w:tcW w:w="943" w:type="dxa"/>
            <w:vMerge w:val="continue"/>
            <w:tcBorders>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restart"/>
            <w:tcBorders>
              <w:top w:val="single" w:color="auto" w:sz="4" w:space="0"/>
              <w:left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17</w:t>
            </w:r>
          </w:p>
        </w:tc>
        <w:tc>
          <w:tcPr>
            <w:tcW w:w="100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洪相镇</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6</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监管纠正清洁采暖已覆盖区域散煤复烧问题；查处清洁采暖未覆盖区域劣质煤采暖行为，组织落实清洁采暖或清洁型煤置换工作</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2023年10月底</w:t>
            </w:r>
          </w:p>
        </w:tc>
        <w:tc>
          <w:tcPr>
            <w:tcW w:w="943" w:type="dxa"/>
            <w:vMerge w:val="restart"/>
            <w:tcBorders>
              <w:top w:val="single" w:color="auto" w:sz="4" w:space="0"/>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杨  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7</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组织落实辖区内村（街）级道路路面保洁工作</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restart"/>
            <w:tcBorders>
              <w:top w:val="single" w:color="auto" w:sz="4" w:space="0"/>
              <w:left w:val="single" w:color="auto" w:sz="4" w:space="0"/>
              <w:bottom w:val="single" w:color="auto"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18</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西营镇</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98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严格监管属地河道，严禁非法挖沙、采石、捕鱼及其他扰乱水体的行为，及时清理河道建筑垃圾、生活垃圾、工业废弃物及违法建筑物，对影响河流水质的底淤进行清理</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restart"/>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杨文辉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组织推进农村生活污水收集管网工程建设，除石侯村外，辖区内农村生活污水全部纳入西营污水处理厂处理，正常运行石侯村一体生活污水处理设施</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按时序进度</w:t>
            </w:r>
          </w:p>
        </w:tc>
        <w:tc>
          <w:tcPr>
            <w:tcW w:w="943"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动态清零辖区内“土小散污”企业</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强化监管露天焚烧秸秆、垃圾、废物行为，对发现的违法行为依法进行查处</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组织落实对已建成的天然气采暖工程的运行</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2023年10月底</w:t>
            </w:r>
          </w:p>
        </w:tc>
        <w:tc>
          <w:tcPr>
            <w:tcW w:w="943"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6</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监管纠正清洁采暖已覆盖区域散煤复烧问题；查处清洁采暖未覆盖区域劣质煤采暖行为，组织落实清洁采暖或清洁型煤置换工作</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2023年10月底</w:t>
            </w:r>
          </w:p>
        </w:tc>
        <w:tc>
          <w:tcPr>
            <w:tcW w:w="943"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7</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组织落实辖区内村（街）级道路路面保洁工作</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restart"/>
            <w:tcBorders>
              <w:top w:val="single" w:color="auto" w:sz="4" w:space="0"/>
              <w:left w:val="single" w:color="auto" w:sz="4" w:space="0"/>
              <w:bottom w:val="single" w:color="auto"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19</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西社镇</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98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严格监管属地河道，严禁非法挖沙、采石、捕鱼及其他扰乱水体的行为，及时清理河道建筑垃圾、生活垃圾、工业废弃物及违法建筑物，对影响河流水质的底淤进行清理</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restart"/>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闫宇宏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组织推进农村生活污水治理，东社村、野则河村农村生活污水处理设施投入正常运行</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按时序进度</w:t>
            </w:r>
          </w:p>
        </w:tc>
        <w:tc>
          <w:tcPr>
            <w:tcW w:w="943"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动态清零辖区内“土小散污”企业</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强化监管露天焚烧秸秆、垃圾、废物行为，对发现的违法行为依法进行查处</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组织推进辖区内清洁采暖工作</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按时序进度</w:t>
            </w:r>
          </w:p>
        </w:tc>
        <w:tc>
          <w:tcPr>
            <w:tcW w:w="943"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6</w:t>
            </w:r>
            <w:r>
              <w:rPr>
                <w:rFonts w:hint="eastAsia" w:ascii="黑体" w:hAnsi="黑体" w:eastAsia="黑体" w:cs="黑体"/>
                <w:color w:val="000000" w:themeColor="text1"/>
                <w:sz w:val="32"/>
                <w:szCs w:val="32"/>
                <w14:textFill>
                  <w14:solidFill>
                    <w14:schemeClr w14:val="tx1"/>
                  </w14:solidFill>
                </w14:textFill>
              </w:rPr>
              <mc:AlternateContent>
                <mc:Choice Requires="wps">
                  <w:drawing>
                    <wp:anchor distT="0" distB="0" distL="114300" distR="114300" simplePos="0" relativeHeight="251668480" behindDoc="1" locked="0" layoutInCell="1" allowOverlap="1">
                      <wp:simplePos x="0" y="0"/>
                      <wp:positionH relativeFrom="column">
                        <wp:posOffset>-4739640</wp:posOffset>
                      </wp:positionH>
                      <wp:positionV relativeFrom="paragraph">
                        <wp:posOffset>-50165</wp:posOffset>
                      </wp:positionV>
                      <wp:extent cx="3835400" cy="792480"/>
                      <wp:effectExtent l="0" t="0" r="12700" b="7620"/>
                      <wp:wrapNone/>
                      <wp:docPr id="11" name="文本框 11"/>
                      <wp:cNvGraphicFramePr/>
                      <a:graphic xmlns:a="http://schemas.openxmlformats.org/drawingml/2006/main">
                        <a:graphicData uri="http://schemas.microsoft.com/office/word/2010/wordprocessingShape">
                          <wps:wsp>
                            <wps:cNvSpPr txBox="1"/>
                            <wps:spPr>
                              <a:xfrm>
                                <a:off x="0" y="0"/>
                                <a:ext cx="3835400" cy="792480"/>
                              </a:xfrm>
                              <a:prstGeom prst="rect">
                                <a:avLst/>
                              </a:prstGeom>
                              <a:gradFill rotWithShape="0">
                                <a:gsLst>
                                  <a:gs pos="0">
                                    <a:srgbClr val="FFFFFF"/>
                                  </a:gs>
                                  <a:gs pos="100000">
                                    <a:srgbClr val="FFFFFF"/>
                                  </a:gs>
                                </a:gsLst>
                                <a:lin ang="0"/>
                                <a:tileRect/>
                              </a:gradFill>
                              <a:ln w="15875">
                                <a:noFill/>
                              </a:ln>
                            </wps:spPr>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- 51 -</w:t>
                                  </w:r>
                                </w:p>
                              </w:txbxContent>
                            </wps:txbx>
                            <wps:bodyPr vert="eaVert" upright="1"/>
                          </wps:wsp>
                        </a:graphicData>
                      </a:graphic>
                    </wp:anchor>
                  </w:drawing>
                </mc:Choice>
                <mc:Fallback>
                  <w:pict>
                    <v:shape id="_x0000_s1026" o:spid="_x0000_s1026" o:spt="202" type="#_x0000_t202" style="position:absolute;left:0pt;margin-left:-373.2pt;margin-top:-3.95pt;height:62.4pt;width:302pt;z-index:-251648000;mso-width-relative:page;mso-height-relative:page;" fillcolor="#FFFFFF" filled="t" stroked="f" coordsize="21600,21600" o:gfxdata="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dbmTNoAAAAMAQAADwAAAAAAAAABACAAAAAi&#10;AAAAZHJzL2Rvd25yZXYueG1sUEsBAhQAFAAAAAgAh07iQOKaKwMIAgAAGAQAAA4AAAAAAAAAAQAg&#10;AAAAKQ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- 51 -</w:t>
                            </w:r>
                          </w:p>
                        </w:txbxContent>
                      </v:textbox>
                    </v:shape>
                  </w:pict>
                </mc:Fallback>
              </mc:AlternateConten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组织落实辖区内村（街）级道路路面保洁工作</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tcBorders>
              <w:top w:val="single" w:color="auto" w:sz="4" w:space="0"/>
              <w:left w:val="single" w:color="auto" w:sz="4" w:space="0"/>
              <w:bottom w:val="single" w:color="auto"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水峪贯镇</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98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严格监管属地河道，严禁非法挖沙、采石、捕鱼及其他扰乱水体的行为，及时清理河道建筑垃圾、生活垃圾、工业废弃物及违法建筑物，对影响河流水质的底淤进行清理</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王海钢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restart"/>
            <w:tcBorders>
              <w:top w:val="single" w:color="auto" w:sz="4" w:space="0"/>
              <w:left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w:t>
            </w:r>
          </w:p>
        </w:tc>
        <w:tc>
          <w:tcPr>
            <w:tcW w:w="100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水峪贯镇</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w:t>
            </w:r>
            <w:r>
              <w:rPr>
                <w:color w:val="000000" w:themeColor="text1"/>
                <w:sz w:val="24"/>
                <w14:textFill>
                  <w14:solidFill>
                    <w14:schemeClr w14:val="tx1"/>
                  </w14:solidFill>
                </w14:textFill>
              </w:rPr>
              <mc:AlternateContent>
                <mc:Choice Requires="wps">
                  <w:drawing>
                    <wp:anchor distT="0" distB="0" distL="114300" distR="114300" simplePos="0" relativeHeight="251666432" behindDoc="1" locked="0" layoutInCell="1" allowOverlap="1">
                      <wp:simplePos x="0" y="0"/>
                      <wp:positionH relativeFrom="column">
                        <wp:posOffset>-4730115</wp:posOffset>
                      </wp:positionH>
                      <wp:positionV relativeFrom="paragraph">
                        <wp:posOffset>-5715</wp:posOffset>
                      </wp:positionV>
                      <wp:extent cx="3835400" cy="5220970"/>
                      <wp:effectExtent l="0" t="0" r="12700" b="17780"/>
                      <wp:wrapNone/>
                      <wp:docPr id="8" name="文本框 8"/>
                      <wp:cNvGraphicFramePr/>
                      <a:graphic xmlns:a="http://schemas.openxmlformats.org/drawingml/2006/main">
                        <a:graphicData uri="http://schemas.microsoft.com/office/word/2010/wordprocessingShape">
                          <wps:wsp>
                            <wps:cNvSpPr txBox="1"/>
                            <wps:spPr>
                              <a:xfrm>
                                <a:off x="0" y="0"/>
                                <a:ext cx="3835400" cy="5220970"/>
                              </a:xfrm>
                              <a:prstGeom prst="rect">
                                <a:avLst/>
                              </a:prstGeom>
                              <a:gradFill rotWithShape="0">
                                <a:gsLst>
                                  <a:gs pos="0">
                                    <a:srgbClr val="FFFFFF"/>
                                  </a:gs>
                                  <a:gs pos="100000">
                                    <a:srgbClr val="FFFFFF"/>
                                  </a:gs>
                                </a:gsLst>
                                <a:lin ang="0"/>
                                <a:tileRect/>
                              </a:gradFill>
                              <a:ln w="15875">
                                <a:noFill/>
                              </a:ln>
                            </wps:spPr>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- 52 -</w:t>
                                  </w:r>
                                </w:p>
                              </w:txbxContent>
                            </wps:txbx>
                            <wps:bodyPr vert="eaVert" upright="1"/>
                          </wps:wsp>
                        </a:graphicData>
                      </a:graphic>
                    </wp:anchor>
                  </w:drawing>
                </mc:Choice>
                <mc:Fallback>
                  <w:pict>
                    <v:shape id="_x0000_s1026" o:spid="_x0000_s1026" o:spt="202" type="#_x0000_t202" style="position:absolute;left:0pt;margin-left:-372.45pt;margin-top:-0.45pt;height:411.1pt;width:302pt;z-index:-251650048;mso-width-relative:page;mso-height-relative:page;" fillcolor="#FFFFFF" filled="t" stroked="f" coordsize="21600,21600" o:gfxdata="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JVFT9oAAAALAQAADwAAAAAAAAABACAAAAAi&#10;AAAAZHJzL2Rvd25yZXYueG1sUEsBAhQAFAAAAAgAh07iQN6NlmMIAgAAFwQAAA4AAAAAAAAAAQAg&#10;AAAAKQ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- 52 -</w:t>
                            </w:r>
                          </w:p>
                        </w:txbxContent>
                      </v:textbox>
                    </v:shape>
                  </w:pict>
                </mc:Fallback>
              </mc:AlternateConten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组织推进农村生活污水治理，正常运行西冶村、青沿村生活污水处理设施</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按时序进度</w:t>
            </w:r>
          </w:p>
        </w:tc>
        <w:tc>
          <w:tcPr>
            <w:tcW w:w="943" w:type="dxa"/>
            <w:vMerge w:val="restart"/>
            <w:tcBorders>
              <w:top w:val="single" w:color="auto" w:sz="4" w:space="0"/>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王海钢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动态清零辖区内“土小散污”企业</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强化监管露天焚烧秸秆、垃圾、废物行为，对发现的违法行为依法进行查处</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组织推进辖区内清洁采暖工作</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按时序进度</w:t>
            </w:r>
          </w:p>
        </w:tc>
        <w:tc>
          <w:tcPr>
            <w:tcW w:w="943" w:type="dxa"/>
            <w:vMerge w:val="continue"/>
            <w:tcBorders>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6</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组织落实辖区内村（街）级道路路面保洁工作</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restart"/>
            <w:tcBorders>
              <w:top w:val="single" w:color="auto" w:sz="4" w:space="0"/>
              <w:left w:val="single" w:color="auto" w:sz="4" w:space="0"/>
              <w:bottom w:val="single" w:color="auto"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21</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庞泉沟镇</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98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严格监管属地河道，严禁非法挖沙、采石、捕鱼及其他扰乱水体的行为，及时清理河道建筑垃圾、生活垃圾、工业废弃物及违法建筑物，对影响河流水质的底淤进行清理</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restart"/>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张国强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组织推进农村生活污水治理，正常运行山水村、市庄村（四套）生活污水处理设施</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按时序进度</w:t>
            </w:r>
          </w:p>
        </w:tc>
        <w:tc>
          <w:tcPr>
            <w:tcW w:w="943"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动态清零辖区内“土小散污”企业</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强化监管露天焚烧秸秆、垃圾、废物行为，对发现的违法行为依法进行查处</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组织推进辖区内清洁采暖工作</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按时序进度</w:t>
            </w:r>
          </w:p>
        </w:tc>
        <w:tc>
          <w:tcPr>
            <w:tcW w:w="943"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6</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组织落实辖区内村（街）级道路路面保洁工作</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restart"/>
            <w:tcBorders>
              <w:top w:val="single" w:color="auto" w:sz="4" w:space="0"/>
              <w:left w:val="single" w:color="auto" w:sz="4" w:space="0"/>
              <w:bottom w:val="single" w:color="auto"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22</w:t>
            </w:r>
          </w:p>
        </w:tc>
        <w:tc>
          <w:tcPr>
            <w:tcW w:w="1005"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东坡底乡</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98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严格监管属地河道，严禁非法挖沙、采石、捕鱼及其他扰乱水体的行为，及时清理河道建筑垃圾、生活垃圾、工业废弃物及违法建筑物，对影响河流水质的底淤进行清理</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restart"/>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张尧文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top w:val="nil"/>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组织推进农村生活污水治理</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按时序进度</w:t>
            </w:r>
          </w:p>
        </w:tc>
        <w:tc>
          <w:tcPr>
            <w:tcW w:w="943"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top w:val="nil"/>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动态清零辖区内“土小散污”企业</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top w:val="nil"/>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强化监管露天焚烧秸秆、垃圾、废物行为，对发现的违法行为依法进行查处</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top w:val="nil"/>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w:t>
            </w:r>
          </w:p>
        </w:tc>
        <w:tc>
          <w:tcPr>
            <w:tcW w:w="9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组织推进辖区内清洁采暖工作</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按时序进度</w:t>
            </w:r>
          </w:p>
        </w:tc>
        <w:tc>
          <w:tcPr>
            <w:tcW w:w="943"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2"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005" w:type="dxa"/>
            <w:vMerge w:val="continue"/>
            <w:tcBorders>
              <w:top w:val="nil"/>
              <w:left w:val="single" w:color="000000" w:sz="4" w:space="0"/>
              <w:bottom w:val="single" w:color="auto"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70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6</w:t>
            </w:r>
          </w:p>
        </w:tc>
        <w:tc>
          <w:tcPr>
            <w:tcW w:w="987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组织落实辖区内村（街）级道路路面保洁工作</w:t>
            </w:r>
          </w:p>
        </w:tc>
        <w:tc>
          <w:tcPr>
            <w:tcW w:w="18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长期坚持</w:t>
            </w:r>
          </w:p>
        </w:tc>
        <w:tc>
          <w:tcPr>
            <w:tcW w:w="943"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0ZmU4YTFiMDIyYzYxNDZkOTk5YWZhNzg5MDRmNmYifQ=="/>
  </w:docVars>
  <w:rsids>
    <w:rsidRoot w:val="0F7B2007"/>
    <w:rsid w:val="0F7B2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240" w:lineRule="auto"/>
      <w:ind w:firstLine="632" w:firstLineChars="200"/>
    </w:pPr>
    <w:rPr>
      <w:rFonts w:ascii="仿宋_GB2312"/>
      <w:sz w:val="21"/>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Body Text First Indent 2"/>
    <w:basedOn w:val="2"/>
    <w:next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7454</Words>
  <Characters>7718</Characters>
  <Lines>0</Lines>
  <Paragraphs>0</Paragraphs>
  <TotalTime>1</TotalTime>
  <ScaleCrop>false</ScaleCrop>
  <LinksUpToDate>false</LinksUpToDate>
  <CharactersWithSpaces>7734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2023-03-01T02:22:00Z</dcterms:created>
  <dc:creator>Administrator</dc:creator>
  <cp:lastModifiedBy>Administrator</cp:lastModifiedBy>
  <dcterms:modified xsi:type="dcterms:W3CDTF">2023-03-01T02:24:17Z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65C3E694454D4194B3F5FA19990C6681</vt:lpwstr>
  </property>
</Properties>
</file>