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left="0" w:leftChars="0" w:firstLine="0" w:firstLineChars="0"/>
        <w:jc w:val="center"/>
        <w:rPr>
          <w:rFonts w:hint="eastAsia" w:ascii="方正小标宋简体" w:hAnsi="方正小标宋简体" w:eastAsia="方正小标宋简体" w:cs="方正小标宋简体"/>
          <w:b w:val="0"/>
          <w:bCs/>
          <w:sz w:val="48"/>
          <w:szCs w:val="48"/>
          <w:highlight w:val="none"/>
        </w:rPr>
      </w:pPr>
      <w:bookmarkStart w:id="54" w:name="_GoBack"/>
      <w:r>
        <w:rPr>
          <w:rFonts w:hint="eastAsia" w:ascii="方正小标宋简体" w:hAnsi="方正小标宋简体" w:eastAsia="方正小标宋简体" w:cs="方正小标宋简体"/>
          <w:b w:val="0"/>
          <w:bCs/>
          <w:sz w:val="48"/>
          <w:szCs w:val="48"/>
          <w:highlight w:val="none"/>
        </w:rPr>
        <w:t>吕梁市交城县“十四五”生态环境</w:t>
      </w:r>
    </w:p>
    <w:p>
      <w:pPr>
        <w:spacing w:line="288" w:lineRule="auto"/>
        <w:ind w:left="0" w:leftChars="0" w:firstLine="0" w:firstLineChars="0"/>
        <w:jc w:val="center"/>
        <w:rPr>
          <w:rFonts w:hint="eastAsia" w:ascii="方正小标宋简体" w:hAnsi="方正小标宋简体" w:eastAsia="方正小标宋简体" w:cs="方正小标宋简体"/>
          <w:b w:val="0"/>
          <w:bCs/>
          <w:sz w:val="48"/>
          <w:szCs w:val="48"/>
          <w:highlight w:val="none"/>
        </w:rPr>
      </w:pPr>
      <w:r>
        <w:rPr>
          <w:rFonts w:hint="eastAsia" w:ascii="方正小标宋简体" w:hAnsi="方正小标宋简体" w:eastAsia="方正小标宋简体" w:cs="方正小标宋简体"/>
          <w:b w:val="0"/>
          <w:bCs/>
          <w:sz w:val="48"/>
          <w:szCs w:val="48"/>
          <w:highlight w:val="none"/>
        </w:rPr>
        <w:t>保护规划</w:t>
      </w:r>
    </w:p>
    <w:bookmarkEnd w:id="54"/>
    <w:p>
      <w:pPr>
        <w:spacing w:line="288" w:lineRule="auto"/>
        <w:jc w:val="center"/>
        <w:rPr>
          <w:rFonts w:hint="eastAsia" w:ascii="方正小标宋简体" w:hAnsi="方正小标宋简体" w:eastAsia="方正小标宋简体" w:cs="方正小标宋简体"/>
          <w:b/>
          <w:sz w:val="44"/>
          <w:szCs w:val="44"/>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jc w:val="center"/>
        <w:rPr>
          <w:rFonts w:hint="eastAsia" w:ascii="方正小标宋简体" w:hAnsi="方正小标宋简体" w:eastAsia="方正小标宋简体" w:cs="方正小标宋简体"/>
          <w:b/>
          <w:sz w:val="28"/>
          <w:szCs w:val="28"/>
          <w:highlight w:val="none"/>
        </w:rPr>
      </w:pPr>
    </w:p>
    <w:p>
      <w:pPr>
        <w:ind w:left="0" w:leftChars="0" w:firstLine="0" w:firstLineChars="0"/>
        <w:jc w:val="center"/>
        <w:outlineLvl w:val="0"/>
        <w:rPr>
          <w:rFonts w:hint="eastAsia" w:ascii="黑体" w:hAnsi="黑体" w:eastAsia="黑体" w:cs="黑体"/>
          <w:b w:val="0"/>
          <w:bCs/>
          <w:sz w:val="32"/>
          <w:szCs w:val="32"/>
          <w:highlight w:val="none"/>
          <w:lang w:eastAsia="zh-CN"/>
        </w:rPr>
      </w:pPr>
      <w:bookmarkStart w:id="0" w:name="_Toc15373"/>
      <w:r>
        <w:rPr>
          <w:rFonts w:hint="eastAsia" w:ascii="黑体" w:hAnsi="黑体" w:eastAsia="黑体" w:cs="黑体"/>
          <w:b w:val="0"/>
          <w:bCs/>
          <w:sz w:val="32"/>
          <w:szCs w:val="32"/>
          <w:highlight w:val="none"/>
          <w:lang w:eastAsia="zh-CN"/>
        </w:rPr>
        <w:t>吕梁市生态环境局交城分局</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sectPr>
          <w:footerReference r:id="rId3" w:type="default"/>
          <w:pgSz w:w="11906" w:h="16838"/>
          <w:pgMar w:top="2098" w:right="1474" w:bottom="1984" w:left="1587" w:header="851" w:footer="1417"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目</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lang w:eastAsia="zh-CN"/>
        </w:rPr>
        <w:t>录</w:t>
      </w:r>
    </w:p>
    <w:sdt>
      <w:sdtPr>
        <w:rPr>
          <w:rFonts w:ascii="宋体" w:hAnsi="宋体" w:eastAsia="宋体" w:cstheme="minorBidi"/>
          <w:kern w:val="2"/>
          <w:sz w:val="21"/>
          <w:szCs w:val="24"/>
          <w:highlight w:val="none"/>
          <w:lang w:val="en-US" w:eastAsia="zh-CN" w:bidi="ar-SA"/>
        </w:rPr>
        <w:id w:val="147469933"/>
        <w15:color w:val="DBDBDB"/>
        <w:docPartObj>
          <w:docPartGallery w:val="Table of Contents"/>
          <w:docPartUnique/>
        </w:docPartObj>
      </w:sdtPr>
      <w:sdtEndPr>
        <w:rPr>
          <w:rFonts w:hint="eastAsia" w:asciiTheme="minorHAnsi" w:hAnsiTheme="minorHAnsi" w:eastAsiaTheme="minorEastAsia" w:cstheme="minorBidi"/>
          <w:b/>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_Toc4335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一、基础与形势</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6</w:t>
          </w:r>
          <w:r>
            <w:rPr>
              <w:rFonts w:hint="eastAsia" w:ascii="楷体_GB2312" w:hAnsi="楷体_GB2312" w:eastAsia="楷体_GB2312" w:cs="楷体_GB2312"/>
              <w:b w:val="0"/>
              <w:bCs/>
              <w:sz w:val="28"/>
              <w:szCs w:val="28"/>
              <w:highlight w:val="none"/>
            </w:rPr>
            <w:fldChar w:fldCharType="end"/>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_Toc17144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（一）“十三五”时期生态环境保护成效</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6</w:t>
          </w:r>
          <w:r>
            <w:rPr>
              <w:rFonts w:hint="eastAsia" w:ascii="楷体_GB2312" w:hAnsi="楷体_GB2312" w:eastAsia="楷体_GB2312" w:cs="楷体_GB2312"/>
              <w:sz w:val="28"/>
              <w:szCs w:val="28"/>
              <w:highlight w:val="none"/>
            </w:rPr>
            <w:fldChar w:fldCharType="end"/>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_Toc27904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（二）“十四五”生态环境保护面临的挑战</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8</w:t>
          </w:r>
          <w:r>
            <w:rPr>
              <w:rFonts w:hint="eastAsia" w:ascii="楷体_GB2312" w:hAnsi="楷体_GB2312" w:eastAsia="楷体_GB2312" w:cs="楷体_GB2312"/>
              <w:sz w:val="28"/>
              <w:szCs w:val="28"/>
              <w:highlight w:val="none"/>
            </w:rPr>
            <w:fldChar w:fldCharType="end"/>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_Toc30701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（三）“十四五”生态环境保护工作面临的机遇</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0</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_Toc8136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二、指导思想、原则和主要目标</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1</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1</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_Toc25412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（一）指导思想</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1</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_Toc26836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（二）基本原则</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2</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_Toc9351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（三）规划目标及主要指标</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3</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_Toc5878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三、加强降碳节能，助力经济高质量发展</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1</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5</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_Toc28420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（一）加快产业结构转型升级</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5</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_Toc14586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（二）开展应对气候变化行动</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7</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_Toc1062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（三）加快能源结构调整</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8</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_Toc2348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（四）加强交通运输结构调整</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8</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_Toc24938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（五）强化生态环境空间管控</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1</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9</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_Toc4586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四、强化PM2.5和O3协同治理，加快空气质量改善进度</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2</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0</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_Toc18221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（一）控制燃煤污染</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2</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0</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_Toc15311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（二）推进重点行业深度治理</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2</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1</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_Toc9886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（三）控制移动源大气污染</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2</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3</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_Toc14911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（四）加强大气面源污染防治</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2</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5</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_Toc14495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（五）加强重点时段污染防控</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2</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7</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_Toc12642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五、加强“三水”统筹，提升水环境质量</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2</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8</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_Toc19552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（一）节约保障水资源</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2</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8</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_Toc2246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（二）强化水污染防治</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3</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0</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_Toc5093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（三）开展流域生态保护修复</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3</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2</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_Toc14402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六、提升土壤环境质量，加大地下水和农村环境保护</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3</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4</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_Toc9710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（一）加强土壤环境保护</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3</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4</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_Toc2261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（二）加大地下水保护力度</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3</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6</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_Toc26572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（三）深入推进农村环境整治</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3</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8</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_Toc20883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七、统筹山水林田湖草，构建生态安全屏障</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3</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9</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_Toc26408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（一）筑牢交城山生态安全屏障</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3</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9</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_Toc14558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（二）提升生物多样性保护能力</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1</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_Toc10958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（三）重要生态保护与修复</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1</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_Toc1146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八、强化全过程管控，有效防范环境风险</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4</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3</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_Toc31474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（一）完善生态环境风险防控体系</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3</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_Toc5955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（二）加强重点领域环境风险防控</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4</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_Toc25746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九、坚持“三化”原则，推动固体废物安全处置</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4</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6</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_Toc29068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（一）加强工业固体废物综合利用</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6</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_Toc6362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（二）加强危险废物安全处置监管</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6</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_Toc29036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（三）深入推进生活垃圾污染防治</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7</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_Toc4278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十、加大改革创新，构建现代环境治理体系</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4</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8</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_Toc14983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（一）健全生态环境管理体制机制</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8</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_Toc24059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（二）完善生态环境管理制度</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4</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9</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_Toc10520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（三）提升生态环境监管水平</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5</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0</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_Toc7883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十一、开展全民行动，推动形成绿色生活方式</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5</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2</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_Toc4672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（一）增强全社会生态环保意识</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5</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2</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_Toc27936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（二）推进绿色低碳生活</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5</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2</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_Toc25584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（三）推进生态环保全民行动</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5</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4</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_Toc13217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十二、规划重点工程</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5</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5</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20" w:lineRule="exact"/>
            <w:jc w:val="both"/>
            <w:textAlignment w:val="auto"/>
            <w:rPr>
              <w:rFonts w:hint="eastAsia" w:ascii="楷体_GB2312" w:hAnsi="楷体_GB2312" w:eastAsia="楷体_GB2312" w:cs="楷体_GB2312"/>
              <w:b w:val="0"/>
              <w:bCs/>
              <w:sz w:val="28"/>
              <w:szCs w:val="28"/>
              <w:highlight w:val="none"/>
              <w:lang w:val="en-US" w:eastAsia="zh-CN"/>
            </w:rPr>
          </w:pPr>
          <w:r>
            <w:rPr>
              <w:rFonts w:hint="eastAsia" w:ascii="楷体_GB2312" w:hAnsi="楷体_GB2312" w:eastAsia="楷体_GB2312" w:cs="楷体_GB2312"/>
              <w:b w:val="0"/>
              <w:bCs/>
              <w:sz w:val="28"/>
              <w:szCs w:val="28"/>
              <w:highlight w:val="none"/>
            </w:rPr>
            <w:fldChar w:fldCharType="begin"/>
          </w:r>
          <w:r>
            <w:rPr>
              <w:rFonts w:hint="eastAsia" w:ascii="楷体_GB2312" w:hAnsi="楷体_GB2312" w:eastAsia="楷体_GB2312" w:cs="楷体_GB2312"/>
              <w:b w:val="0"/>
              <w:bCs/>
              <w:sz w:val="28"/>
              <w:szCs w:val="28"/>
              <w:highlight w:val="none"/>
            </w:rPr>
            <w:instrText xml:space="preserve"> HYPERLINK \l _Toc2269 </w:instrText>
          </w:r>
          <w:r>
            <w:rPr>
              <w:rFonts w:hint="eastAsia" w:ascii="楷体_GB2312" w:hAnsi="楷体_GB2312" w:eastAsia="楷体_GB2312" w:cs="楷体_GB2312"/>
              <w:b w:val="0"/>
              <w:bCs/>
              <w:sz w:val="28"/>
              <w:szCs w:val="28"/>
              <w:highlight w:val="none"/>
            </w:rPr>
            <w:fldChar w:fldCharType="separate"/>
          </w:r>
          <w:r>
            <w:rPr>
              <w:rFonts w:hint="eastAsia" w:ascii="黑体" w:hAnsi="黑体" w:eastAsia="黑体" w:cs="黑体"/>
              <w:b w:val="0"/>
              <w:bCs/>
              <w:sz w:val="28"/>
              <w:szCs w:val="28"/>
              <w:highlight w:val="none"/>
            </w:rPr>
            <w:t>十三、保障措施</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b w:val="0"/>
              <w:bCs/>
              <w:sz w:val="28"/>
              <w:szCs w:val="28"/>
              <w:highlight w:val="none"/>
              <w:lang w:val="en-US" w:eastAsia="zh-CN"/>
            </w:rPr>
            <w:t>5</w:t>
          </w:r>
          <w:r>
            <w:rPr>
              <w:rFonts w:hint="eastAsia" w:ascii="楷体_GB2312" w:hAnsi="楷体_GB2312" w:eastAsia="楷体_GB2312" w:cs="楷体_GB2312"/>
              <w:b w:val="0"/>
              <w:bCs/>
              <w:sz w:val="28"/>
              <w:szCs w:val="28"/>
              <w:highlight w:val="none"/>
            </w:rPr>
            <w:fldChar w:fldCharType="end"/>
          </w:r>
          <w:r>
            <w:rPr>
              <w:rFonts w:hint="eastAsia" w:ascii="楷体_GB2312" w:hAnsi="楷体_GB2312" w:eastAsia="楷体_GB2312" w:cs="楷体_GB2312"/>
              <w:b w:val="0"/>
              <w:bCs/>
              <w:sz w:val="28"/>
              <w:szCs w:val="28"/>
              <w:highlight w:val="none"/>
              <w:lang w:val="en-US" w:eastAsia="zh-CN"/>
            </w:rPr>
            <w:t>9</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_Toc23085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（一）加强组织领导</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5</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9</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_Toc22882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（二）提供资金保障</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5</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9</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_Toc4037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（三）强化科技支撑</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5</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9</w:t>
          </w:r>
        </w:p>
        <w:p>
          <w:pPr>
            <w:pStyle w:val="9"/>
            <w:keepNext w:val="0"/>
            <w:keepLines w:val="0"/>
            <w:pageBreakBefore w:val="0"/>
            <w:widowControl/>
            <w:tabs>
              <w:tab w:val="right" w:leader="dot" w:pos="8845"/>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rPr>
            <w:fldChar w:fldCharType="begin"/>
          </w:r>
          <w:r>
            <w:rPr>
              <w:rFonts w:hint="eastAsia" w:ascii="楷体_GB2312" w:hAnsi="楷体_GB2312" w:eastAsia="楷体_GB2312" w:cs="楷体_GB2312"/>
              <w:sz w:val="28"/>
              <w:szCs w:val="28"/>
              <w:highlight w:val="none"/>
            </w:rPr>
            <w:instrText xml:space="preserve"> HYPERLINK \l _Toc26692 </w:instrText>
          </w:r>
          <w:r>
            <w:rPr>
              <w:rFonts w:hint="eastAsia" w:ascii="楷体_GB2312" w:hAnsi="楷体_GB2312" w:eastAsia="楷体_GB2312" w:cs="楷体_GB2312"/>
              <w:sz w:val="28"/>
              <w:szCs w:val="28"/>
              <w:highlight w:val="none"/>
            </w:rPr>
            <w:fldChar w:fldCharType="separate"/>
          </w:r>
          <w:r>
            <w:rPr>
              <w:rFonts w:hint="eastAsia" w:ascii="楷体_GB2312" w:hAnsi="楷体_GB2312" w:eastAsia="楷体_GB2312" w:cs="楷体_GB2312"/>
              <w:bCs/>
              <w:sz w:val="28"/>
              <w:szCs w:val="28"/>
              <w:highlight w:val="none"/>
            </w:rPr>
            <w:t>（四）严格目标考核</w:t>
          </w:r>
          <w:r>
            <w:rPr>
              <w:rFonts w:hint="eastAsia" w:ascii="楷体_GB2312" w:hAnsi="楷体_GB2312" w:eastAsia="楷体_GB2312" w:cs="楷体_GB2312"/>
              <w:sz w:val="28"/>
              <w:szCs w:val="28"/>
              <w:highlight w:val="none"/>
            </w:rPr>
            <w:tab/>
          </w:r>
          <w:r>
            <w:rPr>
              <w:rFonts w:hint="eastAsia" w:ascii="楷体_GB2312" w:hAnsi="楷体_GB2312" w:eastAsia="楷体_GB2312" w:cs="楷体_GB2312"/>
              <w:sz w:val="28"/>
              <w:szCs w:val="28"/>
              <w:highlight w:val="none"/>
              <w:lang w:val="en-US" w:eastAsia="zh-CN"/>
            </w:rPr>
            <w:t>6</w:t>
          </w:r>
          <w:r>
            <w:rPr>
              <w:rFonts w:hint="eastAsia" w:ascii="楷体_GB2312" w:hAnsi="楷体_GB2312" w:eastAsia="楷体_GB2312" w:cs="楷体_GB2312"/>
              <w:sz w:val="28"/>
              <w:szCs w:val="28"/>
              <w:highlight w:val="none"/>
            </w:rPr>
            <w:fldChar w:fldCharType="end"/>
          </w:r>
          <w:r>
            <w:rPr>
              <w:rFonts w:hint="eastAsia" w:ascii="楷体_GB2312" w:hAnsi="楷体_GB2312" w:eastAsia="楷体_GB2312" w:cs="楷体_GB2312"/>
              <w:sz w:val="28"/>
              <w:szCs w:val="28"/>
              <w:highlight w:val="none"/>
              <w:lang w:val="en-US" w:eastAsia="zh-CN"/>
            </w:rPr>
            <w:t>0</w:t>
          </w:r>
        </w:p>
        <w:p>
          <w:pPr>
            <w:bidi w:val="0"/>
            <w:rPr>
              <w:rFonts w:hint="eastAsia"/>
              <w:highlight w:val="none"/>
            </w:rPr>
          </w:pPr>
          <w:r>
            <w:rPr>
              <w:rFonts w:hint="eastAsia"/>
              <w:b/>
              <w:highlight w:val="none"/>
            </w:rPr>
            <w:fldChar w:fldCharType="end"/>
          </w:r>
        </w:p>
      </w:sdtContent>
    </w:sdt>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吕梁市交城县“十四五”生态环境保护规划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五”时期是开启全面建设社会主义现代化国家新征程、向第二个百年奋斗目标进军的第一个五年，是我县全方位推动高质量发展的关键期，为深入打好污染防治攻坚战，持续改善生态环境质量，特编制本规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1" w:name="_Toc4335"/>
      <w:r>
        <w:rPr>
          <w:rFonts w:hint="eastAsia" w:ascii="黑体" w:hAnsi="黑体" w:eastAsia="黑体" w:cs="黑体"/>
          <w:sz w:val="32"/>
          <w:szCs w:val="32"/>
          <w:highlight w:val="none"/>
        </w:rPr>
        <w:t>一、基础与形势</w:t>
      </w:r>
      <w:bookmarkEnd w:id="1"/>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 w:name="_Toc17144"/>
      <w:r>
        <w:rPr>
          <w:rFonts w:hint="eastAsia" w:ascii="楷体_GB2312" w:hAnsi="楷体_GB2312" w:eastAsia="楷体_GB2312" w:cs="楷体_GB2312"/>
          <w:b/>
          <w:bCs/>
          <w:sz w:val="32"/>
          <w:szCs w:val="32"/>
          <w:highlight w:val="none"/>
        </w:rPr>
        <w:t>（一）“十三五”时期生态环境保护成效</w:t>
      </w:r>
      <w:bookmarkEnd w:id="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“十三五”规划实施以来，交城县坚持绿色发展理念，加大环境保护力度，深入实施大气、水、土壤污染防治行动，全面打好污染防治攻坚战，生态环境质量得到明显改善。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生态环境保护考核目标顺利完成。</w:t>
      </w:r>
      <w:r>
        <w:rPr>
          <w:rFonts w:hint="eastAsia" w:ascii="仿宋_GB2312" w:hAnsi="仿宋_GB2312" w:eastAsia="仿宋_GB2312" w:cs="仿宋_GB2312"/>
          <w:sz w:val="32"/>
          <w:szCs w:val="32"/>
          <w:highlight w:val="none"/>
        </w:rPr>
        <w:t>截至2020年底，交城县环境空气质量优良天数214天。文峪河北峪口断面持续稳定达到地表水Ⅱ类标准；磁密河出境武良断面水质稳定达到氨氮冬天≤8mg/L，夏天≤5mg/L，其余指标达到地表水V类标准的考核要求。化学需氧量、氨氮、二氧化硫和氮氧化物</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污染物排放总量完成吕梁市分解下达</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减排任务。单位国内生产总值二氧化碳排放量期间逐年下降。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大气污染防治取得积极进展。</w:t>
      </w:r>
      <w:r>
        <w:rPr>
          <w:rFonts w:hint="eastAsia" w:ascii="仿宋_GB2312" w:hAnsi="仿宋_GB2312" w:eastAsia="仿宋_GB2312" w:cs="仿宋_GB2312"/>
          <w:sz w:val="32"/>
          <w:szCs w:val="32"/>
          <w:highlight w:val="none"/>
        </w:rPr>
        <w:t>取缔改造燃煤锅炉37台，对全县98台机关企业事业单位燃煤锅炉实行清洁能源改造。实施4250户“煤改气”，煤改气供暖面积达40.5万平方米。进一步规范工业企业环保设施达标排放，完成488户散乱污企业整治，34户企业无组织排放管控，57户工业炉窑治理设施升级改造。切实遏制VOCs排放，开展22户VOCs排放管控企业专项治理，完成98户洗车行、维修点，380户餐饮店环保整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水环境质量稳步提升。</w:t>
      </w:r>
      <w:r>
        <w:rPr>
          <w:rFonts w:hint="eastAsia" w:ascii="仿宋_GB2312" w:hAnsi="仿宋_GB2312" w:eastAsia="仿宋_GB2312" w:cs="仿宋_GB2312"/>
          <w:sz w:val="32"/>
          <w:szCs w:val="32"/>
          <w:highlight w:val="none"/>
        </w:rPr>
        <w:t>大力整治全县76户涉水企业，所有企业废水全部</w:t>
      </w:r>
      <w:r>
        <w:rPr>
          <w:rFonts w:hint="eastAsia" w:ascii="仿宋_GB2312" w:hAnsi="仿宋_GB2312" w:eastAsia="仿宋_GB2312" w:cs="仿宋_GB2312"/>
          <w:sz w:val="32"/>
          <w:szCs w:val="32"/>
          <w:highlight w:val="none"/>
          <w:lang w:eastAsia="zh-CN"/>
        </w:rPr>
        <w:t>排</w:t>
      </w:r>
      <w:r>
        <w:rPr>
          <w:rFonts w:hint="eastAsia" w:ascii="仿宋_GB2312" w:hAnsi="仿宋_GB2312" w:eastAsia="仿宋_GB2312" w:cs="仿宋_GB2312"/>
          <w:sz w:val="32"/>
          <w:szCs w:val="32"/>
          <w:highlight w:val="none"/>
        </w:rPr>
        <w:t>入园区污水处理厂处理。交城经济开发区建成集中污水处理厂及配套管网，日处理企业污水1.5万吨，并稳定运行。完成西营镇、庞泉沟镇等乡镇污水处理厂建设。排查整治磁窑河排污口73个。开展县城及乡镇水源地调查，完善饮用水水源地规范化建设，划定交城千人以上集中式饮用水源保护范围。开展清河护河行动，对磁窑河、瓦窑河、白石南河、火山河、一二支总退等重点河道进行河道清淤，共清理河道29.3千米，挖除底泥总量35万立方米。完成磁窑河水质提升和生态修复工程，出水水质达到地表水Ⅴ类标准以上。切实加强农村生活污水治理以及畜牧养殖等重点行业环境综合整治，以三个污水处理厂为依托将周边梁家庄、柰林村、西营村等14个村就近纳入污水处理厂，建设夏家营村、王明寨村、覃村3个村污水收集站，有效减少生活污水直排对磁密河水质的影响。建设20个畜禽粪便发酵罐，对畜禽粪便进行集中处理再利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土壤污染防治工作按时推进。</w:t>
      </w:r>
      <w:r>
        <w:rPr>
          <w:rFonts w:hint="eastAsia" w:ascii="仿宋_GB2312" w:hAnsi="仿宋_GB2312" w:eastAsia="仿宋_GB2312" w:cs="仿宋_GB2312"/>
          <w:sz w:val="32"/>
          <w:szCs w:val="32"/>
          <w:highlight w:val="none"/>
        </w:rPr>
        <w:t>完成重点行业企业地块污染状况详查工作。制定全县工业固废整治方案，排查发现62处一般固体废物乱堆乱放点，全部清理。建设玖珑腾固废处置中心。划定生态保护红线，完成边山固废综合治理和生态修复。彻底铲除渗坑排放、边山乱堆固废，企业环保设施不用，土小污企业禁而不止等长期遗留问题，消除重大环境安全隐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环境执法监管力度不断提高。</w:t>
      </w:r>
      <w:r>
        <w:rPr>
          <w:rFonts w:hint="eastAsia" w:ascii="仿宋_GB2312" w:hAnsi="仿宋_GB2312" w:eastAsia="仿宋_GB2312" w:cs="仿宋_GB2312"/>
          <w:sz w:val="32"/>
          <w:szCs w:val="32"/>
          <w:highlight w:val="none"/>
        </w:rPr>
        <w:t>开展工业企业厂区环境全整治、环保手续全规范、相关设施全配套等措施全执行“十全整治”工作，排查发现问题1285个，提出整改建议2290条，明确今后执法检查关注点1638个。加快环境执法力度，累计查处环保问题2000余个，责令限制生产和停产整治279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66人实施行政拘留。监管能力不断提升。在307国道夏家营路段建设了一套固定式机动车尾气遥感监测系统，对柴油货车尾气排放进行有效监管。建设环境监控平台和执法指挥中心。践行“放管服效”，开辟绿色通道。核发固定污染源排污许可证129套、完成环境影响报告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的审批行文66份、核发企业排污总量60份、完成企业环保设施竣工验收50户。</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 w:name="_Toc27904"/>
      <w:r>
        <w:rPr>
          <w:rFonts w:hint="eastAsia" w:ascii="楷体_GB2312" w:hAnsi="楷体_GB2312" w:eastAsia="楷体_GB2312" w:cs="楷体_GB2312"/>
          <w:b/>
          <w:bCs/>
          <w:sz w:val="32"/>
          <w:szCs w:val="32"/>
          <w:highlight w:val="none"/>
        </w:rPr>
        <w:t>（二）“十四五”生态环境保护面临的挑战</w:t>
      </w:r>
      <w:bookmarkEnd w:id="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五”全县污染防治攻坚战圆满收官，生态环境明显改善，为“十四五”实现更高目标，积累了宝贵经验，奠定了坚实基础。但是，环境质量改善成效并不稳固，结构性、根源性、趋势性压力尚未得到根本缓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结构性污染依然严重。</w:t>
      </w:r>
      <w:r>
        <w:rPr>
          <w:rFonts w:hint="eastAsia" w:ascii="仿宋_GB2312" w:hAnsi="仿宋_GB2312" w:eastAsia="仿宋_GB2312" w:cs="仿宋_GB2312"/>
          <w:sz w:val="32"/>
          <w:szCs w:val="32"/>
          <w:highlight w:val="none"/>
        </w:rPr>
        <w:t>“高污染、高排放”的产业发展方式没有得到根本转变，建材、电力、焦化、化工、钢铁等传统行业占比重较高，虽然这些行业实施了提标改造，</w:t>
      </w:r>
      <w:r>
        <w:rPr>
          <w:rFonts w:hint="eastAsia" w:ascii="仿宋_GB2312" w:hAnsi="仿宋_GB2312" w:eastAsia="仿宋_GB2312" w:cs="仿宋_GB2312"/>
          <w:sz w:val="32"/>
          <w:szCs w:val="32"/>
          <w:highlight w:val="none"/>
          <w:lang w:eastAsia="zh-CN"/>
        </w:rPr>
        <w:t>但</w:t>
      </w:r>
      <w:r>
        <w:rPr>
          <w:rFonts w:hint="eastAsia" w:ascii="仿宋_GB2312" w:hAnsi="仿宋_GB2312" w:eastAsia="仿宋_GB2312" w:cs="仿宋_GB2312"/>
          <w:sz w:val="32"/>
          <w:szCs w:val="32"/>
          <w:highlight w:val="none"/>
        </w:rPr>
        <w:t>整体污染物排放总量仍然较大，建材、电力、焦化、化工、钢铁五大行业二氧化硫、氮氧化物、烟粉尘排放量占比超过工业源总量的90%以上。随着燃煤锅炉、电力大气污染物排放超低改造，焦化行业特别排放限值改造，工业炉窑提标改造等实施，进一步通过提标改造降低有组织排放源的排污量的潜力有限，投入产出比都较低。煤烟型污染问题突出，煤炭消费占一次能源消耗的比例达到90%以上，采暖期内环境空气质量明显下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生态环境治理成效相比人民群众期盼仍有差距。</w:t>
      </w:r>
      <w:r>
        <w:rPr>
          <w:rFonts w:hint="eastAsia" w:ascii="仿宋_GB2312" w:hAnsi="仿宋_GB2312" w:eastAsia="仿宋_GB2312" w:cs="仿宋_GB2312"/>
          <w:sz w:val="32"/>
          <w:szCs w:val="32"/>
          <w:highlight w:val="none"/>
        </w:rPr>
        <w:t>交城处于晋中盆地西沿，三面环山，不利于空气扩散，加之平川面积狭小，而大量的工业企业集中在平川，环境承载能力较弱。仍有3.8万户居民采用散制品取暖，250余户重点排污企业集中在此区域。2020年，空气优良天数仅221天，在全省县（市、区）环境空气质量排名处于后十名，实现大气环境质量改善任重道远。受污水管网建设滞后、工业企业出水水质不能稳定达标、两岸农业源等影响，磁窑河水质较差。土壤调查评估等相关工作刚刚起步，基础数据薄弱、监测能力有限，污染源监管和治理压力大，实现受污染耕地安全利用率和污染地块安全利用率目标面临很大挑战。农业生产和生活污染日益加剧，农村居民生活习惯和生活方式逐步城市化，而农村环境保护工作刚刚起步，大部分农村生活污水和生活垃圾污染仍未得到有效治理，尚未建立完善的长效运行机制，已建成的农村环境连片整治项目不能稳定运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生态环境领域风险隐患突出。</w:t>
      </w:r>
      <w:r>
        <w:rPr>
          <w:rFonts w:hint="eastAsia" w:ascii="仿宋_GB2312" w:hAnsi="仿宋_GB2312" w:eastAsia="仿宋_GB2312" w:cs="仿宋_GB2312"/>
          <w:sz w:val="32"/>
          <w:szCs w:val="32"/>
          <w:highlight w:val="none"/>
        </w:rPr>
        <w:t>交城县火电、焦化、洗煤、化工等企业较多，主要分布在磁窑河流域中部地区以及汾河中北部地区，涉危、涉重风险源的布局性、结构性风险突出，环境预警和应急处置能力面临严峻考验。生态破坏现象在一些地区还比较普遍，生物多样性减少等问题依然突出，新冠疫情也给生物安全敲响了警钟。焦化、化工等重污染企业关停或退城入园，留下的历史遗留工矿废弃地逐步转化为商业、住宅、学校用地，土壤污染成为</w:t>
      </w:r>
      <w:r>
        <w:rPr>
          <w:rFonts w:hint="eastAsia" w:ascii="仿宋_GB2312" w:hAnsi="仿宋_GB2312" w:eastAsia="仿宋_GB2312" w:cs="仿宋_GB2312"/>
          <w:sz w:val="32"/>
          <w:szCs w:val="32"/>
          <w:highlight w:val="none"/>
          <w:lang w:eastAsia="zh-CN"/>
        </w:rPr>
        <w:t>危及</w:t>
      </w:r>
      <w:r>
        <w:rPr>
          <w:rFonts w:hint="eastAsia" w:ascii="仿宋_GB2312" w:hAnsi="仿宋_GB2312" w:eastAsia="仿宋_GB2312" w:cs="仿宋_GB2312"/>
          <w:sz w:val="32"/>
          <w:szCs w:val="32"/>
          <w:highlight w:val="none"/>
        </w:rPr>
        <w:t>全县公众健康的重大环境隐患。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生态环境治理体系和治理能力现代化亟须加强。</w:t>
      </w:r>
      <w:r>
        <w:rPr>
          <w:rFonts w:hint="eastAsia" w:ascii="仿宋_GB2312" w:hAnsi="仿宋_GB2312" w:eastAsia="仿宋_GB2312" w:cs="仿宋_GB2312"/>
          <w:sz w:val="32"/>
          <w:szCs w:val="32"/>
          <w:highlight w:val="none"/>
        </w:rPr>
        <w:t>生态文明体制改革各项改革任务落地还不够，改革措施的系统性整体性协同性未充分有效发挥。生态环境治理更多依靠行政手段，相关责任主体内生动力尚未得到有效激发，市场化机制还需进一步建立和完善。生态环境治理投入不足和渠道单一，环境基础设施仍是突出短板，运行水平总体不高。在企业经营困难、财政收支压力加大的情况下，用于治理项目投入，治污设施升级改造等资金保障难度加大。环境信息化建设仍滞后于环境管理工作需要，一些企业和相关部门法治意识不够强，依法治理环境污染、依法保护生态环境的觉悟不够，不少地方存在不知法，不守法不依法的</w:t>
      </w:r>
      <w:r>
        <w:rPr>
          <w:rFonts w:hint="eastAsia" w:ascii="仿宋_GB2312" w:hAnsi="仿宋_GB2312" w:eastAsia="仿宋_GB2312" w:cs="仿宋_GB2312"/>
          <w:sz w:val="32"/>
          <w:szCs w:val="32"/>
          <w:highlight w:val="none"/>
          <w:lang w:eastAsia="zh-CN"/>
        </w:rPr>
        <w:t>问题</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4" w:name="_Toc30701"/>
      <w:r>
        <w:rPr>
          <w:rFonts w:hint="eastAsia" w:ascii="楷体_GB2312" w:hAnsi="楷体_GB2312" w:eastAsia="楷体_GB2312" w:cs="楷体_GB2312"/>
          <w:b/>
          <w:bCs/>
          <w:sz w:val="32"/>
          <w:szCs w:val="32"/>
          <w:highlight w:val="none"/>
        </w:rPr>
        <w:t>（三）“十四五”生态环境保护工作面临的机遇</w:t>
      </w:r>
      <w:bookmarkEnd w:id="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生态文明深入推进。</w:t>
      </w:r>
      <w:r>
        <w:rPr>
          <w:rFonts w:hint="eastAsia" w:ascii="仿宋_GB2312" w:hAnsi="仿宋_GB2312" w:eastAsia="仿宋_GB2312" w:cs="仿宋_GB2312"/>
          <w:sz w:val="32"/>
          <w:szCs w:val="32"/>
          <w:highlight w:val="none"/>
        </w:rPr>
        <w:t>党的十八大以来，习近平生态文明思想和“两山”理论深入人心，坚守生态环境质量底线，探索以生态优先、绿色发展为导向的高质量发展新路成为共识，为生态文明建设和环境保护工作提供最坚强的后盾。</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高质量发展理念不断深化。</w:t>
      </w:r>
      <w:r>
        <w:rPr>
          <w:rFonts w:hint="eastAsia" w:ascii="仿宋_GB2312" w:hAnsi="仿宋_GB2312" w:eastAsia="仿宋_GB2312" w:cs="仿宋_GB2312"/>
          <w:sz w:val="32"/>
          <w:szCs w:val="32"/>
          <w:highlight w:val="none"/>
        </w:rPr>
        <w:t>省委、省政府将“全方位推动高质量发展”作为未来五年工作的主题，市委明确“五抓一优一促”经济工作主抓手，县委提出“打造四张名片”发展目标和具体任务，“十四五”期间全县的经济结构、能源结构将持续改善，有利于从根本上缓解经济发展对资源环境的压力，有助于更大力度、更深层次地解决结构性污染问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黄河流域生态保护和高质量发展成为国家重大战略。</w:t>
      </w:r>
      <w:r>
        <w:rPr>
          <w:rFonts w:hint="eastAsia" w:ascii="仿宋_GB2312" w:hAnsi="仿宋_GB2312" w:eastAsia="仿宋_GB2312" w:cs="仿宋_GB2312"/>
          <w:sz w:val="32"/>
          <w:szCs w:val="32"/>
          <w:highlight w:val="none"/>
        </w:rPr>
        <w:t>习近平总书记提出了加强黄河治理保护、推动黄河流域高质量发展的重大部署，省委、省政府、市委、市政府提出一系列重大举措，加强黄河流域治理保护，为交城县更好发挥优势、展现作为提供了大平台。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新技术新手段为污染防治攻坚提供有力支撑。</w:t>
      </w:r>
      <w:r>
        <w:rPr>
          <w:rFonts w:hint="eastAsia" w:ascii="仿宋_GB2312" w:hAnsi="仿宋_GB2312" w:eastAsia="仿宋_GB2312" w:cs="仿宋_GB2312"/>
          <w:sz w:val="32"/>
          <w:szCs w:val="32"/>
          <w:highlight w:val="none"/>
        </w:rPr>
        <w:t>随着信息技术、生物技术以及新能源技术在环境污染防治领域的充分应用，极大提高</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治理效率和治理效果。无人机、卫星遥感及大数据等管理创新手段的应用，为精准治污、科学治污提供技术支持。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5" w:name="_Toc8136"/>
      <w:r>
        <w:rPr>
          <w:rFonts w:hint="eastAsia" w:ascii="黑体" w:hAnsi="黑体" w:eastAsia="黑体" w:cs="黑体"/>
          <w:sz w:val="32"/>
          <w:szCs w:val="32"/>
          <w:highlight w:val="none"/>
        </w:rPr>
        <w:t>二、指导思想、原则和主要目标</w:t>
      </w:r>
      <w:bookmarkEnd w:id="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6" w:name="_Toc25412"/>
      <w:r>
        <w:rPr>
          <w:rFonts w:hint="eastAsia" w:ascii="楷体_GB2312" w:hAnsi="楷体_GB2312" w:eastAsia="楷体_GB2312" w:cs="楷体_GB2312"/>
          <w:b/>
          <w:bCs/>
          <w:sz w:val="32"/>
          <w:szCs w:val="32"/>
          <w:highlight w:val="none"/>
        </w:rPr>
        <w:t>（一）指导思想</w:t>
      </w:r>
      <w:bookmarkEnd w:id="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引领，深入贯彻党的二十大精神，全面落实习近平生态文明思想和习近平总书记考察调研山西重要指示精神，扎实践行绿色发展理念，以推动结构调整和高质量发展为主线，以改善生态环境质量为核心，以解决突出生态环境问题为重点，聚焦“减污降碳协同增效”，坚持生态优先、绿色发展，着力推进生态环境源头治理、整体治理和系统治理，突出精准治污、科学治污、依法治污，深入打好污染防治攻坚战，持续改善生态环境质量，有效防控环境风险，维护生态系统稳定，为全县打造转型蹚路先行区、省会城市后花园、绿色发展品牌县、幸福吕梁向往地“四张名片”奠定环境基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7" w:name="_Toc26836"/>
      <w:r>
        <w:rPr>
          <w:rFonts w:hint="eastAsia" w:ascii="楷体_GB2312" w:hAnsi="楷体_GB2312" w:eastAsia="楷体_GB2312" w:cs="楷体_GB2312"/>
          <w:b/>
          <w:bCs/>
          <w:sz w:val="32"/>
          <w:szCs w:val="32"/>
          <w:highlight w:val="none"/>
        </w:rPr>
        <w:t>（二）基本原则</w:t>
      </w:r>
      <w:bookmarkEnd w:id="7"/>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凸显绿色发展。</w:t>
      </w:r>
      <w:r>
        <w:rPr>
          <w:rFonts w:hint="eastAsia" w:ascii="仿宋_GB2312" w:hAnsi="仿宋_GB2312" w:eastAsia="仿宋_GB2312" w:cs="仿宋_GB2312"/>
          <w:sz w:val="32"/>
          <w:szCs w:val="32"/>
          <w:highlight w:val="none"/>
        </w:rPr>
        <w:t>以环境保护优化经济发展，促进区域布局合理化、污染排放减量化、生产生活方式绿色化，推动绿色转型，实现绿色发展，让良好生态环境成为经济高质量转型发展的支撑点，人民幸福生活的增长点和城市发展的新名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坚持以人民为中心。</w:t>
      </w:r>
      <w:r>
        <w:rPr>
          <w:rFonts w:hint="eastAsia" w:ascii="仿宋_GB2312" w:hAnsi="仿宋_GB2312" w:eastAsia="仿宋_GB2312" w:cs="仿宋_GB2312"/>
          <w:sz w:val="32"/>
          <w:szCs w:val="32"/>
          <w:highlight w:val="none"/>
        </w:rPr>
        <w:t>坚决打好生态环境质量持续改善攻坚战。聚焦人民群众最关切、最基本的生态环境诉求，集中力量率先解决危害人民群众健康的突出生态环境问题，让人民群众不断感受到实实在在的新突破新变化，为人民群众提供更多优质生态产品，切实满足人民日益增长的优美生态环境需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坚持系统观念。</w:t>
      </w:r>
      <w:r>
        <w:rPr>
          <w:rFonts w:hint="eastAsia" w:ascii="仿宋_GB2312" w:hAnsi="仿宋_GB2312" w:eastAsia="仿宋_GB2312" w:cs="仿宋_GB2312"/>
          <w:sz w:val="32"/>
          <w:szCs w:val="32"/>
          <w:highlight w:val="none"/>
        </w:rPr>
        <w:t>遵循“山水林田湖草沙”生命共同体理念，坚持治山治水治气治城一体推进，统筹运用结构优化、污染治理和生态保护等多种手段，贯通经济发展和生态环境保护，做到预防和治理相结合，实现减污与增容并重，构建全方位、全地域、全过程、一体化生态环境保护格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推进多元共治。</w:t>
      </w:r>
      <w:r>
        <w:rPr>
          <w:rFonts w:hint="eastAsia" w:ascii="仿宋_GB2312" w:hAnsi="仿宋_GB2312" w:eastAsia="仿宋_GB2312" w:cs="仿宋_GB2312"/>
          <w:sz w:val="32"/>
          <w:szCs w:val="32"/>
          <w:highlight w:val="none"/>
        </w:rPr>
        <w:t>建立健全环境治理的领导责任体系、企业责任体系、全民行动体系、监管体系、市场体系、信用体系、地方性法规政策体系。加快形成节约资源和保护环境的空间格局、产业结构、生产方式、生活方式，不断增强环境质量改善的内生动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8" w:name="_Toc9351"/>
      <w:r>
        <w:rPr>
          <w:rFonts w:hint="eastAsia" w:ascii="楷体_GB2312" w:hAnsi="楷体_GB2312" w:eastAsia="楷体_GB2312" w:cs="楷体_GB2312"/>
          <w:b/>
          <w:bCs/>
          <w:sz w:val="32"/>
          <w:szCs w:val="32"/>
          <w:highlight w:val="none"/>
        </w:rPr>
        <w:t>（三）规划目标及主要指标</w:t>
      </w:r>
      <w:bookmarkEnd w:id="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展望二〇三五年，广泛形成绿色生产生活方式，碳排放达峰后稳中有降，生态环境根本好转。节约资源和保护环境的空间格局、产业结构、生产方式、生活方式总体形成，绿色低碳发展和应对气候变化能力显著增强；空气质量根本改善，水环境质量全面提升，水生态恢复取得明显成效，土壤环境安全得到有效保障，环境风险得到全面管控，山水林田湖草生态系统服务功能总体恢复，蓝天白云、绿水青山成为常态，基本满足人民对优美生态环境的需要；生态环境保护管理制度健全高效，生态环境治理体系和治理能力现代化基本实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到2025年，生产生活方式绿色转型成效显著。国土空间开发保护格局得到优化，绿色低碳发展加快推进，能源资源配置更加合理、利用效率大幅提高，碳排放强度持续降低，简约适度、绿色低碳的生活方式加快形成。空气质量大幅改善，基本消除重污染天气；水环境质量持续改善，水生态建设得到加强，基本消除建成区黑臭水体；主要污染物排放总量持续减少，温室气体排放快速增长趋势得到有效遏制。环境安全有效保障。土壤安全利用水平巩固提升，固体废物与化学品环境风险防控能力明显增强，辐射安全监管水平持续加强，环境风险得到有效管控。生态系统稳定性和生态状况稳步提升好转。生态文明体制改革深入落实，生态文明制度体系更加成熟、更加定型，全社会生态文明意识显著提升，将交城县打造成省会城市后花园和绿色发展品牌县。</w:t>
      </w:r>
    </w:p>
    <w:p>
      <w:pPr>
        <w:bidi w:val="0"/>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表1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交城县“十四五”生态环境保护规划指标体系</w:t>
      </w:r>
    </w:p>
    <w:tbl>
      <w:tblPr>
        <w:tblStyle w:val="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20"/>
        <w:gridCol w:w="4995"/>
        <w:gridCol w:w="1020"/>
        <w:gridCol w:w="121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5" w:type="dxa"/>
            <w:noWrap/>
            <w:vAlign w:val="center"/>
          </w:tcPr>
          <w:p>
            <w:pPr>
              <w:widowControl/>
              <w:spacing w:line="240" w:lineRule="auto"/>
              <w:ind w:firstLine="0" w:firstLineChars="0"/>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类别</w:t>
            </w: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序号</w:t>
            </w:r>
          </w:p>
        </w:tc>
        <w:tc>
          <w:tcPr>
            <w:tcW w:w="4995" w:type="dxa"/>
            <w:noWrap/>
            <w:vAlign w:val="center"/>
          </w:tcPr>
          <w:p>
            <w:pPr>
              <w:widowControl/>
              <w:spacing w:line="240" w:lineRule="auto"/>
              <w:ind w:firstLine="0" w:firstLineChars="0"/>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2020年</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2025年</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5" w:type="dxa"/>
            <w:vMerge w:val="restart"/>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环境</w:t>
            </w:r>
          </w:p>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治理</w:t>
            </w: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县城区细颗粒物（PM</w:t>
            </w:r>
            <w:r>
              <w:rPr>
                <w:rFonts w:hint="eastAsia" w:ascii="仿宋_GB2312" w:hAnsi="仿宋_GB2312" w:eastAsia="仿宋_GB2312" w:cs="仿宋_GB2312"/>
                <w:kern w:val="0"/>
                <w:sz w:val="24"/>
                <w:szCs w:val="24"/>
                <w:highlight w:val="none"/>
                <w:vertAlign w:val="subscript"/>
              </w:rPr>
              <w:t>2.5</w:t>
            </w:r>
            <w:r>
              <w:rPr>
                <w:rFonts w:hint="eastAsia" w:ascii="仿宋_GB2312" w:hAnsi="仿宋_GB2312" w:eastAsia="仿宋_GB2312" w:cs="仿宋_GB2312"/>
                <w:kern w:val="0"/>
                <w:sz w:val="24"/>
                <w:szCs w:val="24"/>
                <w:highlight w:val="none"/>
              </w:rPr>
              <w:t>）浓度（μg/m</w:t>
            </w:r>
            <w:r>
              <w:rPr>
                <w:rFonts w:hint="eastAsia" w:ascii="仿宋_GB2312" w:hAnsi="仿宋_GB2312" w:eastAsia="仿宋_GB2312" w:cs="仿宋_GB2312"/>
                <w:kern w:val="0"/>
                <w:sz w:val="24"/>
                <w:szCs w:val="24"/>
                <w:highlight w:val="none"/>
                <w:vertAlign w:val="superscript"/>
              </w:rPr>
              <w:t>3</w:t>
            </w:r>
            <w:r>
              <w:rPr>
                <w:rFonts w:hint="eastAsia" w:ascii="仿宋_GB2312" w:hAnsi="仿宋_GB2312" w:eastAsia="仿宋_GB2312" w:cs="仿宋_GB2312"/>
                <w:kern w:val="0"/>
                <w:sz w:val="24"/>
                <w:szCs w:val="24"/>
                <w:highlight w:val="none"/>
              </w:rPr>
              <w:t>）</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61</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≤44</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县城区空气质量优良天数比例（%）</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58.63</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≥75</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县城重污染天数比例（%）</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4.66</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基本消除</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文峪河三断面水质</w:t>
            </w:r>
          </w:p>
          <w:p>
            <w:pPr>
              <w:widowControl/>
              <w:spacing w:line="240" w:lineRule="auto"/>
              <w:ind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磁窑河武良断面水质</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Ⅱ类</w:t>
            </w:r>
          </w:p>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Ⅴ类</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Ⅱ类</w:t>
            </w:r>
          </w:p>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rPr>
              <w:t>Ⅲ</w:t>
            </w:r>
            <w:r>
              <w:rPr>
                <w:rFonts w:hint="eastAsia" w:ascii="仿宋_GB2312" w:hAnsi="仿宋_GB2312" w:eastAsia="仿宋_GB2312" w:cs="仿宋_GB2312"/>
                <w:kern w:val="0"/>
                <w:sz w:val="24"/>
                <w:szCs w:val="24"/>
                <w:highlight w:val="none"/>
              </w:rPr>
              <w:t>类</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大营和瓦窑城镇饮用水源地水质</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Ⅲ类</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Ⅲ类</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县城建成区黑臭水体比例（%）</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7</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地下水监测点位水质</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Ⅲ类</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Ⅲ类</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农村生活污水治理率（%）</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25</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化学需氧量、氨氮、氮氧化物和VOCs重点工程减排量（吨）</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完成市下达的任务</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vMerge w:val="restart"/>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应对气候变化</w:t>
            </w: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单位国内生产总值二氧化碳排放降低（%）</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vMerge w:val="restart"/>
            <w:noWrap/>
            <w:vAlign w:val="center"/>
          </w:tcPr>
          <w:p>
            <w:pPr>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完成市下达的任务</w:t>
            </w:r>
          </w:p>
        </w:tc>
        <w:tc>
          <w:tcPr>
            <w:tcW w:w="1065" w:type="dxa"/>
            <w:noWrap/>
            <w:vAlign w:val="center"/>
          </w:tcPr>
          <w:p>
            <w:pPr>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11</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单位国内生产总值能源消耗降低（%）</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vMerge w:val="continue"/>
            <w:noWrap/>
            <w:vAlign w:val="center"/>
          </w:tcPr>
          <w:p>
            <w:pPr>
              <w:spacing w:line="240" w:lineRule="auto"/>
              <w:ind w:firstLine="0" w:firstLineChars="0"/>
              <w:jc w:val="center"/>
              <w:rPr>
                <w:rFonts w:hint="eastAsia" w:ascii="仿宋_GB2312" w:hAnsi="仿宋_GB2312" w:eastAsia="仿宋_GB2312" w:cs="仿宋_GB2312"/>
                <w:kern w:val="0"/>
                <w:sz w:val="24"/>
                <w:szCs w:val="24"/>
                <w:highlight w:val="none"/>
              </w:rPr>
            </w:pPr>
          </w:p>
        </w:tc>
        <w:tc>
          <w:tcPr>
            <w:tcW w:w="1065" w:type="dxa"/>
            <w:noWrap/>
            <w:vAlign w:val="center"/>
          </w:tcPr>
          <w:p>
            <w:pPr>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非化石能源占一次能源消费比例（%）</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vMerge w:val="continue"/>
            <w:noWrap/>
            <w:vAlign w:val="center"/>
          </w:tcPr>
          <w:p>
            <w:pPr>
              <w:spacing w:line="240" w:lineRule="auto"/>
              <w:ind w:firstLine="0" w:firstLineChars="0"/>
              <w:jc w:val="center"/>
              <w:rPr>
                <w:rFonts w:hint="eastAsia" w:ascii="仿宋_GB2312" w:hAnsi="仿宋_GB2312" w:eastAsia="仿宋_GB2312" w:cs="仿宋_GB2312"/>
                <w:kern w:val="0"/>
                <w:sz w:val="24"/>
                <w:szCs w:val="24"/>
                <w:highlight w:val="none"/>
              </w:rPr>
            </w:pPr>
          </w:p>
        </w:tc>
        <w:tc>
          <w:tcPr>
            <w:tcW w:w="1065" w:type="dxa"/>
            <w:noWrap/>
            <w:vAlign w:val="center"/>
          </w:tcPr>
          <w:p>
            <w:pPr>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5" w:type="dxa"/>
            <w:vMerge w:val="restart"/>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环境风险防控</w:t>
            </w: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13</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受污染耕地安全利用率（%）</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95</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14</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重点建设用地安全利用</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有效保障</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15</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危险废物安全处置率（%）</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100</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5" w:type="dxa"/>
            <w:vMerge w:val="restart"/>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生态保护</w:t>
            </w: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16</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生态质量指数</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完成市下达的任务</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17</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森林覆盖率（%）</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57</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持续保持</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5" w:type="dxa"/>
            <w:vMerge w:val="continue"/>
            <w:noWrap w:val="0"/>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p>
        </w:tc>
        <w:tc>
          <w:tcPr>
            <w:tcW w:w="7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18</w:t>
            </w:r>
          </w:p>
        </w:tc>
        <w:tc>
          <w:tcPr>
            <w:tcW w:w="4995" w:type="dxa"/>
            <w:noWrap w:val="0"/>
            <w:vAlign w:val="center"/>
          </w:tcPr>
          <w:p>
            <w:pPr>
              <w:widowControl/>
              <w:spacing w:line="240" w:lineRule="auto"/>
              <w:ind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生态保护红线占国土面积比例（%）</w:t>
            </w:r>
          </w:p>
        </w:tc>
        <w:tc>
          <w:tcPr>
            <w:tcW w:w="1020"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21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不降低</w:t>
            </w:r>
          </w:p>
        </w:tc>
        <w:tc>
          <w:tcPr>
            <w:tcW w:w="1065" w:type="dxa"/>
            <w:noWrap/>
            <w:vAlign w:val="center"/>
          </w:tcPr>
          <w:p>
            <w:pPr>
              <w:widowControl/>
              <w:spacing w:line="240" w:lineRule="auto"/>
              <w:ind w:firstLine="0" w:firstLineChars="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预期性</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注：表中各项指标目标值与市级下达目标不一致时，按照市级最终下达的指标值执行。</w:t>
      </w:r>
    </w:p>
    <w:p>
      <w:pPr>
        <w:bidi w:val="0"/>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9" w:name="_Toc5878"/>
      <w:r>
        <w:rPr>
          <w:rFonts w:hint="eastAsia" w:ascii="黑体" w:hAnsi="黑体" w:eastAsia="黑体" w:cs="黑体"/>
          <w:sz w:val="32"/>
          <w:szCs w:val="32"/>
          <w:highlight w:val="none"/>
        </w:rPr>
        <w:t>三、加强降碳节能，助力经济高质量发展</w:t>
      </w:r>
      <w:bookmarkEnd w:id="9"/>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0" w:name="_Toc28420"/>
      <w:r>
        <w:rPr>
          <w:rFonts w:hint="eastAsia" w:ascii="楷体_GB2312" w:hAnsi="楷体_GB2312" w:eastAsia="楷体_GB2312" w:cs="楷体_GB2312"/>
          <w:b/>
          <w:bCs/>
          <w:sz w:val="32"/>
          <w:szCs w:val="32"/>
          <w:highlight w:val="none"/>
        </w:rPr>
        <w:t>（一）加快产业结构转型升级</w:t>
      </w:r>
      <w:bookmarkEnd w:id="1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严格环保准入门槛。</w:t>
      </w:r>
      <w:r>
        <w:rPr>
          <w:rFonts w:hint="eastAsia" w:ascii="仿宋_GB2312" w:hAnsi="仿宋_GB2312" w:eastAsia="仿宋_GB2312" w:cs="仿宋_GB2312"/>
          <w:sz w:val="32"/>
          <w:szCs w:val="32"/>
          <w:highlight w:val="none"/>
        </w:rPr>
        <w:t>严把高耗能高排放项目环境准入关，依据国家和山西省相关产业政策，对钢铁、焦化等重点行业严格执行产能置换要求，制定交城县新建项目负面清单，严格落实污染物排放区域削减、能耗双控、煤炭消费减量替代等要求，对不符合规定的项目坚决停批停建，对拟建、在建和已建成的“两高”项目实行清单管理、分类处置、动态监控，坚决遏制“两高”项目盲目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推进传统产业绿色低碳改造。</w:t>
      </w:r>
      <w:r>
        <w:rPr>
          <w:rFonts w:hint="eastAsia" w:ascii="仿宋_GB2312" w:hAnsi="仿宋_GB2312" w:eastAsia="仿宋_GB2312" w:cs="仿宋_GB2312"/>
          <w:sz w:val="32"/>
          <w:szCs w:val="32"/>
          <w:highlight w:val="none"/>
        </w:rPr>
        <w:t>结合我县产业特点，以煤焦、化工、材料、装备制造四大传统产业为重点，加快高端化、智能化、绿色化改造，激发产业发展新活力。加快焦化技术装备升级和绿色化改造，壮大绿色焦化产业集群。加快煤焦深度开发利用，打造全国一流新型煤化工基地。推动制造业高质量发展，聚焦焦化、冶金、建材、装备制造等传统制造业项目，通过传统产业高端化、智能化、绿色化改造，激发产业新活力，鼓励具备条件的企业加快推进智能化改造，逐步淘汰落后生产方式。培育标志性引领性产业集群，补齐集群产业链条短板，升级集群产品结构和技术水平，实现链式集聚、提质增效、高端发展。大力发展循环经济和清洁生产，重点行业要将清洁生产评价指标体系纳入强制执行范围，新增重点行业企业全部达到清洁生产一级水平，现有重点行业企业全部推行清洁生产审核和技术改造，依法开展自愿性清洁生产评价认证。实施“环保领跑者”制度，开展企业环境绩效评估，实施差异化管控，加强绿色引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淘汰压减落后过剩产能。</w:t>
      </w:r>
      <w:r>
        <w:rPr>
          <w:rFonts w:hint="eastAsia" w:ascii="仿宋_GB2312" w:hAnsi="仿宋_GB2312" w:eastAsia="仿宋_GB2312" w:cs="仿宋_GB2312"/>
          <w:sz w:val="32"/>
          <w:szCs w:val="32"/>
          <w:highlight w:val="none"/>
        </w:rPr>
        <w:t>加快完成炭化室高度4.3m及以下焦炉淘汰任务，2023年底前全面关停淘汰4.3米焦炉。淘汰污染治理设施不健全、改造不彻底、无组织排放突出、超标排放的企业，淘汰严重污染环境的落后生产工艺、设备，推动产业调整，倒逼产业转型升级。持续推进“散乱污”企业排查整治，实施“散乱污”企业动态清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支撑新兴产业发展。</w:t>
      </w:r>
      <w:r>
        <w:rPr>
          <w:rFonts w:hint="eastAsia" w:ascii="仿宋_GB2312" w:hAnsi="仿宋_GB2312" w:eastAsia="仿宋_GB2312" w:cs="仿宋_GB2312"/>
          <w:sz w:val="32"/>
          <w:szCs w:val="32"/>
          <w:highlight w:val="none"/>
        </w:rPr>
        <w:t>围绕煤化工、装备制造、新型肥料、碳基新材料、现代农业等优势领域，打造2-3个国内领先、省内一流的战略性新兴产业集群，积极培育壮大大数据、碳基新材料、特种金属材料、现代化工医药等支撑型战略性新兴产业，夯实高质量发展产业支撑。加大对战略性新兴产业、现代服务业、文化旅游、现代物流，以及民生需求、</w:t>
      </w:r>
      <w:r>
        <w:rPr>
          <w:rFonts w:hint="eastAsia" w:ascii="仿宋_GB2312" w:hAnsi="仿宋_GB2312" w:eastAsia="仿宋_GB2312" w:cs="仿宋_GB2312"/>
          <w:sz w:val="32"/>
          <w:szCs w:val="32"/>
          <w:highlight w:val="none"/>
          <w:lang w:eastAsia="zh-CN"/>
        </w:rPr>
        <w:t>脱贫</w:t>
      </w:r>
      <w:r>
        <w:rPr>
          <w:rFonts w:hint="eastAsia" w:ascii="仿宋_GB2312" w:hAnsi="仿宋_GB2312" w:eastAsia="仿宋_GB2312" w:cs="仿宋_GB2312"/>
          <w:sz w:val="32"/>
          <w:szCs w:val="32"/>
          <w:highlight w:val="none"/>
        </w:rPr>
        <w:t>攻坚、国家（省、市）重点项目的服务保障力度，统筹预留总量指标和环境容量，开通环境影响审批“绿色通道”，优化审批服务流程，落实环保财税政策、专项资金奖励、差别化电价、绿色单位评选等生态环境领域鼓励政策，助力快速启动、建设、投产运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推动产业集群升级改造。</w:t>
      </w:r>
      <w:r>
        <w:rPr>
          <w:rFonts w:hint="eastAsia" w:ascii="仿宋_GB2312" w:hAnsi="仿宋_GB2312" w:eastAsia="仿宋_GB2312" w:cs="仿宋_GB2312"/>
          <w:sz w:val="32"/>
          <w:szCs w:val="32"/>
          <w:highlight w:val="none"/>
        </w:rPr>
        <w:t>立足新兴产业发展集聚区、生态工业示范区两大目标定位，推动交城化工产业集聚区升级改造，优化空间布局，推进扩区提质，增强承载功能，加快开发区补链延链强链，推动资源能源节约与高效利用。以建设工业园区为载体，加快发展产业集群，做强支柱产业，明显提高工业的综合实力。按照“集群、集约、集中”的要求，加快扩大总量，提高产业集聚度，增强对本县经济发展的贡献和带动作用。以新材料、现代煤化工、高端装备制造、现代生物医药基地建设为基础，形成上下游一体化、资源配置合理、技术先进的产业，成为具有特色和比较优势的现代化工业园区，带动区域内相关行业和经济的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1" w:name="_Toc14586"/>
      <w:r>
        <w:rPr>
          <w:rFonts w:hint="eastAsia" w:ascii="楷体_GB2312" w:hAnsi="楷体_GB2312" w:eastAsia="楷体_GB2312" w:cs="楷体_GB2312"/>
          <w:b/>
          <w:bCs/>
          <w:sz w:val="32"/>
          <w:szCs w:val="32"/>
          <w:highlight w:val="none"/>
        </w:rPr>
        <w:t>（二）开展应对气候变化行动</w:t>
      </w:r>
      <w:bookmarkEnd w:id="11"/>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制定二氧化碳排放达峰行动方案。</w:t>
      </w:r>
      <w:r>
        <w:rPr>
          <w:rFonts w:hint="eastAsia" w:ascii="仿宋_GB2312" w:hAnsi="仿宋_GB2312" w:eastAsia="仿宋_GB2312" w:cs="仿宋_GB2312"/>
          <w:sz w:val="32"/>
          <w:szCs w:val="32"/>
          <w:highlight w:val="none"/>
        </w:rPr>
        <w:t>开展全县二氧化碳排放达峰研究，提出全县二氧化碳排放峰值、达峰目标年及达峰路线图，提出电力、焦化、钢铁等高耗能行业企业的达峰目标、具体措施。强化达峰行动落实，推动我县二氧化碳排放达峰。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控制温室气体排放。</w:t>
      </w:r>
      <w:r>
        <w:rPr>
          <w:rFonts w:hint="eastAsia" w:ascii="仿宋_GB2312" w:hAnsi="仿宋_GB2312" w:eastAsia="仿宋_GB2312" w:cs="仿宋_GB2312"/>
          <w:sz w:val="32"/>
          <w:szCs w:val="32"/>
          <w:highlight w:val="none"/>
        </w:rPr>
        <w:t>加强二氧化碳排放控制。支持钢铁、焦化传统产业采用新技术、新工艺、新装备实施节能环保技术改造，探索开展氢还原铁，持续降低污染排放和单位产品能耗、物耗，减少工业过程温室气体排放。大力发展低碳交通，推广节能和新能源车辆，加快充电基础设施建设。大力发展绿色建筑，城镇新建建筑全部按照绿色建筑标准进行设计，大力发展装配式建筑，积极推进农村建筑节能，鼓励农房按照节能标准建设和改造。开展非二氧化碳温室气体排放控制。加强标准化规模种植养殖，控制农田和畜禽养殖甲烷和氧化亚氮排放。加强污水处理厂和垃圾填埋场甲烷排放控制和回收利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2" w:name="_Toc1062"/>
      <w:r>
        <w:rPr>
          <w:rFonts w:hint="eastAsia" w:ascii="楷体_GB2312" w:hAnsi="楷体_GB2312" w:eastAsia="楷体_GB2312" w:cs="楷体_GB2312"/>
          <w:b/>
          <w:bCs/>
          <w:sz w:val="32"/>
          <w:szCs w:val="32"/>
          <w:highlight w:val="none"/>
        </w:rPr>
        <w:t>（三）加快能源结构调整</w:t>
      </w:r>
      <w:bookmarkEnd w:id="1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加强能源消费总量控制。</w:t>
      </w:r>
      <w:r>
        <w:rPr>
          <w:rFonts w:hint="eastAsia" w:ascii="仿宋_GB2312" w:hAnsi="仿宋_GB2312" w:eastAsia="仿宋_GB2312" w:cs="仿宋_GB2312"/>
          <w:sz w:val="32"/>
          <w:szCs w:val="32"/>
          <w:highlight w:val="none"/>
        </w:rPr>
        <w:t>大幅降低能耗强度，控制能源消费增速，坚决完成市下达的能耗“双控”目标。严格新上耗煤项目环评审批，新建高耗能项目单位产品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产值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能耗、煤耗要达到国内先进水平，新建、改建、扩建耗煤项目实施煤炭减量替代。加强重点用能单位能耗控制，在线监测接入端系统的建设，全面覆盖煤、电、油、气（汽）全部用能品种，实现在线采集。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积极发展可再生能源。</w:t>
      </w:r>
      <w:r>
        <w:rPr>
          <w:rFonts w:hint="eastAsia" w:ascii="仿宋_GB2312" w:hAnsi="仿宋_GB2312" w:eastAsia="仿宋_GB2312" w:cs="仿宋_GB2312"/>
          <w:sz w:val="32"/>
          <w:szCs w:val="32"/>
          <w:highlight w:val="none"/>
        </w:rPr>
        <w:t>推进国网新源控股有限公司交城抽水蓄能电站四台350MW竖轴单级混流可逆式水泵水轮发电电动机组建成投运，以500KV出线接入山西电网，担任电网调峰、填谷、调频、调相及事故备用等任务。推进非化石能源加快发展与化石能源高效清洁利用，逐步减低煤炭消费比重，推进非化石能源可持续发展。推进风电、光伏发电项目建设，加快新能源开发利用产业化进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3" w:name="_Toc2348"/>
      <w:r>
        <w:rPr>
          <w:rFonts w:hint="eastAsia" w:ascii="楷体_GB2312" w:hAnsi="楷体_GB2312" w:eastAsia="楷体_GB2312" w:cs="楷体_GB2312"/>
          <w:b/>
          <w:bCs/>
          <w:sz w:val="32"/>
          <w:szCs w:val="32"/>
          <w:highlight w:val="none"/>
        </w:rPr>
        <w:t>（四）加强交通运输结构调整</w:t>
      </w:r>
      <w:bookmarkEnd w:id="13"/>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调整实施货物运输绿色转型。</w:t>
      </w:r>
      <w:r>
        <w:rPr>
          <w:rFonts w:hint="eastAsia" w:ascii="仿宋_GB2312" w:hAnsi="仿宋_GB2312" w:eastAsia="仿宋_GB2312" w:cs="仿宋_GB2312"/>
          <w:sz w:val="32"/>
          <w:szCs w:val="32"/>
          <w:highlight w:val="none"/>
        </w:rPr>
        <w:t>煤炭、矿石等大宗货物中长距离运输以铁路运输为主，短距离运输及工业园区和企业内部物料转运优先采用封闭式皮带廊道或新能源车辆，出省煤炭、焦炭原则上采用铁路运输。无法</w:t>
      </w:r>
      <w:r>
        <w:rPr>
          <w:rFonts w:hint="eastAsia" w:ascii="仿宋_GB2312" w:hAnsi="仿宋_GB2312" w:eastAsia="仿宋_GB2312" w:cs="仿宋_GB2312"/>
          <w:sz w:val="32"/>
          <w:szCs w:val="32"/>
          <w:highlight w:val="none"/>
          <w:lang w:eastAsia="zh-CN"/>
        </w:rPr>
        <w:t>采用</w:t>
      </w:r>
      <w:r>
        <w:rPr>
          <w:rFonts w:hint="eastAsia" w:ascii="仿宋_GB2312" w:hAnsi="仿宋_GB2312" w:eastAsia="仿宋_GB2312" w:cs="仿宋_GB2312"/>
          <w:sz w:val="32"/>
          <w:szCs w:val="32"/>
          <w:highlight w:val="none"/>
        </w:rPr>
        <w:t>铁路运输时，公路运输应采用国六排放标准车辆或新能源车辆。加强全封闭皮带输送、新能源汽车、铁路等不同运输方式间的有效衔接，构建低排放、高效率的物流运输体系。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加强机动车换代升级。</w:t>
      </w:r>
      <w:r>
        <w:rPr>
          <w:rFonts w:hint="eastAsia" w:ascii="仿宋_GB2312" w:hAnsi="仿宋_GB2312" w:eastAsia="仿宋_GB2312" w:cs="仿宋_GB2312"/>
          <w:sz w:val="32"/>
          <w:szCs w:val="32"/>
          <w:highlight w:val="none"/>
        </w:rPr>
        <w:t>加大新能源或清洁能源车推广力度，新增或更换的公交车、出租车、环卫车辆、邮政快递等市政公共领域车辆全部使用新能源。加快国三及以下柴油车和老旧车淘汰，2025年前基本淘汰国三及以下营运类柴油车，推动国四及以下排放标准柴油货车和采用稀薄燃烧技术的燃气货车淘汰，符合强制报废情形的交报废汽车回收企业按规定进行登记、拆解和销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4" w:name="_Toc24938"/>
      <w:r>
        <w:rPr>
          <w:rFonts w:hint="eastAsia" w:ascii="楷体_GB2312" w:hAnsi="楷体_GB2312" w:eastAsia="楷体_GB2312" w:cs="楷体_GB2312"/>
          <w:b/>
          <w:bCs/>
          <w:sz w:val="32"/>
          <w:szCs w:val="32"/>
          <w:highlight w:val="none"/>
        </w:rPr>
        <w:t>（五）强化生态环境空间管控</w:t>
      </w:r>
      <w:bookmarkEnd w:id="1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构建国土空间开发保护新格局。</w:t>
      </w:r>
      <w:r>
        <w:rPr>
          <w:rFonts w:hint="eastAsia" w:ascii="仿宋_GB2312" w:hAnsi="仿宋_GB2312" w:eastAsia="仿宋_GB2312" w:cs="仿宋_GB2312"/>
          <w:sz w:val="32"/>
          <w:szCs w:val="32"/>
          <w:highlight w:val="none"/>
        </w:rPr>
        <w:t>强化国土空间规划和用途管控，落实生态保护、基本农田、城镇开发等空间管控边界，减少人类活动对自然空间的占用。城市化地区转变开发建设方式，加强永久基本农田和生态空间保护，按照资源环境承载能力，合理确定城市规模和空间结构，严守城镇开发边界。对人口密集、资源开发强度大、污染物排放强度高的区域实施重点管控。强化农产品主产区耕地保护，加强产地环境保护治理，加强农业面源、畜禽养殖污染治理和农村环境整治，保障农产品安全。强化生态功能区生态保护和修复，把保护生态环境、提供生态产品作为重点，禁止或限制大规模高强度的工业化城市化开发，制定一批生态保护修复政策、集聚一批生态保护修复项目。合理支持重点生态功能区县城建设，支持生态功能区人口逐步有序向城市化地区转移，提高生态服务功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强化生态环境空间管控。</w:t>
      </w:r>
      <w:r>
        <w:rPr>
          <w:rFonts w:hint="eastAsia" w:ascii="仿宋_GB2312" w:hAnsi="仿宋_GB2312" w:eastAsia="仿宋_GB2312" w:cs="仿宋_GB2312"/>
          <w:sz w:val="32"/>
          <w:szCs w:val="32"/>
          <w:highlight w:val="none"/>
        </w:rPr>
        <w:t>落实主体功能区战略，严格落实“三线一单”，以生态保护红线、环境质量底线、资源利用上线和环境准入负面清单为手段，强化空间、总量、准入环境管理。发挥规划环评调控作用，优化经济开发区布局，优先支持绿色能源、先进制造业、数字产业，以及生物产业、现代物流等战略性新兴产业入驻经济开发区。县城规划区范围内严禁新建、扩建焦化、钢铁、化工、有色金属冶炼和水泥等污染较重，以及危险化学品贮存、处理处置等高风险项目；现有污染较重和高风险项目逐步搬迁退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15" w:name="_Toc4586"/>
      <w:r>
        <w:rPr>
          <w:rFonts w:hint="eastAsia" w:ascii="黑体" w:hAnsi="黑体" w:eastAsia="黑体" w:cs="黑体"/>
          <w:sz w:val="32"/>
          <w:szCs w:val="32"/>
          <w:highlight w:val="none"/>
        </w:rPr>
        <w:t>四、强化PM2.5和O3协同治理，加快空气质量改善进度</w:t>
      </w:r>
      <w:bookmarkEnd w:id="1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6" w:name="_Toc18221"/>
      <w:r>
        <w:rPr>
          <w:rFonts w:hint="eastAsia" w:ascii="楷体_GB2312" w:hAnsi="楷体_GB2312" w:eastAsia="楷体_GB2312" w:cs="楷体_GB2312"/>
          <w:b/>
          <w:bCs/>
          <w:sz w:val="32"/>
          <w:szCs w:val="32"/>
          <w:highlight w:val="none"/>
        </w:rPr>
        <w:t>（一）控制燃煤污染</w:t>
      </w:r>
      <w:bookmarkEnd w:id="16"/>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加快清洁取暖改造进度。</w:t>
      </w:r>
      <w:r>
        <w:rPr>
          <w:rFonts w:hint="eastAsia" w:ascii="仿宋_GB2312" w:hAnsi="仿宋_GB2312" w:eastAsia="仿宋_GB2312" w:cs="仿宋_GB2312"/>
          <w:sz w:val="32"/>
          <w:szCs w:val="32"/>
          <w:highlight w:val="none"/>
        </w:rPr>
        <w:t>制定全县清洁采暖方案，推进清洁取暖改造，全面评估现有清洁取暖改造运行情况，</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已完成清洁取暖改造但不能稳定运行、散煤复烧问题突出区域，要因地制宜、实事求是优化清洁取暖改造方式或运行模式，巩固现有清洁取暖成果。按照“以供定改、先立后破”的原则，充分利用完成超低排放改造的热电联产机组和大型集中供热锅炉，以热电联产和集中供热为主，煤改电、煤改气等清洁能源为辅，以村为单元，采取联片改造方式，替代取暖散煤，同时要充分考虑集中供热工程的不确定性，在集中供热无法投入运行的区域实施清洁型煤或生物质燃料采暖，实现全县散煤采暖清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深入推进工业用煤清洁利用。</w:t>
      </w:r>
      <w:r>
        <w:rPr>
          <w:rFonts w:hint="eastAsia" w:ascii="仿宋_GB2312" w:hAnsi="仿宋_GB2312" w:eastAsia="仿宋_GB2312" w:cs="仿宋_GB2312"/>
          <w:sz w:val="32"/>
          <w:szCs w:val="32"/>
          <w:highlight w:val="none"/>
        </w:rPr>
        <w:t>推进集中供</w:t>
      </w:r>
      <w:r>
        <w:rPr>
          <w:rFonts w:hint="eastAsia" w:ascii="仿宋_GB2312" w:hAnsi="仿宋_GB2312" w:eastAsia="仿宋_GB2312" w:cs="仿宋_GB2312"/>
          <w:sz w:val="32"/>
          <w:szCs w:val="32"/>
          <w:highlight w:val="none"/>
          <w:lang w:eastAsia="zh-CN"/>
        </w:rPr>
        <w:t>气</w:t>
      </w:r>
      <w:r>
        <w:rPr>
          <w:rFonts w:hint="eastAsia" w:ascii="仿宋_GB2312" w:hAnsi="仿宋_GB2312" w:eastAsia="仿宋_GB2312" w:cs="仿宋_GB2312"/>
          <w:sz w:val="32"/>
          <w:szCs w:val="32"/>
          <w:highlight w:val="none"/>
        </w:rPr>
        <w:t>供热或清洁低碳能源中心建设，替代工业炉窑燃料用煤。全县范围内全面淘汰每小时35蒸吨以下燃煤锅炉，在用锅炉全部完成超低排放改造，深入开展国、省道及旅游线路两侧经营性门店燃煤炉灶整治。推进煤炭分质分级梯级利用，探索“分质分级、能化结合、集成联产”的新型煤炭利用方式，推动煤电化热一体化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7" w:name="_Toc15311"/>
      <w:r>
        <w:rPr>
          <w:rFonts w:hint="eastAsia" w:ascii="楷体_GB2312" w:hAnsi="楷体_GB2312" w:eastAsia="楷体_GB2312" w:cs="楷体_GB2312"/>
          <w:b/>
          <w:bCs/>
          <w:sz w:val="32"/>
          <w:szCs w:val="32"/>
          <w:highlight w:val="none"/>
        </w:rPr>
        <w:t>（二）推进重点行业深度治理</w:t>
      </w:r>
      <w:bookmarkEnd w:id="17"/>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推进重点行业提标改造。</w:t>
      </w:r>
      <w:r>
        <w:rPr>
          <w:rFonts w:hint="eastAsia" w:ascii="仿宋_GB2312" w:hAnsi="仿宋_GB2312" w:eastAsia="仿宋_GB2312" w:cs="仿宋_GB2312"/>
          <w:sz w:val="32"/>
          <w:szCs w:val="32"/>
          <w:highlight w:val="none"/>
        </w:rPr>
        <w:t>按照生态环境部《重污染天气重点行业应急减排措施制定技术指南》《山西省重污染天气重点行业企业绩效分级管理办法》要求，全面推进工业企业污染治理水平提升，重点工业企业污染防治水平达到B级及以上，加快消除C级及以下企业。加快推进交城俊安有色焦化有限公司、金桃园煤焦化集团有限公司超低排放改造和干熄焦改造，对有组织、无组织及清洁运输等环节开展全过程、高标准、系统化整治，并建设完善无组织排放监控系统。美锦、华鑫、晋阳焦化“上大关小”项目建设时，应按照超低排放要求同步建成污染治理设施。山西金虎水泥有限责任公司等水泥企业实施原料破碎、水泥窑、烘干、包装、仓储等全过程超低排放改造。推进钢铁及铁合金冶炼炉、石灰竖窑、机制砖隧道窑、耐火材料隧道窑、玻璃熔化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包括水玻璃熔化窑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岩矿棉熔化窑、矿渣烘干炉深度治理，淘汰采用脱硫除尘一体化、脱硫脱硝一体化、SNCR脱硝、氨法脱硫、碱法脱硫、湿式除尘等低效和产生次生污染的治理工艺，污染治理设施升级改造应采用低氮燃烧、SCR脱硝、双碱法或石灰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石灰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石膏法脱硫、布袋除尘、电袋复合除尘、湿电除尘等高效工艺。发挥企业领跑者作用，结合重污染天气</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重点行业绩效分级管控要求，树立标杆引领企业。继续推进重点行业清洁生产审核，实施全流程清洁化生产。加强氨排放管控，采用SCR和SNCR工艺的脱硝设施全部安装氨逃逸监控仪表。加强恶臭气体防控，完善恶臭气体治理措施，开展恶臭重点企业监测试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加强工业企业无组织排放控制。</w:t>
      </w:r>
      <w:r>
        <w:rPr>
          <w:rFonts w:hint="eastAsia" w:ascii="仿宋_GB2312" w:hAnsi="仿宋_GB2312" w:eastAsia="仿宋_GB2312" w:cs="仿宋_GB2312"/>
          <w:sz w:val="32"/>
          <w:szCs w:val="32"/>
          <w:highlight w:val="none"/>
        </w:rPr>
        <w:t>开展钢铁、水泥、建材、有色、火电、焦化、铸造等重点行业及燃煤锅炉无组织排放排查，对物料（含废渣）运输、装卸、储存、转移和工艺过程等无组织排放实施深度治理。易产生扬尘的粉状、粒状物料及燃料应当密闭储存，运输采用密闭皮带、封闭通廊、管状带式输送机或密闭车厢、真空罐车、气力输送等密闭运输方式。物料装卸过程中，应配备除尘设施，同时采取洒水喷淋措施。物料储存应采用入棚、入仓储存，并设有洒水、喷淋、苫盖等综合措施进行抑尘。工业企业生产过程中，上料系统应密闭运行，生产设备、废气收集、除尘收集系统应同步运行，确保废气有效收集，车间不可有可见烟尘外溢。上料系统、生产设备、废气收集系统或者污染治理设施发生故障或者检修时，应停止运转对应的生产工艺设备，待检修完毕后投入使用。厂区料场路面应实施硬化，出入口应配备车轮、车身清洗装置或者采取其他控制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加强挥发性有机物（VOCs）全过程综合治理。</w:t>
      </w:r>
      <w:r>
        <w:rPr>
          <w:rFonts w:hint="eastAsia" w:ascii="仿宋_GB2312" w:hAnsi="仿宋_GB2312" w:eastAsia="仿宋_GB2312" w:cs="仿宋_GB2312"/>
          <w:sz w:val="32"/>
          <w:szCs w:val="32"/>
          <w:highlight w:val="none"/>
        </w:rPr>
        <w:t>落实VOCs总量控制要求。积极引导企业生产和使用低（无）VOCs的产品，以汽修、家具制造、工程机械等工业涂装和包装印刷、人造板材、电子等行业为重点，全面排查使用涂料、油墨、胶粘剂、涂层剂（树脂）、清洗剂等原辅材料的企业，建立完善涉VOCs产品类型、使用比例和使用量等台账，制定实施替代计划，对于未完成替代的企业涉VOCs工序，纳入夏季错峰生产调控。开展焦化、有机化工（橡胶制品、合成橡胶、涂料、油墨、胶粘剂、合成树脂、农药、煤化工）、工业涂装（含汽修）及油品储运销等重点行业VOCs废气收集率、综合处理效率、治理设施运行率排查，淘汰低温等离子、光氧催化、无脱附装置的吸附治理设施等单一、低效的挥发性有机物治理工艺，推广催化氧化脱附、高温焚烧等高效治理技术。按照《挥发性有机物无组织排放控制标准》（GB37822-2019）要求，全面排查有机物料（包括含VOCs原辅材料、产品、废料以及有机聚合物材料等）储存、转移和输送、工艺过程、设备与管线组件泄漏、敞开液面逸散等VOCs无组织排放控制情况，采用密闭设备、全密闭集气罩、局部集气罩等收集方式，控制无组织排放。持续推进油罐车、加油站、储油库油气回收治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督促相关企业按要求开展监测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油气回收设施正常运行。加强汽修行业专项整治，推广静电喷涂等高涂着效率涂装工艺，喷漆、流平和烘干等工艺操作应置于喷烤漆房内，使用溶剂型涂料的喷枪应密闭清洗，产生的VOCs废气应集中收集和治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8" w:name="_Toc9886"/>
      <w:r>
        <w:rPr>
          <w:rFonts w:hint="eastAsia" w:ascii="楷体_GB2312" w:hAnsi="楷体_GB2312" w:eastAsia="楷体_GB2312" w:cs="楷体_GB2312"/>
          <w:b/>
          <w:bCs/>
          <w:sz w:val="32"/>
          <w:szCs w:val="32"/>
          <w:highlight w:val="none"/>
        </w:rPr>
        <w:t>（三）控制移动源大气污染</w:t>
      </w:r>
      <w:bookmarkEnd w:id="18"/>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继续做好车油路联合防控。</w:t>
      </w:r>
      <w:r>
        <w:rPr>
          <w:rFonts w:hint="eastAsia" w:ascii="仿宋_GB2312" w:hAnsi="仿宋_GB2312" w:eastAsia="仿宋_GB2312" w:cs="仿宋_GB2312"/>
          <w:sz w:val="32"/>
          <w:szCs w:val="32"/>
          <w:highlight w:val="none"/>
        </w:rPr>
        <w:t>压实车辆使用环节监督监管，交通、生态环境、交警等部门常态化联合执法开展路检路查工作，重点检查柴油货车尾气污染控制装置、车载诊断系统（OBD）、尾气排放达标等情况，每年度路检路查车辆不得低于当地柴油货车保有量的20%。采取路检路查、入户检查等方式，强化国六重型燃气车专项检查，重点查处天然气货车超标排放问题。加强机动车排放检验机构监督管理，严格落实机动车排放检验检测与强制维护制度（I/M制度），对全县具有资质的机动车维修单位进行全覆盖监督检查。强化油品生产、销售、储存和使用环节监管，严格落实全面供应符合国家相应标准的车用汽柴油政策。持续开展车用油品质量抽检，加强油品销售企业监管，严禁使用不符合国六标准的车用汽柴油，严厉打击生产、销售、储存和使用不合格油品行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加快推进非道路移动源污染防治。</w:t>
      </w:r>
      <w:r>
        <w:rPr>
          <w:rFonts w:hint="eastAsia" w:ascii="仿宋_GB2312" w:hAnsi="仿宋_GB2312" w:eastAsia="仿宋_GB2312" w:cs="仿宋_GB2312"/>
          <w:sz w:val="32"/>
          <w:szCs w:val="32"/>
          <w:highlight w:val="none"/>
        </w:rPr>
        <w:t>落实国家非道路移动机械相应排放标准，加强对新增非道路移动机械的监督检查。完善非道路移动机械控制区制度，加强对非道路移动机械排放控制区执法管控，不符合第三阶段和在用机械排放标准</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三类机械禁止在县城建成区使用。重点加强秋冬季期间禁止使用高排放非道路移动机械区域的监督检查，禁止使用超标排放工程机械，消除冒黑烟现象。鼓励优先使用新能源或清洁能源非道路移动机械，推动老旧燃油工程机械淘汰，加快新能源非道路移动机械的推广使用，鼓励铁路货运、工矿企业、建筑施工企业优先采用新能源或清洁能源机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19" w:name="_Toc14911"/>
      <w:r>
        <w:rPr>
          <w:rFonts w:hint="eastAsia" w:ascii="楷体_GB2312" w:hAnsi="楷体_GB2312" w:eastAsia="楷体_GB2312" w:cs="楷体_GB2312"/>
          <w:b/>
          <w:bCs/>
          <w:sz w:val="32"/>
          <w:szCs w:val="32"/>
          <w:highlight w:val="none"/>
        </w:rPr>
        <w:t>（四）加强大气面源污染防治</w:t>
      </w:r>
      <w:bookmarkEnd w:id="19"/>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加强建筑施工扬尘控制。</w:t>
      </w:r>
      <w:r>
        <w:rPr>
          <w:rFonts w:hint="eastAsia" w:ascii="仿宋_GB2312" w:hAnsi="仿宋_GB2312" w:eastAsia="仿宋_GB2312" w:cs="仿宋_GB2312"/>
          <w:sz w:val="32"/>
          <w:szCs w:val="32"/>
          <w:highlight w:val="none"/>
        </w:rPr>
        <w:t>推行绿色施工，严格落实施工场地扬尘整治“六个百分之百”要求，规模以上施工工地安装视频监控设施，并接入当地监管平台。对土石方开挖施工、转运土石方、房屋拆迁及建筑物拆除、现场搅拌等易产生扬尘的工地，要求必须采取降尘和湿法作业措施，全时段保持作业现场湿润无浮尘。施工现场渣土、垃圾应及时清运，在场地内堆存的，应遮盖密闭式防尘网。暂时不能开工的裸露空置建设用地和因旧城改造、城中村改造、违法建筑拆除等产生的裸露空置地块要及时全部进行覆盖或者绿化。遇有大风或重污染天气，应按规定停止土方开挖、回填、拆除等可能产生扬尘的作业，落实重污染天气应急响应</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扬尘防治差异化管控措施。综合运用日常巡查、随机抽查和远程监控</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手段，加强监管工作常态化。</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严格控制道路运输扬尘污染。</w:t>
      </w:r>
      <w:r>
        <w:rPr>
          <w:rFonts w:hint="eastAsia" w:ascii="仿宋_GB2312" w:hAnsi="仿宋_GB2312" w:eastAsia="仿宋_GB2312" w:cs="仿宋_GB2312"/>
          <w:sz w:val="32"/>
          <w:szCs w:val="32"/>
          <w:highlight w:val="none"/>
        </w:rPr>
        <w:t>强化散装物料运输源头监管，严禁未采取有效封闭措施货车出场（厂）。运输渣土、土方、砂石、垃圾、灰浆、煤炭等散装、流体物料的车辆，应当采取密闭措施，按照规定安装卫星定位装置，并按照规定的路线、时间行驶，在运输过程中不得遗撒、泄漏物料。依法严查渣土运输车辆未按规定时间、路线行驶，沿途抛洒、随意倾倒等行为。对建成区主次干道及人行道、慢行道，高速公路和国、省、市、县、乡级公路积土积尘进行全面清理清洗，并实行定期保洁、</w:t>
      </w:r>
      <w:r>
        <w:rPr>
          <w:rFonts w:hint="eastAsia" w:ascii="仿宋_GB2312" w:hAnsi="仿宋_GB2312" w:eastAsia="仿宋_GB2312" w:cs="仿宋_GB2312"/>
          <w:sz w:val="32"/>
          <w:szCs w:val="32"/>
          <w:highlight w:val="none"/>
          <w:lang w:eastAsia="zh-CN"/>
        </w:rPr>
        <w:t>机械</w:t>
      </w:r>
      <w:r>
        <w:rPr>
          <w:rFonts w:hint="eastAsia" w:ascii="仿宋_GB2312" w:hAnsi="仿宋_GB2312" w:eastAsia="仿宋_GB2312" w:cs="仿宋_GB2312"/>
          <w:sz w:val="32"/>
          <w:szCs w:val="32"/>
          <w:highlight w:val="none"/>
        </w:rPr>
        <w:t>化清扫、定时洒水制度，及时清理清洗积尘路面，</w:t>
      </w:r>
      <w:r>
        <w:rPr>
          <w:rFonts w:hint="eastAsia" w:ascii="仿宋_GB2312" w:hAnsi="仿宋_GB2312" w:eastAsia="仿宋_GB2312" w:cs="仿宋_GB2312"/>
          <w:sz w:val="32"/>
          <w:szCs w:val="32"/>
          <w:highlight w:val="none"/>
          <w:lang w:eastAsia="zh-CN"/>
        </w:rPr>
        <w:t>确保</w:t>
      </w:r>
      <w:r>
        <w:rPr>
          <w:rFonts w:hint="eastAsia" w:ascii="仿宋_GB2312" w:hAnsi="仿宋_GB2312" w:eastAsia="仿宋_GB2312" w:cs="仿宋_GB2312"/>
          <w:sz w:val="32"/>
          <w:szCs w:val="32"/>
          <w:highlight w:val="none"/>
        </w:rPr>
        <w:t>路面范围内达到路见本色、基本无浮土。加大巡查力度，强化对市政道路、背街小巷等地段的砂堆、渣堆、煤堆、土堆、垃圾堆等“五堆”清理。重污染天气应急期间，根据空气质量变化情况增加抑尘或者降尘措施实施频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深入开展各类露天堆场扬尘污染整治。</w:t>
      </w:r>
      <w:r>
        <w:rPr>
          <w:rFonts w:hint="eastAsia" w:ascii="仿宋_GB2312" w:hAnsi="仿宋_GB2312" w:eastAsia="仿宋_GB2312" w:cs="仿宋_GB2312"/>
          <w:sz w:val="32"/>
          <w:szCs w:val="32"/>
          <w:highlight w:val="none"/>
        </w:rPr>
        <w:t>工业企业堆场料场要建立防止扬尘的责任制度和记录</w:t>
      </w:r>
      <w:r>
        <w:rPr>
          <w:rFonts w:hint="eastAsia" w:ascii="仿宋_GB2312" w:hAnsi="仿宋_GB2312" w:eastAsia="仿宋_GB2312" w:cs="仿宋_GB2312"/>
          <w:sz w:val="32"/>
          <w:szCs w:val="32"/>
          <w:highlight w:val="none"/>
          <w:lang w:eastAsia="zh-CN"/>
        </w:rPr>
        <w:t>台账</w:t>
      </w:r>
      <w:r>
        <w:rPr>
          <w:rFonts w:hint="eastAsia" w:ascii="仿宋_GB2312" w:hAnsi="仿宋_GB2312" w:eastAsia="仿宋_GB2312" w:cs="仿宋_GB2312"/>
          <w:sz w:val="32"/>
          <w:szCs w:val="32"/>
          <w:highlight w:val="none"/>
        </w:rPr>
        <w:t>。粉末状的物料全部存入封闭式料库或料仓；颗粒状的物料全部入棚，暂时无法入棚的必须规范堆放，进行全覆盖，并采取洒水或者防风抑尘网等措施减少扬尘污染；块状的物料全部覆盖，暂时无法覆盖的必须规范堆放，并采取洒水或者防风抑尘网等措施减少扬尘污染。露天矿山、垃圾填埋场、建筑垃圾消纳场等应采取苫盖、喷淋、道路硬化等防治扬尘污染措施，设置车辆清洗设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深入开展城区保洁清洗行动。</w:t>
      </w:r>
      <w:r>
        <w:rPr>
          <w:rFonts w:hint="eastAsia" w:ascii="仿宋_GB2312" w:hAnsi="仿宋_GB2312" w:eastAsia="仿宋_GB2312" w:cs="仿宋_GB2312"/>
          <w:sz w:val="32"/>
          <w:szCs w:val="32"/>
          <w:highlight w:val="none"/>
        </w:rPr>
        <w:t>定期对建成区范围环线、城区道路、人行道、单位庭院、楼宇建筑、居民小区、公共场所、设施等，进行全面彻底保洁清洗。充分发挥机械化作业效能，增加冲洗、洒水和雾炮拦尘作业频率，确保道路、树木、绿化带清洗见本色，路面无浮土、无积泥、无积水，达到护栏净、路面净、便道净、墙根树根电杆根净，桥体、桥栏无尘土附着的效果。对企事业单位等各类庭院、楼顶、居民小区院落、楼顶依据产权落实精细化清扫保洁，确保屋顶上无垃圾、无杂物、无明显尘土积存；院内道路清洗见本色，无积存垃圾、尘土；绿化冲洗见本色，绿地内无垃圾。建立长效机制，每季度至少开展一次全面的保洁清洗，巩固和保持清洗效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推进农业农村大气污染防治。</w:t>
      </w:r>
      <w:r>
        <w:rPr>
          <w:rFonts w:hint="eastAsia" w:ascii="仿宋_GB2312" w:hAnsi="仿宋_GB2312" w:eastAsia="仿宋_GB2312" w:cs="仿宋_GB2312"/>
          <w:sz w:val="32"/>
          <w:szCs w:val="32"/>
          <w:highlight w:val="none"/>
        </w:rPr>
        <w:t>全面加强秸秆禁烧管控，强化县乡村三级秸秆禁烧主体责任，建立以村为单位的网格化监管制度，并将秸秆禁烧纳入森林防火体系。强化无人机应用，鼓励在重点地区建设秸秆焚烧火点监测监控系统，提高秸秆焚烧火点的监测效率和水平。在夏收和秋收阶段开展秸秆禁烧专项巡查。严防因秸秆露天焚烧造成区域性重污染天气。推进养殖业、种植业大气氨减排，创新肥料产品，针对不同土壤和作物，大力发展专用复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肥料；积极发展各种新型肥料如缓释肥、控释肥、水溶肥和稳定性肥料及硝化抑制剂、脲酶抑制剂等，替代传统化肥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减少农业生产氨排放。探索建立农业源氨排放监测监控体系。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0" w:name="_Toc14495"/>
      <w:r>
        <w:rPr>
          <w:rFonts w:hint="eastAsia" w:ascii="楷体_GB2312" w:hAnsi="楷体_GB2312" w:eastAsia="楷体_GB2312" w:cs="楷体_GB2312"/>
          <w:b/>
          <w:bCs/>
          <w:sz w:val="32"/>
          <w:szCs w:val="32"/>
          <w:highlight w:val="none"/>
        </w:rPr>
        <w:t>（五）加强重点时段污染防控</w:t>
      </w:r>
      <w:bookmarkEnd w:id="2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强化秋冬季重污染天气应对。</w:t>
      </w:r>
      <w:r>
        <w:rPr>
          <w:rFonts w:hint="eastAsia" w:ascii="仿宋_GB2312" w:hAnsi="仿宋_GB2312" w:eastAsia="仿宋_GB2312" w:cs="仿宋_GB2312"/>
          <w:sz w:val="32"/>
          <w:szCs w:val="32"/>
          <w:highlight w:val="none"/>
        </w:rPr>
        <w:t>加强汾渭平原城市、太原及周边“1+30”重点区域大气污染联防联控协同。落实秋冬季污染防治错峰生产要求，严格监管清单中企业错峰停产、限产到位。进一步完善重污染天气应急预案，按“一厂一策”要求制定应急减排措施，并细化落实到具体单位、企业、工地各生产线、工序、设备。重污染天气发生时，严格落实吕梁市提出的重污染天气应对措施，通过错峰运输，错峰生产、限产、轮产、停产等强制措施，实现重污染天气预防预警启动时段“削峰降频、降低污染”的目的。加强春节期间燃放烟花爆竹污染防治，严禁生产、销售、存储、燃放烟花爆竹。夏收和秋收阶段全面加强秸秆禁烧管控，加强秸秆禁烧专项巡查，强化卫星遥感、无人机等应用，严防因秸秆露天焚烧造成区域性重污染天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加强夏秋季臭氧污染防治。</w:t>
      </w:r>
      <w:r>
        <w:rPr>
          <w:rFonts w:hint="eastAsia" w:ascii="仿宋_GB2312" w:hAnsi="仿宋_GB2312" w:eastAsia="仿宋_GB2312" w:cs="仿宋_GB2312"/>
          <w:sz w:val="32"/>
          <w:szCs w:val="32"/>
          <w:highlight w:val="none"/>
        </w:rPr>
        <w:t>针对臭氧污染严重的夏秋季，实施臭氧污染防治攻坚。探索轻、中度污染天气应急响应的应对机制，每年6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9月份，落实涉VOCs行业错峰生产、错峰检修等措施；引导县城建成区建筑墙体涂刷以及道路划线、栏杆喷涂、道路沥青铺装等户外工程高温时段错时作业；各加油站实施夜间装卸油作业，引导公众避开夏季高温时段（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9月，晴朗天气下每日8时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18时）加油。对重点区域采取不间断走航监测巡查，及时精准发现问题，科学采取应对措施，减少因臭氧超标导致的污染天数。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21" w:name="_Toc12642"/>
      <w:r>
        <w:rPr>
          <w:rFonts w:hint="eastAsia" w:ascii="黑体" w:hAnsi="黑体" w:eastAsia="黑体" w:cs="黑体"/>
          <w:sz w:val="32"/>
          <w:szCs w:val="32"/>
          <w:highlight w:val="none"/>
        </w:rPr>
        <w:t>五、加强“三水”统筹，提升水环境质量</w:t>
      </w:r>
      <w:bookmarkEnd w:id="2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以生态环境质量改善为核心，污染减排与生态扩容两手发力，统筹水资源利用、水生态保护和水环境治理，创新机制体制，一河一策精准施治，持续改善水生态环境。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2" w:name="_Toc19552"/>
      <w:r>
        <w:rPr>
          <w:rFonts w:hint="eastAsia" w:ascii="楷体_GB2312" w:hAnsi="楷体_GB2312" w:eastAsia="楷体_GB2312" w:cs="楷体_GB2312"/>
          <w:b/>
          <w:bCs/>
          <w:sz w:val="32"/>
          <w:szCs w:val="32"/>
          <w:highlight w:val="none"/>
        </w:rPr>
        <w:t>（一）节约保障水资源</w:t>
      </w:r>
      <w:bookmarkEnd w:id="2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加强饮用水水源保护。</w:t>
      </w:r>
      <w:r>
        <w:rPr>
          <w:rFonts w:hint="eastAsia" w:ascii="仿宋_GB2312" w:hAnsi="仿宋_GB2312" w:eastAsia="仿宋_GB2312" w:cs="仿宋_GB2312"/>
          <w:sz w:val="32"/>
          <w:szCs w:val="32"/>
          <w:highlight w:val="none"/>
        </w:rPr>
        <w:t>立足城乡供水一体化，优化饮用水取水格局。深入开展集中式饮用水水源地规范化建设，加快推进瓦窑、大营集中式饮用水水源保护区整治及监控能力建设等工作任务。开展饮用水水源地有机特征污染物分析，建立健全水源环境管理档案和饮用水源保护区矢量数据库，摸清污染来源及风险点位，完善饮用水水源长效管护机制。完成乡镇级集中式饮用水源保护区划定与勘界立标，逐步推进“千吨万人”及其他乡镇级饮用水源地监测和水质提升工作，加强供水安全保障。加强饮用水水源风险防控体系建设，完善饮用水水源预警监测自动站建设和运行管理，严格饮用水水源周边有毒有害物质全过程监管，着力解决农村饮用水水源保护工作中存在的突出生态环境问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强化河道生态基流保障。</w:t>
      </w:r>
      <w:r>
        <w:rPr>
          <w:rFonts w:hint="eastAsia" w:ascii="仿宋_GB2312" w:hAnsi="仿宋_GB2312" w:eastAsia="仿宋_GB2312" w:cs="仿宋_GB2312"/>
          <w:sz w:val="32"/>
          <w:szCs w:val="32"/>
          <w:highlight w:val="none"/>
        </w:rPr>
        <w:t>对磁窑河流域适时启动生态调水，按照每秒不少于0.5个基流执行。吕梁市柏叶口水库龙门供水工程、市生态环境局交城分局、水利局、洪相镇配合做好调水工作。西社镇要严格监管属地河道，严禁非法挖沙、采石、捕鱼及其他扰乱水体的行为，确保河道水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推进污水资源化利用。</w:t>
      </w:r>
      <w:r>
        <w:rPr>
          <w:rFonts w:hint="eastAsia" w:ascii="仿宋_GB2312" w:hAnsi="仿宋_GB2312" w:eastAsia="仿宋_GB2312" w:cs="仿宋_GB2312"/>
          <w:sz w:val="32"/>
          <w:szCs w:val="32"/>
          <w:highlight w:val="none"/>
        </w:rPr>
        <w:t>推动工业用水节约集约利用。加大工业企业节水技术升级改造和循环利用，推动火电、钢铁、化工、食品、造纸等高耗水行业节水增效。继续深入推动工业厂区初期雨水收集治理回用，推进厂区雨污分流管网改造，</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工业雨水排口实施非汛期封堵。推进园区雨水资源化利用试点，鼓励工业园区建设雨水收集、储蓄、处理、回用设施。加大城镇和工业再生水回用力度。把城镇污水处理厂出水作为城市内部重要的用水来源，完善再生水调配体系，加强中水回用管网建设，拓宽再生水利用渠道，实施分质供水，积极用于景观补水、市政用水、生态建设、工业补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实施水资源刚性约束。</w:t>
      </w:r>
      <w:r>
        <w:rPr>
          <w:rFonts w:hint="eastAsia" w:ascii="仿宋_GB2312" w:hAnsi="仿宋_GB2312" w:eastAsia="仿宋_GB2312" w:cs="仿宋_GB2312"/>
          <w:sz w:val="32"/>
          <w:szCs w:val="32"/>
          <w:highlight w:val="none"/>
        </w:rPr>
        <w:t>全面落实以水定城、以水定地、以水定人、以水定产要求，实施深度节水控水行动，严控高耗水行业发展。大力推进城镇节水降损</w:t>
      </w:r>
      <w:r>
        <w:rPr>
          <w:rFonts w:hint="eastAsia" w:ascii="仿宋_GB2312" w:hAnsi="仿宋_GB2312" w:eastAsia="仿宋_GB2312" w:cs="仿宋_GB2312"/>
          <w:sz w:val="32"/>
          <w:szCs w:val="32"/>
          <w:highlight w:val="none"/>
          <w:lang w:eastAsia="zh-CN"/>
        </w:rPr>
        <w:t>，将</w:t>
      </w:r>
      <w:r>
        <w:rPr>
          <w:rFonts w:hint="eastAsia" w:ascii="仿宋_GB2312" w:hAnsi="仿宋_GB2312" w:eastAsia="仿宋_GB2312" w:cs="仿宋_GB2312"/>
          <w:sz w:val="32"/>
          <w:szCs w:val="32"/>
          <w:highlight w:val="none"/>
        </w:rPr>
        <w:t>全县城市公共供水管网漏损率控制在10%以内，达到节水型社会建设标准。开展工业、农业、服务业等领域水效对标达标和用水审计试点，督促超定额用水单位采取节水措施，限期达标。大力推进农业农村节水，以磁窑河流域为重点，规模化推进高效节水灌溉，严格实施农田灌溉</w:t>
      </w:r>
      <w:r>
        <w:rPr>
          <w:rFonts w:hint="eastAsia" w:ascii="仿宋_GB2312" w:hAnsi="仿宋_GB2312" w:eastAsia="仿宋_GB2312" w:cs="仿宋_GB2312"/>
          <w:sz w:val="32"/>
          <w:szCs w:val="32"/>
          <w:highlight w:val="none"/>
          <w:lang w:eastAsia="zh-CN"/>
        </w:rPr>
        <w:t>用</w:t>
      </w:r>
      <w:r>
        <w:rPr>
          <w:rFonts w:hint="eastAsia" w:ascii="仿宋_GB2312" w:hAnsi="仿宋_GB2312" w:eastAsia="仿宋_GB2312" w:cs="仿宋_GB2312"/>
          <w:sz w:val="32"/>
          <w:szCs w:val="32"/>
          <w:highlight w:val="none"/>
        </w:rPr>
        <w:t>水定额管理，农田灌溉水利用效率提高到0.56，严控冬春浇期间取用水和非汛期农田“大水漫灌”行为，严厉打击非法取水，超定额取水行为，严控无序取水。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3" w:name="_Toc2246"/>
      <w:r>
        <w:rPr>
          <w:rFonts w:hint="eastAsia" w:ascii="楷体_GB2312" w:hAnsi="楷体_GB2312" w:eastAsia="楷体_GB2312" w:cs="楷体_GB2312"/>
          <w:b/>
          <w:bCs/>
          <w:sz w:val="32"/>
          <w:szCs w:val="32"/>
          <w:highlight w:val="none"/>
        </w:rPr>
        <w:t>（二）强化水污染防治</w:t>
      </w:r>
      <w:bookmarkEnd w:id="23"/>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加大入河排污口排查整治。</w:t>
      </w:r>
      <w:r>
        <w:rPr>
          <w:rFonts w:hint="eastAsia" w:ascii="仿宋_GB2312" w:hAnsi="仿宋_GB2312" w:eastAsia="仿宋_GB2312" w:cs="仿宋_GB2312"/>
          <w:sz w:val="32"/>
          <w:szCs w:val="32"/>
          <w:highlight w:val="none"/>
        </w:rPr>
        <w:t>按照国家黄河流域入河排污口排查整治要求，实施入河排污口再排查再整治专项行动，深化入河排污口“查、测、溯、治、堵、管”，实施“一口一策”，坚持分类治理，明确每个排污口整治措施和责任主体，对经过整治保留的入河排污口及时登记备案，并实施按月监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狠抓工业水污染治理。</w:t>
      </w:r>
      <w:r>
        <w:rPr>
          <w:rFonts w:hint="eastAsia" w:ascii="仿宋_GB2312" w:hAnsi="仿宋_GB2312" w:eastAsia="仿宋_GB2312" w:cs="仿宋_GB2312"/>
          <w:sz w:val="32"/>
          <w:szCs w:val="32"/>
          <w:highlight w:val="none"/>
        </w:rPr>
        <w:t>加强焦化、化工</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重污染行业水污染治理，各涉水企业必须达到“水六条”治理标准，工业废水排放口排放的废水化学需氧量、氨氮、总磷三项污染物达到地表水Ⅴ类标准，并安装水污染物排放自动监测设备，与生态环境部门联网。煤矿矿井水优先选择用于煤炭洗选、井下生产、消防、绿化等，确需排放</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应当达到地表水环境质量Ⅲ类标准。涉水工业企业雨水排放口全部由市生态环境局交城分局上锁管理，非急需开锁排水时不开锁。开展磁窑河、文峪河水环境专项执法检查，综合应用停产、限产、按日计罚、查封扣押、移送公安等生态环境执法手段，严厉打击在线作假、无证排污、超标排放、偷排偷倒违法行为，形成高压态势。全面推进山西上德水务有限公司园区污水处理厂稳定运行工作，督促企业的生活污水尽快接入污水收集管网。鼓励山西上德水务有限公司先行先试，启动深度处理和回用工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全面加强城镇污染治理。</w:t>
      </w:r>
      <w:r>
        <w:rPr>
          <w:rFonts w:hint="eastAsia" w:ascii="仿宋_GB2312" w:hAnsi="仿宋_GB2312" w:eastAsia="仿宋_GB2312" w:cs="仿宋_GB2312"/>
          <w:sz w:val="32"/>
          <w:szCs w:val="32"/>
          <w:highlight w:val="none"/>
        </w:rPr>
        <w:t>严控磁窑河安固桥断面城镇生活污水入河量的控制。2023年底前，完成交城县污水处理厂城西扩容工程。强化县城生活污水处理厂运行监管和配套管网的完善，完成城区现有污水收集管网排查整治，管网错接、混接以及破损等问题改造，重点解决平川地区生活污水收集</w:t>
      </w:r>
      <w:r>
        <w:rPr>
          <w:rFonts w:hint="eastAsia" w:ascii="仿宋_GB2312" w:hAnsi="仿宋_GB2312" w:eastAsia="仿宋_GB2312" w:cs="仿宋_GB2312"/>
          <w:sz w:val="32"/>
          <w:szCs w:val="32"/>
          <w:highlight w:val="none"/>
          <w:lang w:eastAsia="zh-CN"/>
        </w:rPr>
        <w:t>问题</w:t>
      </w:r>
      <w:r>
        <w:rPr>
          <w:rFonts w:hint="eastAsia" w:ascii="仿宋_GB2312" w:hAnsi="仿宋_GB2312" w:eastAsia="仿宋_GB2312" w:cs="仿宋_GB2312"/>
          <w:sz w:val="32"/>
          <w:szCs w:val="32"/>
          <w:highlight w:val="none"/>
        </w:rPr>
        <w:t>，实现城镇污水管网全覆盖。加强汛期排水管控，严禁非紧急状态下溢流口直排生活污水。提升县城生活污水处理厂运行效能，实施“厂网一体”经营管理模式。推动现有合流制排水系统加快实施雨污分流改造，加快城镇污水处理厂保（提）温提效改造工作。完善污泥处理处置设施建设，鼓励采用资源化利用方式处理处置污泥。加大城镇生活污水回用力度。补齐医疗机构医疗污水处理短板。加强医疗机构独立污水处理设备建设，县级医院建设污水处理设施，20张床位以下的医疗机构污水经消毒后方可排放。</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统筹治理建制镇生活污水。</w:t>
      </w:r>
      <w:r>
        <w:rPr>
          <w:rFonts w:hint="eastAsia" w:ascii="仿宋_GB2312" w:hAnsi="仿宋_GB2312" w:eastAsia="仿宋_GB2312" w:cs="仿宋_GB2312"/>
          <w:sz w:val="32"/>
          <w:szCs w:val="32"/>
          <w:highlight w:val="none"/>
        </w:rPr>
        <w:t>推动非正常运行农村生活污水处理设施分类改造，提高设施正常运行水平，充分发挥已建设施环境效益。所在乡镇要保证已建成投运的农村生活污水处理设施及生活污水一体化泵站正常运行，运行率达80%以上。将农村生活污水治理纳入河湖长制考核，推动河湖长制体系向村级延伸，建立健全促进水质改善的长效维护机制。西营镇各村全部由管网纳入西营污水厂处理；洪相镇采取夏家营镇模式，建设各村收集池和泵站，与新建的城西污水厂对接，纳入集中处理，消除平川区域农村生活污水直排河道问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加快黑臭水体整治力度。</w:t>
      </w:r>
      <w:r>
        <w:rPr>
          <w:rFonts w:hint="eastAsia" w:ascii="仿宋_GB2312" w:hAnsi="仿宋_GB2312" w:eastAsia="仿宋_GB2312" w:cs="仿宋_GB2312"/>
          <w:sz w:val="32"/>
          <w:szCs w:val="32"/>
          <w:highlight w:val="none"/>
        </w:rPr>
        <w:t>巩固交城县建成区黑臭水体治理成果，加强水质监测，严格水质管理，坚决</w:t>
      </w:r>
      <w:r>
        <w:rPr>
          <w:rFonts w:hint="eastAsia" w:ascii="仿宋_GB2312" w:hAnsi="仿宋_GB2312" w:eastAsia="仿宋_GB2312" w:cs="仿宋_GB2312"/>
          <w:sz w:val="32"/>
          <w:szCs w:val="32"/>
          <w:highlight w:val="none"/>
          <w:lang w:eastAsia="zh-CN"/>
        </w:rPr>
        <w:t>防止</w:t>
      </w:r>
      <w:r>
        <w:rPr>
          <w:rFonts w:hint="eastAsia" w:ascii="仿宋_GB2312" w:hAnsi="仿宋_GB2312" w:eastAsia="仿宋_GB2312" w:cs="仿宋_GB2312"/>
          <w:sz w:val="32"/>
          <w:szCs w:val="32"/>
          <w:highlight w:val="none"/>
        </w:rPr>
        <w:t>返黑返臭。开展农村黑臭水体排查，对河道、村庄内及周边坑塘、沟渠黑臭水体进行全面治理。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提升医疗废水治理能力。</w:t>
      </w:r>
      <w:r>
        <w:rPr>
          <w:rFonts w:hint="eastAsia" w:ascii="仿宋_GB2312" w:hAnsi="仿宋_GB2312" w:eastAsia="仿宋_GB2312" w:cs="仿宋_GB2312"/>
          <w:sz w:val="32"/>
          <w:szCs w:val="32"/>
          <w:highlight w:val="none"/>
        </w:rPr>
        <w:t>补齐医疗机构污水处理设施短板，加快完成交城县医疗集团人民医院污水处理设施及管网建设，确保医疗污水全部收集、全部处理，并依法办理排污许可证，按要求开展自行监测；在出水口安装使用水质自动监测设备，与市生态环境局交城分局管理平台联网。建立医疗机构水环境管理信息共享机制，对医疗机构污水收集、处理、排放实施全链条监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加强旅游区污染控制。</w:t>
      </w:r>
      <w:r>
        <w:rPr>
          <w:rFonts w:hint="eastAsia" w:ascii="仿宋_GB2312" w:hAnsi="仿宋_GB2312" w:eastAsia="仿宋_GB2312" w:cs="仿宋_GB2312"/>
          <w:sz w:val="32"/>
          <w:szCs w:val="32"/>
          <w:highlight w:val="none"/>
        </w:rPr>
        <w:t>全县现有旅游区均要建成污水、垃圾收集转运设施，并建立污水、垃圾收集处置体系；新开发的旅游区要同步建设污水、垃圾收集转运设施；严格管控各类分散型旅游点、农家乐、宾馆饭店，坚持污染不入河。严格涉水景区船舶码头污染控制，实现污染物接受、转运、处置设施良好运转。</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4" w:name="_Toc5093"/>
      <w:r>
        <w:rPr>
          <w:rFonts w:hint="eastAsia" w:ascii="楷体_GB2312" w:hAnsi="楷体_GB2312" w:eastAsia="楷体_GB2312" w:cs="楷体_GB2312"/>
          <w:b/>
          <w:bCs/>
          <w:sz w:val="32"/>
          <w:szCs w:val="32"/>
          <w:highlight w:val="none"/>
        </w:rPr>
        <w:t>（三）开展流域生态保护修复</w:t>
      </w:r>
      <w:bookmarkEnd w:id="2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推动入河口水质提升。</w:t>
      </w:r>
      <w:r>
        <w:rPr>
          <w:rFonts w:hint="eastAsia" w:ascii="仿宋_GB2312" w:hAnsi="仿宋_GB2312" w:eastAsia="仿宋_GB2312" w:cs="仿宋_GB2312"/>
          <w:sz w:val="32"/>
          <w:szCs w:val="32"/>
          <w:highlight w:val="none"/>
        </w:rPr>
        <w:t>在有条件的沟、渠、支流等入干流入河口处建设堤外人工湿地，在充分考虑防洪安全的基础上，采用蓄水湿地和堤外人工湿地相结合的方式，营造自然型水流，构建生态护坡，采用生态手段提升河流纳污及自净能力，解决农业农村面源污染问题，改善支流入干流水质。建设运行磁窑河交城段水质提升和生态修复工程，对五村公渠交城县污水处理厂溢流口产生的溢流污水和县城区域内的初期雨水截留收集，通过管网送入白石南河进入水质提升工程处理。在磁窑河和白石南河各建设两座合页坝，提高污水续存能力，起到调节作用，有效保证上游突发高浓度水对工程的冲击，从而保证磁窑河武良出境断面稳定达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强化河（湖）岸生态缓冲带修复。</w:t>
      </w:r>
      <w:r>
        <w:rPr>
          <w:rFonts w:hint="eastAsia" w:ascii="仿宋_GB2312" w:hAnsi="仿宋_GB2312" w:eastAsia="仿宋_GB2312" w:cs="仿宋_GB2312"/>
          <w:sz w:val="32"/>
          <w:szCs w:val="32"/>
          <w:highlight w:val="none"/>
        </w:rPr>
        <w:t>在磁窑河、文峪河两岸30～50米建设生态缓冲带，宜林地段结合堤岸防护营造防护林带，平原水系、山区河滨带优先选择具有净化水体作用的水生植物、低杆植物，有效截留河流两岸污染，保护水域环境。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持续开展河道综合整治。</w:t>
      </w:r>
      <w:r>
        <w:rPr>
          <w:rFonts w:hint="eastAsia" w:ascii="仿宋_GB2312" w:hAnsi="仿宋_GB2312" w:eastAsia="仿宋_GB2312" w:cs="仿宋_GB2312"/>
          <w:sz w:val="32"/>
          <w:szCs w:val="32"/>
          <w:highlight w:val="none"/>
        </w:rPr>
        <w:t>强化河长制巡河制度，持续开展“清河行动”，继续以河湖“清四乱”和河道垃圾清理为重点，及时清理国省考断面所涉干流支流河道堤内建筑垃圾、生活垃圾、工业废弃物及违法建筑物，对影响河流水质的底淤进行清理，建立长效机制，彻底解决各类垃圾和废弃物乱堆乱放乱排问题，持续保持河道清洁常态化。加大河流源头等良好水体保护力度，加强小流域综合治理，实施植树种草、封育保护，涵养水源，逐步建设一批美丽河湖，恢复水清岸绿的水生态系统。</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开展水生态监测与调查评估。</w:t>
      </w:r>
      <w:r>
        <w:rPr>
          <w:rFonts w:hint="eastAsia" w:ascii="仿宋_GB2312" w:hAnsi="仿宋_GB2312" w:eastAsia="仿宋_GB2312" w:cs="仿宋_GB2312"/>
          <w:sz w:val="32"/>
          <w:szCs w:val="32"/>
          <w:highlight w:val="none"/>
        </w:rPr>
        <w:t>围绕水生生物多样性、自然岸带生态本底、河道生态主要状况等基本要素，定期开展流域水生态调查，掌握境内本地鱼类、底栖动物和水生植物物种组成，筛选敏感物种，针对重点保护动植物、濒危珍稀物种、当地特有物种，建立保护物种档案库；了解水生生物群落结构特征和自然变化规律，实施河流湖库水生态系统健康评估，建立流域水生态基础数据集，全面摸清河流生态家底。提升水生态环境监测能力，加快构建水生态环境监测体系，试点开展大型底栖动物、浮游生物、着生藻类等指标监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25" w:name="_Toc14402"/>
      <w:r>
        <w:rPr>
          <w:rFonts w:hint="eastAsia" w:ascii="黑体" w:hAnsi="黑体" w:eastAsia="黑体" w:cs="黑体"/>
          <w:sz w:val="32"/>
          <w:szCs w:val="32"/>
          <w:highlight w:val="none"/>
        </w:rPr>
        <w:t>六、提升土壤环境质量，加大地下水和农村环境保护</w:t>
      </w:r>
      <w:bookmarkEnd w:id="2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6" w:name="_Toc9710"/>
      <w:r>
        <w:rPr>
          <w:rFonts w:hint="eastAsia" w:ascii="楷体_GB2312" w:hAnsi="楷体_GB2312" w:eastAsia="楷体_GB2312" w:cs="楷体_GB2312"/>
          <w:b/>
          <w:bCs/>
          <w:sz w:val="32"/>
          <w:szCs w:val="32"/>
          <w:highlight w:val="none"/>
        </w:rPr>
        <w:t>（一）加强土壤环境保护</w:t>
      </w:r>
      <w:bookmarkEnd w:id="26"/>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加强土壤污染源头防范。</w:t>
      </w:r>
      <w:r>
        <w:rPr>
          <w:rFonts w:hint="eastAsia" w:ascii="仿宋_GB2312" w:hAnsi="仿宋_GB2312" w:eastAsia="仿宋_GB2312" w:cs="仿宋_GB2312"/>
          <w:sz w:val="32"/>
          <w:szCs w:val="32"/>
          <w:highlight w:val="none"/>
        </w:rPr>
        <w:t>强化环评管控，对焦化、化工、医药、电镀等可能造成土壤污染的重点项目，在环评中应加强土壤环境质量分析、预测及防治污染对策等内容。对从事焦化、化工等涉及多环芳烃、酚类化合物等有毒有害有机污染物排放的企业，应严格落实防渗漏措施，加强重点企业管控，每年开展土壤自行监测，定期开展重点企业土壤隐患排查及隐患整改。实施重点区域土壤风险评估，对土壤污染重点监管企业、县城生活垃圾处置厂及县城生活污水处理厂周边用地开展土壤监督性监测，开展焦化、化工企业周边农用地土壤污染状况评估，对全县主要农田灌溉用水水质进行监测，防止土壤污染。</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加强农用地土壤保护与安全利用。</w:t>
      </w:r>
      <w:r>
        <w:rPr>
          <w:rFonts w:hint="eastAsia" w:ascii="仿宋_GB2312" w:hAnsi="仿宋_GB2312" w:eastAsia="仿宋_GB2312" w:cs="仿宋_GB2312"/>
          <w:sz w:val="32"/>
          <w:szCs w:val="32"/>
          <w:highlight w:val="none"/>
        </w:rPr>
        <w:t>依法将符合条件的优先保护类耕地划为永久基本农田，在永久基本农田集中区域，不得规划新建可能造成土壤污染的建设项目。加强农业投入品质量监管，从严查处向农田施用重金属不达标肥料等农业投入品的行为。全面落实耕地土壤环境保护措施，制定“十四五”优先保护类耕地保护利用方案及年度工作计划。建立全县优先保护类耕地清单，明确具体保护措施。落实耕地质量保护措施，推广有机肥替代化肥、测土配方施肥、绿色防控、耕地保育等绿色生产技术，减少化肥农药使用量，提升耕地质量。对优先保护类耕地周边的有色金属冶炼、化工、焦化、电镀、制革等行业企业、优先保护类耕地及其周边非正规垃圾堆放点进行排查和整治，严格控制污染源头。根据土地利用变更、土壤和农产品协同监测结果等，动态调整耕地土壤环境质量类别，原则上禁止曾用于生产、使用、贮存、回收、处置有毒有害物质的工矿用地复垦为种植食用农产品的耕地。</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加强建设用地环境风险防控。</w:t>
      </w:r>
      <w:r>
        <w:rPr>
          <w:rFonts w:hint="eastAsia" w:ascii="仿宋_GB2312" w:hAnsi="仿宋_GB2312" w:eastAsia="仿宋_GB2312" w:cs="仿宋_GB2312"/>
          <w:sz w:val="32"/>
          <w:szCs w:val="32"/>
          <w:highlight w:val="none"/>
        </w:rPr>
        <w:t>以用途变更为“一住两公”的地块为重点，依法开展土壤污染状况调查和风险评估。及时将注销、撤销排污许可证</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企业纳入监管范围，防止腾退地块游离于监管之外。县自然资源部门、经济开发区</w:t>
      </w:r>
      <w:r>
        <w:rPr>
          <w:rFonts w:hint="eastAsia" w:ascii="仿宋_GB2312" w:hAnsi="仿宋_GB2312" w:eastAsia="仿宋_GB2312" w:cs="仿宋_GB2312"/>
          <w:sz w:val="32"/>
          <w:szCs w:val="32"/>
          <w:highlight w:val="none"/>
          <w:lang w:eastAsia="zh-CN"/>
        </w:rPr>
        <w:t>及时与</w:t>
      </w:r>
      <w:r>
        <w:rPr>
          <w:rFonts w:hint="eastAsia" w:ascii="仿宋_GB2312" w:hAnsi="仿宋_GB2312" w:eastAsia="仿宋_GB2312" w:cs="仿宋_GB2312"/>
          <w:sz w:val="32"/>
          <w:szCs w:val="32"/>
          <w:highlight w:val="none"/>
        </w:rPr>
        <w:t>生态环境部门</w:t>
      </w:r>
      <w:r>
        <w:rPr>
          <w:rFonts w:hint="eastAsia" w:ascii="仿宋_GB2312" w:hAnsi="仿宋_GB2312" w:eastAsia="仿宋_GB2312" w:cs="仿宋_GB2312"/>
          <w:sz w:val="32"/>
          <w:szCs w:val="32"/>
          <w:highlight w:val="none"/>
          <w:lang w:eastAsia="zh-CN"/>
        </w:rPr>
        <w:t>协商，</w:t>
      </w:r>
      <w:r>
        <w:rPr>
          <w:rFonts w:hint="eastAsia" w:ascii="仿宋_GB2312" w:hAnsi="仿宋_GB2312" w:eastAsia="仿宋_GB2312" w:cs="仿宋_GB2312"/>
          <w:sz w:val="32"/>
          <w:szCs w:val="32"/>
          <w:highlight w:val="none"/>
        </w:rPr>
        <w:t>在土地征收、收回、收购以及转让、改变用途等环节，依法督促相关单位调查并上报土壤污染状况。土壤污染重点监管单位生产经营用地的土壤污染状况调查报告应当依法作为不动产登记资料送交地方人民政府不动产登记机构，并报县、市生态环境管理部门备案。强化土壤污染状况调查质量管理和监管，积极推进建立土壤污染状况调查评估等报告抽查机制。因地制宜严格污染地块用地准入。从事土地开发利用活动，应当采取有效措施，防止、减少土壤污染，并确保建设用地符合土壤环境质量要求。合理规划污染地块用途，县自然资源部门对列入建设用地土壤污染风险管控和修复名录的地块，不得作为住宅、公共管理与公共服务用地；不得办理土地征收、收回、收购、土地供应以及改变土地用途等手续。依法应当开展土壤污染状况调查或风险评估而未开展或尚未完成的地块，以及未达到土壤污染风险评估报告确定的风险管控、修复目标的地块，不得开工建设与风险管控、修复无关的项目。强化部门信息共享和联动监管，建立完善污染地块数据库及信息平台，共享疑似污染地块及污染地块空间信息。</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逐步推进受污染土壤修复试点。</w:t>
      </w:r>
      <w:r>
        <w:rPr>
          <w:rFonts w:hint="eastAsia" w:ascii="仿宋_GB2312" w:hAnsi="仿宋_GB2312" w:eastAsia="仿宋_GB2312" w:cs="仿宋_GB2312"/>
          <w:sz w:val="32"/>
          <w:szCs w:val="32"/>
          <w:highlight w:val="none"/>
        </w:rPr>
        <w:t>依据重点行业企业用地调查、企业隐患排查和自行监测等结果，以金属表面处理及热处理加工、基础化学原料制造、炼焦、专用化学品制造等行业企业为重点，鼓励采用污染阻隔、监测自然衰减等原位风险管控或修复技术，探索在产企业边生产边管控的土壤污染风险模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7" w:name="_Toc2261"/>
      <w:r>
        <w:rPr>
          <w:rFonts w:hint="eastAsia" w:ascii="楷体_GB2312" w:hAnsi="楷体_GB2312" w:eastAsia="楷体_GB2312" w:cs="楷体_GB2312"/>
          <w:b/>
          <w:bCs/>
          <w:sz w:val="32"/>
          <w:szCs w:val="32"/>
          <w:highlight w:val="none"/>
        </w:rPr>
        <w:t>（二）加大地下水保护力度</w:t>
      </w:r>
      <w:bookmarkEnd w:id="27"/>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开展集中式地下水型饮用水源地和地下水污染源调查评估。</w:t>
      </w:r>
      <w:r>
        <w:rPr>
          <w:rFonts w:hint="eastAsia" w:ascii="仿宋_GB2312" w:hAnsi="仿宋_GB2312" w:eastAsia="仿宋_GB2312" w:cs="仿宋_GB2312"/>
          <w:sz w:val="32"/>
          <w:szCs w:val="32"/>
          <w:highlight w:val="none"/>
        </w:rPr>
        <w:t>强化集中式地下水型饮用水源调查，开展瓦窑和大营集中式饮用水水源地保护区及补给区地下水环境状况调查，建立和完善地下水型饮用水水源补给区内优先管控污染源清单。推进地下水污染源调查，开展焦化化工重点企业、县城生活垃圾填埋场、开发区、矿山集中开采区的地下水环境状况调查评估，调查所处的水文地质条件、地下水污染源分布及地下水环境质量现状，评估地下水环境风险，结合区域整体发展的布局和规划，识别地下水环境风险与管控重点。2025年底前，完成开发区和焦化企业地下水环境状况调查评估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强化地下水污染源头防控。</w:t>
      </w:r>
      <w:r>
        <w:rPr>
          <w:rFonts w:hint="eastAsia" w:ascii="仿宋_GB2312" w:hAnsi="仿宋_GB2312" w:eastAsia="仿宋_GB2312" w:cs="仿宋_GB2312"/>
          <w:sz w:val="32"/>
          <w:szCs w:val="32"/>
          <w:highlight w:val="none"/>
        </w:rPr>
        <w:t>严格地下水资源开采管理，识别多层地下水的含水层水质差异大的区域，实施分层开采。控制全县地下水开采量，在地表水供水覆盖区，除城乡饮水工程外，限制开采地下水。严格控制开采深层承压水，保护地下水资源。加强焦化、化工等企业以及开发区、县生活垃圾填埋场等区域防渗处理，全面推进地下水污染风险管控。开展报废矿井、钻井、取水井排查登记，督促工程所有权人按照相关技术标准开展封井回填。对已经造成地下水串层污染的，督促工程所有权人对造成的地下水污染进行治理和修复。开展农村污水处理和垃圾治理，科学施用化肥农药，防止农业面源对地下水污染，推进农村分散式地下水水源地水质保护。</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协同推进地下水污染风险管控与修复。</w:t>
      </w:r>
      <w:r>
        <w:rPr>
          <w:rFonts w:hint="eastAsia" w:ascii="仿宋_GB2312" w:hAnsi="仿宋_GB2312" w:eastAsia="仿宋_GB2312" w:cs="仿宋_GB2312"/>
          <w:sz w:val="32"/>
          <w:szCs w:val="32"/>
          <w:highlight w:val="none"/>
        </w:rPr>
        <w:t>开展地下水污染分区划分，划定地下水污染治理区、防控区和保护区，并落实分区管控措施。完善地下水污染源监测体系，2023年底前，焦化企业、垃圾填埋场等地下水重点污染源应建设规范的地下水环境监测井。强化地下水污染风险防控，全面推进地下水污染调查、监测、评估、风险防控和修复等。建立生态环境、自然资源、水利部门地下水环境调查、水文地质勘查、地下水资源调查等方面信息共享机制。结合实际，适时开展典型地块地下水污染风险管控或修复试点项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28" w:name="_Toc26572"/>
      <w:r>
        <w:rPr>
          <w:rFonts w:hint="eastAsia" w:ascii="楷体_GB2312" w:hAnsi="楷体_GB2312" w:eastAsia="楷体_GB2312" w:cs="楷体_GB2312"/>
          <w:b/>
          <w:bCs/>
          <w:sz w:val="32"/>
          <w:szCs w:val="32"/>
          <w:highlight w:val="none"/>
        </w:rPr>
        <w:t>（三）深入推进农村环境整治</w:t>
      </w:r>
      <w:bookmarkEnd w:id="28"/>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加大农村环境整治力度。</w:t>
      </w:r>
      <w:r>
        <w:rPr>
          <w:rFonts w:hint="eastAsia" w:ascii="仿宋_GB2312" w:hAnsi="仿宋_GB2312" w:eastAsia="仿宋_GB2312" w:cs="仿宋_GB2312"/>
          <w:sz w:val="32"/>
          <w:szCs w:val="32"/>
          <w:highlight w:val="none"/>
        </w:rPr>
        <w:t>以农村生活污水治理、农村黑臭水体治理、农村饮用水水源地保护、农村生活垃圾收集处置等为重点，持续推进农村环境整治，推进农村人居环境整治示范县“三级联创”，建立长效治理机制。加强农村生活污水处理，高标准建设农村生活排水管网和污水处理设施，加快消除污水废水直排现象和农村黑臭水体。扎实推进农村“厕所革命”，科学规划改造农村户用厕所，加强厕所粪污无害化处理和资源化利用。提升农村垃圾处理水平，建立符合农村实际、方式多样的生活垃圾收集、运输处理体系，加大城市垃圾处理设施网络向农村延伸，开展农村生活垃圾分类试点。持续开展拆违治乱专项行动，全面清理乡村各类违法占地、违法建筑、残垣断壁、废弃建筑等，确保村落建筑整洁有序。统筹推进乡村生态修复与保护，综合改善田水路林村风貌。发动农户积极参与公共空间和庭院环境整治，持续开展村庄清洁行动，加快发展农村清洁能源。</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严格规模养殖排污监管。</w:t>
      </w:r>
      <w:r>
        <w:rPr>
          <w:rFonts w:hint="eastAsia" w:ascii="仿宋_GB2312" w:hAnsi="仿宋_GB2312" w:eastAsia="仿宋_GB2312" w:cs="仿宋_GB2312"/>
          <w:sz w:val="32"/>
          <w:szCs w:val="32"/>
          <w:highlight w:val="none"/>
        </w:rPr>
        <w:t>编制实施畜禽养殖污染防治规划，推动种养结合和粪污综合利用，规范畜禽养殖禁养区划定与管理。畜禽规模养殖场配套建设粪污处理设施，自主开展出水监测。加强规模以下畜禽养殖户污染防治。到2025年，所有规模养殖场粪污处理设施装备全配套，畜禽粪污综合利用率达到90％以上，实现畜禽粪污由“治”向“用”转变。优化水产养殖空间布局，合理控制养殖规模和密度，严格水产养殖投入品管理，严禁非法使用药物。到2025年，规模以上水产养殖尾水实现达标排放。</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深入开展化肥农药减施增效。</w:t>
      </w:r>
      <w:r>
        <w:rPr>
          <w:rFonts w:hint="eastAsia" w:ascii="仿宋_GB2312" w:hAnsi="仿宋_GB2312" w:eastAsia="仿宋_GB2312" w:cs="仿宋_GB2312"/>
          <w:sz w:val="32"/>
          <w:szCs w:val="32"/>
          <w:highlight w:val="none"/>
        </w:rPr>
        <w:t>加强农业投入品规范化管理，健全投入品追溯系统，推进化肥农药减量施用。到2025年，全</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化肥农药施用量保持负增长。实施农田退水污染综合治理，推进农田退水拦截贮存治理与回用设施建设，加强农田退水循环利用。严格管控农田灌溉退水入河，退水渠非汛期实施闸坝封堵。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统筹推进农膜秸秆回收利用。</w:t>
      </w:r>
      <w:r>
        <w:rPr>
          <w:rFonts w:hint="eastAsia" w:ascii="仿宋_GB2312" w:hAnsi="仿宋_GB2312" w:eastAsia="仿宋_GB2312" w:cs="仿宋_GB2312"/>
          <w:sz w:val="32"/>
          <w:szCs w:val="32"/>
          <w:highlight w:val="none"/>
        </w:rPr>
        <w:t>在种养密集区域，探索整县推进畜禽粪污、秸秆、农田残膜、农村垃圾等废弃物全量资源化利用。健全完善农膜及农药包装废弃物回收利用体系和长效机制，推动生产者、销售者和使用者落实回收责任。健全秸秆收储供应体系，培育壮大一批产业化利用主体，提升秸秆商品化收储和供应能力；构建秸秆利用补偿制度，完善秸秆资源台账制度，推进秸秆利用长效化运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29" w:name="_Toc20883"/>
      <w:r>
        <w:rPr>
          <w:rFonts w:hint="eastAsia" w:ascii="黑体" w:hAnsi="黑体" w:eastAsia="黑体" w:cs="黑体"/>
          <w:sz w:val="32"/>
          <w:szCs w:val="32"/>
          <w:highlight w:val="none"/>
        </w:rPr>
        <w:t>七、统筹山水林田湖草，构建生态安全屏障</w:t>
      </w:r>
      <w:bookmarkEnd w:id="29"/>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0" w:name="_Toc26408"/>
      <w:r>
        <w:rPr>
          <w:rFonts w:hint="eastAsia" w:ascii="楷体_GB2312" w:hAnsi="楷体_GB2312" w:eastAsia="楷体_GB2312" w:cs="楷体_GB2312"/>
          <w:b/>
          <w:bCs/>
          <w:sz w:val="32"/>
          <w:szCs w:val="32"/>
          <w:highlight w:val="none"/>
        </w:rPr>
        <w:t>（一）筑牢交城山生态安全屏障</w:t>
      </w:r>
      <w:bookmarkEnd w:id="3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加强生态屏障建设。</w:t>
      </w:r>
      <w:r>
        <w:rPr>
          <w:rFonts w:hint="eastAsia" w:ascii="仿宋_GB2312" w:hAnsi="仿宋_GB2312" w:eastAsia="仿宋_GB2312" w:cs="仿宋_GB2312"/>
          <w:sz w:val="32"/>
          <w:szCs w:val="32"/>
          <w:highlight w:val="none"/>
        </w:rPr>
        <w:t>实施天然林资源修复、防护林、退耕还林还草、经济林提质增效、生物多样性保护及自然保护地体系建设等一批重大生态保护修复工程，努力把交城建设成为拱卫太原生态安全屏障。坚持绿化、彩化、财化有机统一，宜乔则乔、宜灌则灌、宜草则草，选择以乡土树种油松为主，混交金叶榆、华北卫矛等多个品种，形成针阔混交、乔灌搭配的植被恢复模式，加快推进县域内宜林荒山绿化、农田林网、水系生态廊道、道路绿网</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生态廊道建设，增强区域生态承载能力。将让交城大地山更绿、水更清、空气更清新，为建设“生态交城、活力交城、宜居交城”提供良好的生态支撑。</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推进森林城市和森林康养产业基地建设。</w:t>
      </w:r>
      <w:r>
        <w:rPr>
          <w:rFonts w:hint="eastAsia" w:ascii="仿宋_GB2312" w:hAnsi="仿宋_GB2312" w:eastAsia="仿宋_GB2312" w:cs="仿宋_GB2312"/>
          <w:sz w:val="32"/>
          <w:szCs w:val="32"/>
          <w:highlight w:val="none"/>
        </w:rPr>
        <w:t>结合乡村振兴战略，推动建成区、县城周边和乡村绿化步伐，有效增加绿地面积，积极开展国家森林城市申报认定工作，力争“十四五”期间成功创建国家森林城市。以丰富多彩的森林景观、健康安全的森林食品、内涵浓郁的生态文化为资源依托，开展以修身养心、调适机能为目的的森林游憩、度假、疗养、保健、养老等活动，实现生态产业化，产业生态化。发展森林康养、运动康养、文化康养、禅修康养等新业态、新项目，打造形成庞泉沟康养小镇、如金生态园、果老峰户外运动小镇等一批休闲康养基地，建设形成森林康养产业集群。</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实施乡村绿化美化工程。</w:t>
      </w:r>
      <w:r>
        <w:rPr>
          <w:rFonts w:hint="eastAsia" w:ascii="仿宋_GB2312" w:hAnsi="仿宋_GB2312" w:eastAsia="仿宋_GB2312" w:cs="仿宋_GB2312"/>
          <w:sz w:val="32"/>
          <w:szCs w:val="32"/>
          <w:highlight w:val="none"/>
        </w:rPr>
        <w:t>采用“增绿、添彩、造景”方式，着力提升乡村绿化美化质量，进一步厚植乡村绿色优势，努力建设“村美、业兴、家富、人和”的生态宜居美丽乡村。“十四五”期间，以瓦窑、田家山、坡底、磁窑、蒲渠河五村联创美丽乡村为牵引，打造美丽宜居示范村30个。积极推进社会造林，引导各类主体参与国土绿化，协同推进部门（系统）绿化，鼓励引导社会力量参与造林植树，形成“全民共建、全民共享”生态建设成果的浓厚氛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1" w:name="_Toc14558"/>
      <w:r>
        <w:rPr>
          <w:rFonts w:hint="eastAsia" w:ascii="楷体_GB2312" w:hAnsi="楷体_GB2312" w:eastAsia="楷体_GB2312" w:cs="楷体_GB2312"/>
          <w:b/>
          <w:bCs/>
          <w:sz w:val="32"/>
          <w:szCs w:val="32"/>
          <w:highlight w:val="none"/>
        </w:rPr>
        <w:t>（二）提升生物多样性保护能力</w:t>
      </w:r>
      <w:bookmarkEnd w:id="31"/>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加强自然保护地保护。</w:t>
      </w:r>
      <w:r>
        <w:rPr>
          <w:rFonts w:hint="eastAsia" w:ascii="仿宋_GB2312" w:hAnsi="仿宋_GB2312" w:eastAsia="仿宋_GB2312" w:cs="仿宋_GB2312"/>
          <w:sz w:val="32"/>
          <w:szCs w:val="32"/>
          <w:highlight w:val="none"/>
        </w:rPr>
        <w:t>构建以庞泉沟国家公园为主体的自然保护地体系，加强褐马鸡及华北落叶松、云杉</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天然次生林植被等重要动植物保护工作，开展重要生态廊道和栖息地保护与修复，恢复重要生态空间的连通性，保护生物多样性，实施生物多样性保护与生态修复，开展野生动物疫源疫病监测防控体系建设。</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加强生态保护红线管控。</w:t>
      </w:r>
      <w:r>
        <w:rPr>
          <w:rFonts w:hint="eastAsia" w:ascii="仿宋_GB2312" w:hAnsi="仿宋_GB2312" w:eastAsia="仿宋_GB2312" w:cs="仿宋_GB2312"/>
          <w:sz w:val="32"/>
          <w:szCs w:val="32"/>
          <w:highlight w:val="none"/>
        </w:rPr>
        <w:t>逐步完善生态保护红线管理制度，制定生态保护红线区管理办法，严格落实生态保护红线区分级管控要求。加强日常监管，对造成自然生态系统和资源环境受到损害的有关责任人员，按照有关法律法规严肃追究责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强化野生动植物保护。</w:t>
      </w:r>
      <w:r>
        <w:rPr>
          <w:rFonts w:hint="eastAsia" w:ascii="仿宋_GB2312" w:hAnsi="仿宋_GB2312" w:eastAsia="仿宋_GB2312" w:cs="仿宋_GB2312"/>
          <w:sz w:val="32"/>
          <w:szCs w:val="32"/>
          <w:highlight w:val="none"/>
        </w:rPr>
        <w:t>制定野生动植物中长期保护规划，建立全县野生动植物资源数据库，组织开展栖息地、种群的调查监测工作，拯救保护极小种群濒危物种，维护生物多样性。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2" w:name="_Toc10958"/>
      <w:r>
        <w:rPr>
          <w:rFonts w:hint="eastAsia" w:ascii="楷体_GB2312" w:hAnsi="楷体_GB2312" w:eastAsia="楷体_GB2312" w:cs="楷体_GB2312"/>
          <w:b/>
          <w:bCs/>
          <w:sz w:val="32"/>
          <w:szCs w:val="32"/>
          <w:highlight w:val="none"/>
        </w:rPr>
        <w:t>（三）重要生态保护与修复</w:t>
      </w:r>
      <w:bookmarkEnd w:id="3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加强天然林资源保护。</w:t>
      </w:r>
      <w:r>
        <w:rPr>
          <w:rFonts w:hint="eastAsia" w:ascii="仿宋_GB2312" w:hAnsi="仿宋_GB2312" w:eastAsia="仿宋_GB2312" w:cs="仿宋_GB2312"/>
          <w:sz w:val="32"/>
          <w:szCs w:val="32"/>
          <w:highlight w:val="none"/>
        </w:rPr>
        <w:t>持续开展国土绿化行动，推进绿色生态廊道建设，每年新增植树造林1.3万亩，年均森林覆盖率提高0.5个百分点。切实提高造林种草质量，精准提升林草资源质量，坚持“造管并重”，严格林地规划管控、用途管制，建设林火智能监控系统，加强天然林保护与退化林保育恢复，改善林相结构，全面推进山水林田湖草系统保护修复，促进绿化彩化财化同步推进。严格森林资源保护管理，严守生态保护红线，加强重点生态功能区和生态环境敏感脆弱区域的森林资源保护，强化森林资源督查，严厉打击破坏森林资源违法犯罪行为。健全重大森林有害生物监管和联防联治机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推进水土流失综合治理。</w:t>
      </w:r>
      <w:r>
        <w:rPr>
          <w:rFonts w:hint="eastAsia" w:ascii="仿宋_GB2312" w:hAnsi="仿宋_GB2312" w:eastAsia="仿宋_GB2312" w:cs="仿宋_GB2312"/>
          <w:sz w:val="32"/>
          <w:szCs w:val="32"/>
          <w:highlight w:val="none"/>
        </w:rPr>
        <w:t>加强文峪河、磁窑河及其支流流域水土流失综合治理。采取退耕还林、封山育林等措施，恢复和扩大林草植被，控制水土流失，加大退耕还林、还草等措施，实施清洁小流域建设和坡耕地综合整治，加强黄土高原塬面保护，以旱作梯田和淤地坝建设为重点，建设“固沟保塬”综合治理体系，控制全县范围水土流失。加快实施黄河中游汾河水系交城磁窑河流域生态修复治理，包括磁窑河流域治理河道27公里，蓄水坝17座，两侧岸堤建骨干绿地6.98公里、合页坝3座、边山生态修复及提档升级3万亩以及水土保持综合治理19.37平方公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推进矿山生态修复治理。</w:t>
      </w:r>
      <w:r>
        <w:rPr>
          <w:rFonts w:hint="eastAsia" w:ascii="仿宋_GB2312" w:hAnsi="仿宋_GB2312" w:eastAsia="仿宋_GB2312" w:cs="仿宋_GB2312"/>
          <w:sz w:val="32"/>
          <w:szCs w:val="32"/>
          <w:highlight w:val="none"/>
        </w:rPr>
        <w:t>开展黄河流域历史遗留矿山生态破坏与污染状况调查评价，识别在产、停产、关停等矿山企业用地生态环境质量情况。积极推进矿产开采企业污染治理，在矿山开采、选矿、运输等活动中应当采取防护措施，防止废气、废水、尾矿、矸石等污染环境。加快实施交城7号矿等矿山重要生态系统保护和修复重大工程，对易地扶贫搬迁迁出地实施生态恢复。配合市级完成黄河流域历史遗留矿山污染状况调查，以西社镇、水峪贯镇、岭底乡、会立乡、东坡底乡等矿产资源集中开采区为重点，积极开展历史遗留矿山环境综合治理，完成历史遗留矿山环境恢复治理面积644公顷，实现全县矿山生态环境根本好转。新建矿山全部按绿色矿山标准建设，已有矿山开展绿色矿山创建，到2025年，全县生产和基建矿山基本都达到吕梁市市级绿色矿山建设标准，争取一批创建成为山西省省级绿色矿山标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33" w:name="_Toc1146"/>
      <w:r>
        <w:rPr>
          <w:rFonts w:hint="eastAsia" w:ascii="黑体" w:hAnsi="黑体" w:eastAsia="黑体" w:cs="黑体"/>
          <w:sz w:val="32"/>
          <w:szCs w:val="32"/>
          <w:highlight w:val="none"/>
        </w:rPr>
        <w:t>八、强化全过程管控，有效防范环境风险</w:t>
      </w:r>
      <w:bookmarkEnd w:id="33"/>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4" w:name="_Toc31474"/>
      <w:r>
        <w:rPr>
          <w:rFonts w:hint="eastAsia" w:ascii="楷体_GB2312" w:hAnsi="楷体_GB2312" w:eastAsia="楷体_GB2312" w:cs="楷体_GB2312"/>
          <w:b/>
          <w:bCs/>
          <w:sz w:val="32"/>
          <w:szCs w:val="32"/>
          <w:highlight w:val="none"/>
        </w:rPr>
        <w:t>（一）完善生态环境风险防控体系</w:t>
      </w:r>
      <w:bookmarkEnd w:id="3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加强风险评估与全过程防控制度建设。</w:t>
      </w:r>
      <w:r>
        <w:rPr>
          <w:rFonts w:hint="eastAsia" w:ascii="仿宋_GB2312" w:hAnsi="仿宋_GB2312" w:eastAsia="仿宋_GB2312" w:cs="仿宋_GB2312"/>
          <w:sz w:val="32"/>
          <w:szCs w:val="32"/>
          <w:highlight w:val="none"/>
        </w:rPr>
        <w:t>深入开展全县环境风险源排查和风险评估，完善环境风险源数据库。以环境风险评价为基础，完善环境应急预案体系，切实提升各类环境应急预案的可操作性和针对性。开展全县有重大风险源企业的环境应急装备情况调查，依托大型企业已有的应急物资与装备，建立健全社会应急装备、应急</w:t>
      </w:r>
      <w:r>
        <w:rPr>
          <w:rFonts w:hint="eastAsia" w:ascii="仿宋_GB2312" w:hAnsi="仿宋_GB2312" w:eastAsia="仿宋_GB2312" w:cs="仿宋_GB2312"/>
          <w:sz w:val="32"/>
          <w:szCs w:val="32"/>
          <w:highlight w:val="none"/>
          <w:lang w:eastAsia="zh-CN"/>
        </w:rPr>
        <w:t>物资</w:t>
      </w:r>
      <w:r>
        <w:rPr>
          <w:rFonts w:hint="eastAsia" w:ascii="仿宋_GB2312" w:hAnsi="仿宋_GB2312" w:eastAsia="仿宋_GB2312" w:cs="仿宋_GB2312"/>
          <w:sz w:val="32"/>
          <w:szCs w:val="32"/>
          <w:highlight w:val="none"/>
        </w:rPr>
        <w:t>数据库。加强与应急管理部门协作，将环境应急与安全生产、消防安全预案相结合，实施一体化管理。重点加强涉及有毒有害化学物质行业、化工行业应急预案管理，增强突发环境事件应急预案的针对性，切实增强应急管理体系的实效性，提高应急管理水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加强环境风险预警。</w:t>
      </w:r>
      <w:r>
        <w:rPr>
          <w:rFonts w:hint="eastAsia" w:ascii="仿宋_GB2312" w:hAnsi="仿宋_GB2312" w:eastAsia="仿宋_GB2312" w:cs="仿宋_GB2312"/>
          <w:sz w:val="32"/>
          <w:szCs w:val="32"/>
          <w:highlight w:val="none"/>
        </w:rPr>
        <w:t>构建全过程的生态环境风险防范制度。定期开展环境污染隐患排查和治理，建立生态风险防范清单，加强政府、企业环境应急管理和风险防控。加强涉危涉重企业、化工企业、集中式饮用水水源地及文峪河、磁窑河沿岸环境风险调查评估，实施分类分级风险管控，协同推进区域流域生态环境污染综合防治、风险防控与生态恢复，开展生态环境综合整治和风险防控示范工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提升环境应急处置水平。</w:t>
      </w:r>
      <w:r>
        <w:rPr>
          <w:rFonts w:hint="eastAsia" w:ascii="仿宋_GB2312" w:hAnsi="仿宋_GB2312" w:eastAsia="仿宋_GB2312" w:cs="仿宋_GB2312"/>
          <w:sz w:val="32"/>
          <w:szCs w:val="32"/>
          <w:highlight w:val="none"/>
        </w:rPr>
        <w:t>全面规范企事业单位环境应急预案，积极开展环境应急预案电子备案工作，实施企业环境应急预案电子化备案，实现涉危涉重企业电子化备案全覆盖。健全多层级、网络化环境应急物资储备体系，建设环境应急物资储备库、重大风险源数据库、环境应急专家库。</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建设生态环境应急体系。</w:t>
      </w:r>
      <w:r>
        <w:rPr>
          <w:rFonts w:hint="eastAsia" w:ascii="仿宋_GB2312" w:hAnsi="仿宋_GB2312" w:eastAsia="仿宋_GB2312" w:cs="仿宋_GB2312"/>
          <w:sz w:val="32"/>
          <w:szCs w:val="32"/>
          <w:highlight w:val="none"/>
        </w:rPr>
        <w:t>严格属地为主、部门协同</w:t>
      </w:r>
      <w:r>
        <w:rPr>
          <w:rFonts w:hint="eastAsia" w:ascii="仿宋_GB2312" w:hAnsi="仿宋_GB2312" w:eastAsia="仿宋_GB2312" w:cs="仿宋_GB2312"/>
          <w:sz w:val="32"/>
          <w:szCs w:val="32"/>
          <w:highlight w:val="none"/>
          <w:lang w:eastAsia="zh-CN"/>
        </w:rPr>
        <w:t>的生态</w:t>
      </w:r>
      <w:r>
        <w:rPr>
          <w:rFonts w:hint="eastAsia" w:ascii="仿宋_GB2312" w:hAnsi="仿宋_GB2312" w:eastAsia="仿宋_GB2312" w:cs="仿宋_GB2312"/>
          <w:sz w:val="32"/>
          <w:szCs w:val="32"/>
          <w:highlight w:val="none"/>
        </w:rPr>
        <w:t>环境应急责任。以化工等企业为重点，健全防范化解突发生态环境事件风险和应急准备责任体系，严格落实企业主体责任。组织环境应急人员参加各类技术培训。加强应急装备配置，定期开展应急演练，增强实战能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5" w:name="_Toc5955"/>
      <w:r>
        <w:rPr>
          <w:rFonts w:hint="eastAsia" w:ascii="楷体_GB2312" w:hAnsi="楷体_GB2312" w:eastAsia="楷体_GB2312" w:cs="楷体_GB2312"/>
          <w:b/>
          <w:bCs/>
          <w:sz w:val="32"/>
          <w:szCs w:val="32"/>
          <w:highlight w:val="none"/>
        </w:rPr>
        <w:t>（二）加强重点领域环境风险防控</w:t>
      </w:r>
      <w:bookmarkEnd w:id="3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加强重点环境源风险防控。</w:t>
      </w:r>
      <w:r>
        <w:rPr>
          <w:rFonts w:hint="eastAsia" w:ascii="仿宋_GB2312" w:hAnsi="仿宋_GB2312" w:eastAsia="仿宋_GB2312" w:cs="仿宋_GB2312"/>
          <w:sz w:val="32"/>
          <w:szCs w:val="32"/>
          <w:highlight w:val="none"/>
        </w:rPr>
        <w:t>加大对山西华鑫肥业股份有限公司、山西省交城红星化工有限公司、山西磊鑫化工有限公司等重大环境风险企业监管力度，以及加油站、加气站等企业应加强环境风险防控，贯彻各项环境保护和风险防控措施，加强日常监管，严格环境执法，提升企业环境风险防控和突发环境事件应急处置能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加强新污染环境风险管控。</w:t>
      </w:r>
      <w:r>
        <w:rPr>
          <w:rFonts w:hint="eastAsia" w:ascii="仿宋_GB2312" w:hAnsi="仿宋_GB2312" w:eastAsia="仿宋_GB2312" w:cs="仿宋_GB2312"/>
          <w:sz w:val="32"/>
          <w:szCs w:val="32"/>
          <w:highlight w:val="none"/>
        </w:rPr>
        <w:t>强化新化学物质环境管理登记，全面落实《产业结构调整指导目录》中有毒有害化学物质淘汰和限制措施，强化绿色替代品和替代技术推广应用。严格执行产品质量标准中有毒有害化学物质含量限值。对使用有毒有害化学物质或在生产过程中排放新污染物的企业，全面实施强制性清洁生产审核。加强高环境危害、高健康风险化学物质管制，严格控制环境激素类化学物质污染。加快淘汰、限制、减少国际环境公约管控化学品。淘汰六溴环十二烷、十溴二苯醚、全氟辛基磺酸及其盐类和全氟辛基磺酰氟，基本淘汰短链氯化石蜡、全氟辛酸等一批持久性有机污染物。严厉打击持久性有机污染物非法生产和使用、添汞产品非法生产等违法行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加强核与辐射安全管理。</w:t>
      </w:r>
      <w:r>
        <w:rPr>
          <w:rFonts w:hint="eastAsia" w:ascii="仿宋_GB2312" w:hAnsi="仿宋_GB2312" w:eastAsia="仿宋_GB2312" w:cs="仿宋_GB2312"/>
          <w:sz w:val="32"/>
          <w:szCs w:val="32"/>
          <w:highlight w:val="none"/>
        </w:rPr>
        <w:t>严格放射源的全过程管理，督促各级医疗机构及时办理辐射安全许可证，确保辐射安全许可证发放率达到100%</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已有放射源的生产、销售、使用、退役、收贮进行严格审批备案；强化放射源的跟踪管理，严格执行废旧源及放射</w:t>
      </w:r>
      <w:r>
        <w:rPr>
          <w:rFonts w:hint="eastAsia" w:ascii="仿宋_GB2312" w:hAnsi="仿宋_GB2312" w:eastAsia="仿宋_GB2312" w:cs="仿宋_GB2312"/>
          <w:sz w:val="32"/>
          <w:szCs w:val="32"/>
          <w:highlight w:val="none"/>
          <w:lang w:eastAsia="zh-CN"/>
        </w:rPr>
        <w:t>性</w:t>
      </w:r>
      <w:r>
        <w:rPr>
          <w:rFonts w:hint="eastAsia" w:ascii="仿宋_GB2312" w:hAnsi="仿宋_GB2312" w:eastAsia="仿宋_GB2312" w:cs="仿宋_GB2312"/>
          <w:sz w:val="32"/>
          <w:szCs w:val="32"/>
          <w:highlight w:val="none"/>
        </w:rPr>
        <w:t>废物集中处置要求。“十四五”期间，废弃放射源安全送贮率应保持100%。加强放射源使用安全管理，严格执行核医学科等放射性同位素使用单位放射性废物处理和排放标准，严防放射性废物通过气、水、固体废物、运输等各种途径的扩散和转移，保障辐射环境安全。督促各核技术利用单位做好辐射工作人员新训、复训工作，确保辐射工作人员持证上岗，加强涉及核与辐射企业对国家核技术利用辐射安全管理系统数据填报与完善，及时更新系统中辐射管理机构人员信息、台账信息等内容。提升辐射环境安全综合监管能力；配套工作仪器设备及防护设施等，充分保障辐射监管能力水平。开展辐射事故应急演练，提升事故应急和处置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36" w:name="_Toc25746"/>
      <w:r>
        <w:rPr>
          <w:rFonts w:hint="eastAsia" w:ascii="黑体" w:hAnsi="黑体" w:eastAsia="黑体" w:cs="黑体"/>
          <w:sz w:val="32"/>
          <w:szCs w:val="32"/>
          <w:highlight w:val="none"/>
        </w:rPr>
        <w:t>九、坚持“三化”原则，推动固体废物安全处置</w:t>
      </w:r>
      <w:bookmarkEnd w:id="36"/>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7" w:name="_Toc29068"/>
      <w:r>
        <w:rPr>
          <w:rFonts w:hint="eastAsia" w:ascii="楷体_GB2312" w:hAnsi="楷体_GB2312" w:eastAsia="楷体_GB2312" w:cs="楷体_GB2312"/>
          <w:b/>
          <w:bCs/>
          <w:sz w:val="32"/>
          <w:szCs w:val="32"/>
          <w:highlight w:val="none"/>
        </w:rPr>
        <w:t>（一）加强工业固体废物综合利用</w:t>
      </w:r>
      <w:bookmarkEnd w:id="3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大力推进工业固体废物源头削减。</w:t>
      </w:r>
      <w:r>
        <w:rPr>
          <w:rFonts w:hint="eastAsia" w:ascii="仿宋_GB2312" w:hAnsi="仿宋_GB2312" w:eastAsia="仿宋_GB2312" w:cs="仿宋_GB2312"/>
          <w:sz w:val="32"/>
          <w:szCs w:val="32"/>
          <w:highlight w:val="none"/>
        </w:rPr>
        <w:t>严格控制新建、扩建固体废物产生量大、区域难以实现有效综合利用和无害化处置的项目。开展交城开发区循环化改造试点，搭建固体废物循环利用信息交流共享平台，积极拓展大宗工业固体废物综合利用途径，加快实施井下块煤分选及矸石充填技术，推进煤矿煤矸石返井和充填开采试点，利用水泥、建材行业消纳粉煤灰、炉渣、脱硫石膏等一般工业废物。对于暂时无法综合利用的工业固体废物，要进行妥善处置。持续开展坚决遏制固体废物非法转移和倾倒、固体废物堆存场所排查整治。按《交城县矿区历史遗留固体废物对农用地污染影响排查工作方案》，排查涉及重有色金属和硫铁矿历史遗留固体废物情况，对影响农用地的固体废物堆场进行规范整治。工业固废贮存场、处置场防扬撒、防流失、防渗漏等“三防”措施全面完善，实施固废堆场生态恢复。推动塑料废弃物资源化利用的规范化、集中化和产业化，相关项目要向资源循环利用基地等园区集聚，提高塑料废弃物资源化利用水平。分拣成本高、不宜资源化利用的塑料废弃物要推进能源化利用。促进废弃电器电子产品规范拆解处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8" w:name="_Toc6362"/>
      <w:r>
        <w:rPr>
          <w:rFonts w:hint="eastAsia" w:ascii="楷体_GB2312" w:hAnsi="楷体_GB2312" w:eastAsia="楷体_GB2312" w:cs="楷体_GB2312"/>
          <w:b/>
          <w:bCs/>
          <w:sz w:val="32"/>
          <w:szCs w:val="32"/>
          <w:highlight w:val="none"/>
        </w:rPr>
        <w:t>（二）加强危险废物安全处置监管</w:t>
      </w:r>
      <w:bookmarkEnd w:id="3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一步梳理全口径产废单位、经营单位、豁免经营单位清单，摸清危险废物产生情况及自建利用处置设施情况，全部纳入固废信息系统进行管理。实施危险废物规范化环境管理评估，督促危险废物产废单位、经营单位开展企业自评，选取纳入危险废物环境重点监管单位清单的单位开展县级评估，进一步推动相关部门落实危险废物监管职责，促进危险废物产生单位（以下简称产废单位）和危险废物经营单位（以下简称经营单位）落实各项法律制度和相关标准规范。实施危险废物全过程监管，加强焦化、化工行业危险废物产生重点单位和交城县金铭恒业环保科技有限公司、交城京汇中环保科技有限公司危险废物处置单位管理，严厉打击非法倾倒、非法转移等涉危险废物环境违法行为。加大工业源危险废物收集力度，开展交城经济开发区危险废物收贮体系建设，建立社会源危险废物收集体系。在经济开发区筹划建设一座危险废物处置中心，进一步提升县域危废处置能力。逐步建立废铅蓄电池、废旧电子产品、废弃机动车等回收网络，依托开展废弃荧光灯管和含汞电池分类回收和处理。建立社会源危险废物收集体系，结合生活垃圾分类示范工作，到2025年底前力争建成一个有害垃圾、实验室废物等社会源危险废物集中收贮点。严厉打击医疗废物非法买卖等行为，严格落实医疗机构医疗废物各项环境监管制度，强化医疗废物收集、贮存、转运、处置全流程监管，重点加强对偏远乡镇、农村地区医疗废物转运能力建设，避免环境风险，提升应对疫情能力水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39" w:name="_Toc29036"/>
      <w:r>
        <w:rPr>
          <w:rFonts w:hint="eastAsia" w:ascii="楷体_GB2312" w:hAnsi="楷体_GB2312" w:eastAsia="楷体_GB2312" w:cs="楷体_GB2312"/>
          <w:b/>
          <w:bCs/>
          <w:sz w:val="32"/>
          <w:szCs w:val="32"/>
          <w:highlight w:val="none"/>
        </w:rPr>
        <w:t>（三）深入推进生活垃圾污染防治</w:t>
      </w:r>
      <w:bookmarkEnd w:id="3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快建立分类投放、分类收集、分类运输、分类处理的生活垃圾处理系统，努力提高生活垃圾分类覆盖面全面推进城乡生活垃圾分类制度，推动餐厨废弃物资源化利用、生活垃圾分类回收利用。结合乡村振兴，完善农村生活垃圾收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处置体系，完成天宁镇城西瓦窑村、城南青村、城东阳渠村、夏家营镇段村、洪相镇洪相村、西营镇大营村、西社镇西社村、水峪贯镇大游底村、庞泉沟镇市庄村、东坡底乡逯家岩村、</w:t>
      </w:r>
      <w:r>
        <w:rPr>
          <w:rFonts w:hint="eastAsia" w:ascii="仿宋_GB2312" w:hAnsi="仿宋_GB2312" w:eastAsia="仿宋_GB2312" w:cs="仿宋_GB2312"/>
          <w:sz w:val="32"/>
          <w:szCs w:val="32"/>
          <w:highlight w:val="none"/>
          <w:lang w:eastAsia="zh-CN"/>
        </w:rPr>
        <w:t>东坡底</w:t>
      </w:r>
      <w:r>
        <w:rPr>
          <w:rFonts w:hint="eastAsia" w:ascii="仿宋_GB2312" w:hAnsi="仿宋_GB2312" w:eastAsia="仿宋_GB2312" w:cs="仿宋_GB2312"/>
          <w:sz w:val="32"/>
          <w:szCs w:val="32"/>
          <w:highlight w:val="none"/>
        </w:rPr>
        <w:t>乡神堂坪村中转站建设，配置数量充足的分类收集容器、转运车辆，建设相应处置设施。提高生活垃圾转运、处置管理水平，采取有效措施，严格恶臭气体、渗滤液的处理要求，确保垃圾收集、转运、处置设施稳定运行。结合农村人居环境改善工作，充分利用广播、电视、报纸、网络、宣传栏和标语等多种形式开展宣传教育活动，广泛发动村民积极参与村庄垃圾清理和日常保洁，最大程度实现农村生活垃圾源头分类减量，进一步推动农村生活垃圾分类处置，提升农村生活垃圾的处置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40" w:name="_Toc4278"/>
      <w:r>
        <w:rPr>
          <w:rFonts w:hint="eastAsia" w:ascii="黑体" w:hAnsi="黑体" w:eastAsia="黑体" w:cs="黑体"/>
          <w:sz w:val="32"/>
          <w:szCs w:val="32"/>
          <w:highlight w:val="none"/>
        </w:rPr>
        <w:t>十、加大改革创新，构建现代环境治理体系</w:t>
      </w:r>
      <w:bookmarkEnd w:id="4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41" w:name="_Toc14983"/>
      <w:r>
        <w:rPr>
          <w:rFonts w:hint="eastAsia" w:ascii="楷体_GB2312" w:hAnsi="楷体_GB2312" w:eastAsia="楷体_GB2312" w:cs="楷体_GB2312"/>
          <w:b/>
          <w:bCs/>
          <w:sz w:val="32"/>
          <w:szCs w:val="32"/>
          <w:highlight w:val="none"/>
        </w:rPr>
        <w:t>（一）健全生态环境管理体制机制</w:t>
      </w:r>
      <w:bookmarkEnd w:id="41"/>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落实生态环境治理责任体系。</w:t>
      </w:r>
      <w:r>
        <w:rPr>
          <w:rFonts w:hint="eastAsia" w:ascii="仿宋_GB2312" w:hAnsi="仿宋_GB2312" w:eastAsia="仿宋_GB2312" w:cs="仿宋_GB2312"/>
          <w:sz w:val="32"/>
          <w:szCs w:val="32"/>
          <w:highlight w:val="none"/>
        </w:rPr>
        <w:t>坚持生态环境保护“党政同责、一岗双责、权责一致、失职追责”，加快完善生态环境保护委员</w:t>
      </w:r>
      <w:r>
        <w:rPr>
          <w:rFonts w:hint="eastAsia" w:ascii="仿宋_GB2312" w:hAnsi="仿宋_GB2312" w:eastAsia="仿宋_GB2312" w:cs="仿宋_GB2312"/>
          <w:sz w:val="32"/>
          <w:szCs w:val="32"/>
          <w:highlight w:val="none"/>
          <w:lang w:eastAsia="zh-CN"/>
        </w:rPr>
        <w:t>会</w:t>
      </w:r>
      <w:r>
        <w:rPr>
          <w:rFonts w:hint="eastAsia" w:ascii="仿宋_GB2312" w:hAnsi="仿宋_GB2312" w:eastAsia="仿宋_GB2312" w:cs="仿宋_GB2312"/>
          <w:sz w:val="32"/>
          <w:szCs w:val="32"/>
          <w:highlight w:val="none"/>
        </w:rPr>
        <w:t>工作机制，建立齐抓共管、高效顺畅、边界清晰、职责分明的生态环境管理机制，形成“大生态、大环保”工作格局。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保障生态环境财力投入。</w:t>
      </w:r>
      <w:r>
        <w:rPr>
          <w:rFonts w:hint="eastAsia" w:ascii="仿宋_GB2312" w:hAnsi="仿宋_GB2312" w:eastAsia="仿宋_GB2312" w:cs="仿宋_GB2312"/>
          <w:sz w:val="32"/>
          <w:szCs w:val="32"/>
          <w:highlight w:val="none"/>
        </w:rPr>
        <w:t>根据全县经济社会发展情况，逐步增加生态环境治理财政投入，建立健全稳定的财政投入机制。做好国家重点生态功能区转移支付，加大对生态转移支付补助力度。完善环保类资金管理制度，加强对资金的监督和管理。建立生态环境治理资金绩效评价机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强化目标评价考核。</w:t>
      </w:r>
      <w:r>
        <w:rPr>
          <w:rFonts w:hint="eastAsia" w:ascii="仿宋_GB2312" w:hAnsi="仿宋_GB2312" w:eastAsia="仿宋_GB2312" w:cs="仿宋_GB2312"/>
          <w:sz w:val="32"/>
          <w:szCs w:val="32"/>
          <w:highlight w:val="none"/>
        </w:rPr>
        <w:t>着眼环境质量改善，合理设定约束性和预期性目标，纳入本县国民经济和社会发展规划、国土空间规划以及相关专项规划。建立健全生态环境保护尽职免责机制，鼓励创新，允许试错，保护干部工作的积极性。党委、政府年度目标责任考核和区域经济转型升级考核要优化“资源环境”考核指标，实行生态环境保护“一票否决”制度。</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完善监管体制。</w:t>
      </w:r>
      <w:r>
        <w:rPr>
          <w:rFonts w:hint="eastAsia" w:ascii="仿宋_GB2312" w:hAnsi="仿宋_GB2312" w:eastAsia="仿宋_GB2312" w:cs="仿宋_GB2312"/>
          <w:sz w:val="32"/>
          <w:szCs w:val="32"/>
          <w:highlight w:val="none"/>
        </w:rPr>
        <w:t>实施“双随机、一公开”环境监管模式。加强司法保障，建立生态环境保护综合行政执法机关、公安机关、检察机关、审判机关信息共享、案情通报、案件移送制度。强化对破坏生态环境违法犯罪行为的查处侦办，加大对破坏生态环境案件起诉力度，加强检察机关提起生态环境公益诉讼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42" w:name="_Toc24059"/>
      <w:r>
        <w:rPr>
          <w:rFonts w:hint="eastAsia" w:ascii="楷体_GB2312" w:hAnsi="楷体_GB2312" w:eastAsia="楷体_GB2312" w:cs="楷体_GB2312"/>
          <w:b/>
          <w:bCs/>
          <w:sz w:val="32"/>
          <w:szCs w:val="32"/>
          <w:highlight w:val="none"/>
        </w:rPr>
        <w:t>（二）完善生态环境管理制度</w:t>
      </w:r>
      <w:bookmarkEnd w:id="4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依法实行排污许可管理制度。</w:t>
      </w:r>
      <w:r>
        <w:rPr>
          <w:rFonts w:hint="eastAsia" w:ascii="仿宋_GB2312" w:hAnsi="仿宋_GB2312" w:eastAsia="仿宋_GB2312" w:cs="仿宋_GB2312"/>
          <w:sz w:val="32"/>
          <w:szCs w:val="32"/>
          <w:highlight w:val="none"/>
        </w:rPr>
        <w:t>推进排污许可发证登记工作，实现固定污染源排污许可全覆盖。加强排污许可证后监管，倒逼排污单位落实环保主体责任，按证排污，自证守法，自觉接受社会监督。</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健全环境治理信用体系。</w:t>
      </w:r>
      <w:r>
        <w:rPr>
          <w:rFonts w:hint="eastAsia" w:ascii="仿宋_GB2312" w:hAnsi="仿宋_GB2312" w:eastAsia="仿宋_GB2312" w:cs="仿宋_GB2312"/>
          <w:sz w:val="32"/>
          <w:szCs w:val="32"/>
          <w:highlight w:val="none"/>
        </w:rPr>
        <w:t>进一步完善企业环保信用评价制度，实施分级分类监管，将环境违法企业依法依规纳入失信联合惩戒对象名单，将其违法信息记入信用记录，依法向社会公开。加强政务诚信建设，建立健全环境治理政务失信记录，将政府和公职人员在环境保护工作中因违法违规、失信违约被司法判决、行政处罚、纪律处分、问责处理等信息纳入政务失信记录，并归集至相关信用信息共享平台，依托“信用中国”网站等依法依规逐步公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43" w:name="_Toc10520"/>
      <w:r>
        <w:rPr>
          <w:rFonts w:hint="eastAsia" w:ascii="楷体_GB2312" w:hAnsi="楷体_GB2312" w:eastAsia="楷体_GB2312" w:cs="楷体_GB2312"/>
          <w:b/>
          <w:bCs/>
          <w:sz w:val="32"/>
          <w:szCs w:val="32"/>
          <w:highlight w:val="none"/>
        </w:rPr>
        <w:t>（三）提升生态环境监管水平</w:t>
      </w:r>
      <w:bookmarkEnd w:id="43"/>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提升生态环境监测能力。</w:t>
      </w:r>
      <w:r>
        <w:rPr>
          <w:rFonts w:hint="eastAsia" w:ascii="仿宋_GB2312" w:hAnsi="仿宋_GB2312" w:eastAsia="仿宋_GB2312" w:cs="仿宋_GB2312"/>
          <w:sz w:val="32"/>
          <w:szCs w:val="32"/>
          <w:highlight w:val="none"/>
        </w:rPr>
        <w:t>加强空气质量自动监测网络建设，配备环境空气质量VOCs监测和大气颗粒物组分监测装置，在交城经济开发区、重点镇镇区设置六参数空气质量监测站点，加大监测站点覆盖范围。完善优化地表水和地下水监测点位，逐步开展农村生态环境监测。充分利用卫星遥感、无人机巡查、在线监测、走航监测、热点网格、大数据、人工智能等科技手段实现污染源监控的现代化。强化重点污染源的自动监控体系建设，</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排气口高度超过45米的高架源，以及化工、包装印刷、工业涂装等VOCs排放重点源，纳入重点排污单位名录；推进重点企业的在线监控设施安装与联网工作，尤其对列入差异化评级管理的重点行业逐步实现在线监控全覆盖。在重点企业的生产、运输、装卸、破碎、堆场等易产尘点，安装高清视频监控装置、扬尘（粉尘）在线监控系统，并配套联动喷淋降尘设施，实时在线监测扬尘（粉尘），自动控制以及声光报警，当扬尘值达到设定上限时自动启动一处或者多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雾炮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喷淋系统，对现场环境进行雾化喷淋降尘措施，当扬尘值达到设定下限值时自动关闭喷淋系统。</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加强生态环境监察执法。</w:t>
      </w:r>
      <w:r>
        <w:rPr>
          <w:rFonts w:hint="eastAsia" w:ascii="仿宋_GB2312" w:hAnsi="仿宋_GB2312" w:eastAsia="仿宋_GB2312" w:cs="仿宋_GB2312"/>
          <w:sz w:val="32"/>
          <w:szCs w:val="32"/>
          <w:highlight w:val="none"/>
        </w:rPr>
        <w:t>加强卫星遥感、无人机、移动执法系统等技术应用，不断加强环境监管能力建设。积极推进环境移动执法系统应用的深度和广度，逐步实施执法全过程记录，证据全留痕可控，建立执法检查、调查取证和智能办案的一体化移动执法系统体系。实现现场执法多元化取证。综合运用经济、技术、行政等手段，加强部门联动和队伍专业化建设，推进环保、公安、住建、交通、农业农村等多部门联合执法，以及区域执法、交叉执法等执法机制的创新。严格落实“网格长”制度，压实责任，层层落实。充分运用“人防、技防、联防”监管措施，综合执法监管手段，多举措、全方位、精细化推动精准治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完善环境应急管理机制。</w:t>
      </w:r>
      <w:r>
        <w:rPr>
          <w:rFonts w:hint="eastAsia" w:ascii="仿宋_GB2312" w:hAnsi="仿宋_GB2312" w:eastAsia="仿宋_GB2312" w:cs="仿宋_GB2312"/>
          <w:sz w:val="32"/>
          <w:szCs w:val="32"/>
          <w:highlight w:val="none"/>
        </w:rPr>
        <w:t>建立完善环境应急管理专职机构，建立和完善环境应急管理机制。健全环境风险源、敏感目标、环境应急能力及环境应急预案等数据库，建立健全突发环境事件应急指挥决策支持系统。组建环境应急专家队伍，依托大型焦化、化工企业等，建立专业化应急处置队伍和环境应急</w:t>
      </w:r>
      <w:r>
        <w:rPr>
          <w:rFonts w:hint="eastAsia" w:ascii="仿宋_GB2312" w:hAnsi="仿宋_GB2312" w:eastAsia="仿宋_GB2312" w:cs="仿宋_GB2312"/>
          <w:sz w:val="32"/>
          <w:szCs w:val="32"/>
          <w:highlight w:val="none"/>
          <w:lang w:eastAsia="zh-CN"/>
        </w:rPr>
        <w:t>物资</w:t>
      </w:r>
      <w:r>
        <w:rPr>
          <w:rFonts w:hint="eastAsia" w:ascii="仿宋_GB2312" w:hAnsi="仿宋_GB2312" w:eastAsia="仿宋_GB2312" w:cs="仿宋_GB2312"/>
          <w:sz w:val="32"/>
          <w:szCs w:val="32"/>
          <w:highlight w:val="none"/>
        </w:rPr>
        <w:t>储备库。加强环境应急技术研究和人员培训。强化重污染天气应急响应联动，加强与气象、公安、应急、交通等部门的应急联动，联合落实重污染天气应对措施。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加强环境宣教能力。</w:t>
      </w:r>
      <w:r>
        <w:rPr>
          <w:rFonts w:hint="eastAsia" w:ascii="仿宋_GB2312" w:hAnsi="仿宋_GB2312" w:eastAsia="仿宋_GB2312" w:cs="仿宋_GB2312"/>
          <w:sz w:val="32"/>
          <w:szCs w:val="32"/>
          <w:highlight w:val="none"/>
        </w:rPr>
        <w:t>强化宣教队伍素质能力建设。增加训教专业培训，同时通过采取自我学习、知识竞赛等方式，提升专业技术人员技能水平；争先创优，深化与主流媒体的合作，积极围绕环保中心工作，策划优秀选题，批评曝光环境违法行为，掌握话语权、提升环保宣教的影响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44" w:name="_Toc7883"/>
      <w:r>
        <w:rPr>
          <w:rFonts w:hint="eastAsia" w:ascii="黑体" w:hAnsi="黑体" w:eastAsia="黑体" w:cs="黑体"/>
          <w:sz w:val="32"/>
          <w:szCs w:val="32"/>
          <w:highlight w:val="none"/>
        </w:rPr>
        <w:t>十一、开展全民行动，推动形成绿色生活方式</w:t>
      </w:r>
      <w:bookmarkEnd w:id="4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45" w:name="_Toc4672"/>
      <w:r>
        <w:rPr>
          <w:rFonts w:hint="eastAsia" w:ascii="楷体_GB2312" w:hAnsi="楷体_GB2312" w:eastAsia="楷体_GB2312" w:cs="楷体_GB2312"/>
          <w:b/>
          <w:bCs/>
          <w:sz w:val="32"/>
          <w:szCs w:val="32"/>
          <w:highlight w:val="none"/>
        </w:rPr>
        <w:t>（一）增强全社会生态环保意识</w:t>
      </w:r>
      <w:bookmarkEnd w:id="4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加强生态文明教育。</w:t>
      </w:r>
      <w:r>
        <w:rPr>
          <w:rFonts w:hint="eastAsia" w:ascii="仿宋_GB2312" w:hAnsi="仿宋_GB2312" w:eastAsia="仿宋_GB2312" w:cs="仿宋_GB2312"/>
          <w:sz w:val="32"/>
          <w:szCs w:val="32"/>
          <w:highlight w:val="none"/>
        </w:rPr>
        <w:t>将生态文明教育纳入国民教育体系、职业教育体系和党政领导干部培训体系。在中小学开设生态文明教育必修课程，纳入各阶段教学计划，幼儿园开设生态环境启蒙课程，编制课程教材与课外读本，强化生态文明教育师资队伍建设。在党校、干部培训班开设生态文明教育课程。推动各类职业培训学校、职业培训班积极开展生态文明教育。加大生态环境保护学科建设和高层次人才培养力度，推进环境保护职业教育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繁荣生态文化。</w:t>
      </w:r>
      <w:r>
        <w:rPr>
          <w:rFonts w:hint="eastAsia" w:ascii="仿宋_GB2312" w:hAnsi="仿宋_GB2312" w:eastAsia="仿宋_GB2312" w:cs="仿宋_GB2312"/>
          <w:sz w:val="32"/>
          <w:szCs w:val="32"/>
          <w:highlight w:val="none"/>
        </w:rPr>
        <w:t>加强生态文化基础理论研究，丰富新时代生态文化体系。加大生态环境宣传产品的制作和传播力度。加大对生态文明建设题材文学创作、影视创作、词曲创作等的支持力度。开发体现生态文明建设的网络文学、有声读物、短视频等。组织开展六五环境日等活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46" w:name="_Toc27936"/>
      <w:r>
        <w:rPr>
          <w:rFonts w:hint="eastAsia" w:ascii="楷体_GB2312" w:hAnsi="楷体_GB2312" w:eastAsia="楷体_GB2312" w:cs="楷体_GB2312"/>
          <w:b/>
          <w:bCs/>
          <w:sz w:val="32"/>
          <w:szCs w:val="32"/>
          <w:highlight w:val="none"/>
        </w:rPr>
        <w:t>（二）推进绿色低碳生活</w:t>
      </w:r>
      <w:bookmarkEnd w:id="46"/>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推行绿色出行。</w:t>
      </w:r>
      <w:r>
        <w:rPr>
          <w:rFonts w:hint="eastAsia" w:ascii="仿宋_GB2312" w:hAnsi="仿宋_GB2312" w:eastAsia="仿宋_GB2312" w:cs="仿宋_GB2312"/>
          <w:sz w:val="32"/>
          <w:szCs w:val="32"/>
          <w:highlight w:val="none"/>
        </w:rPr>
        <w:t>完善城市交通系统，加强城市公共交通和慢行交通系统建设管理，加快充电基础设施建设。提升城市交通管理水平，优化交通信息引导，加强停车场管理。引导公众出行优先选择公共交通、步行和自行车等绿色方式，提高绿色出行比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倡导绿色消费。</w:t>
      </w:r>
      <w:r>
        <w:rPr>
          <w:rFonts w:hint="eastAsia" w:ascii="仿宋_GB2312" w:hAnsi="仿宋_GB2312" w:eastAsia="仿宋_GB2312" w:cs="仿宋_GB2312"/>
          <w:sz w:val="32"/>
          <w:szCs w:val="32"/>
          <w:highlight w:val="none"/>
        </w:rPr>
        <w:t>鼓励更新淘汰能耗高、安全性差的电冰箱、空调等家电产品，推广绿色产品，限制和禁止使用一次性产品。深入开展餐饮行业“光盘”行动，在电商、快递、外卖等领域落实绿色规范标准。推动生活垃圾源头减量、分类回收和资源化利用。积极开展绿色家庭、绿色社区、绿色机关、绿色商场、绿色学校等系列创建活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拒绝白色污染。</w:t>
      </w:r>
      <w:r>
        <w:rPr>
          <w:rFonts w:hint="eastAsia" w:ascii="仿宋_GB2312" w:hAnsi="仿宋_GB2312" w:eastAsia="仿宋_GB2312" w:cs="仿宋_GB2312"/>
          <w:sz w:val="32"/>
          <w:szCs w:val="32"/>
          <w:highlight w:val="none"/>
        </w:rPr>
        <w:t>禁止生产、销售和使用一次性不可降解塑料制品。对塑料制品源头管控、消费减量、绿色替代等环节情况进行全面摸底清查，建立塑料制品生产、流通、消费和回收处置等环节的管理制度。深入推进全县塑料可自然降解生物技术及其他可替代产品研发，为推进绿色替代、生态处置、循环利用等奠定基础。依法查处违法排放不可降解塑料制品污染环境行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创造宁静生活环境。</w:t>
      </w:r>
      <w:r>
        <w:rPr>
          <w:rFonts w:hint="eastAsia" w:ascii="仿宋_GB2312" w:hAnsi="仿宋_GB2312" w:eastAsia="仿宋_GB2312" w:cs="仿宋_GB2312"/>
          <w:sz w:val="32"/>
          <w:szCs w:val="32"/>
          <w:highlight w:val="none"/>
        </w:rPr>
        <w:t>强化社会生活噪声污染监管，加强对餐饮业、娱乐业、商业等噪声污染源的控制管理，严格落实限期治理制度，并加强后期监管；加大对广场舞等公共场所群众性文化娱乐活动的管理。鼓励创建安静小区。加强施工噪声监测和监管，推广低噪声施工机械，加大夜间施工噪声扰民的处罚力度。加强工业噪声污染防治，新建工业企业落实《工业企业厂界环境噪声排放标准》，远离居民区等噪声敏感建筑集中区域，防止工业噪声污染由城区向郊区特别是农村地区的转移。加强交通噪声污染防治。加强环境准入管理，严格执行新改扩</w:t>
      </w:r>
      <w:r>
        <w:rPr>
          <w:rFonts w:hint="eastAsia" w:ascii="仿宋_GB2312" w:hAnsi="仿宋_GB2312" w:eastAsia="仿宋_GB2312" w:cs="仿宋_GB2312"/>
          <w:sz w:val="32"/>
          <w:szCs w:val="32"/>
          <w:highlight w:val="none"/>
          <w:lang w:eastAsia="zh-CN"/>
        </w:rPr>
        <w:t>建</w:t>
      </w:r>
      <w:r>
        <w:rPr>
          <w:rFonts w:hint="eastAsia" w:ascii="仿宋_GB2312" w:hAnsi="仿宋_GB2312" w:eastAsia="仿宋_GB2312" w:cs="仿宋_GB2312"/>
          <w:sz w:val="32"/>
          <w:szCs w:val="32"/>
          <w:highlight w:val="none"/>
        </w:rPr>
        <w:t>交通建设项目环评制度，加强项目验收监督检查，确保配套噪声污染防治设施落实到位；交通项目的改扩建工程要按照“以新带老”的原则，对道路两侧超标区域采取隔声屏障或隔声窗等降噪措施。强化规划控制，合理控制道路、铁路线路两侧敏感建筑物防护距离。推进交通干线噪声治理工程，对道路和铁路干线两侧存在居民住宅且夜间交通噪声超标的路段实施优先治理工程，采取隔声屏障及隔声窗等工程治理措施，改善居民夜间声环境质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开展绿色生活创建活动。</w:t>
      </w:r>
      <w:r>
        <w:rPr>
          <w:rFonts w:hint="eastAsia" w:ascii="仿宋_GB2312" w:hAnsi="仿宋_GB2312" w:eastAsia="仿宋_GB2312" w:cs="仿宋_GB2312"/>
          <w:sz w:val="32"/>
          <w:szCs w:val="32"/>
          <w:highlight w:val="none"/>
        </w:rPr>
        <w:t>积极组织开展节约型机关、绿色家庭、绿色学校、绿色社区、绿色出行、绿色商场、绿色建筑等创建活动，健全绿色生活创建的相关制度政策，推行《公民生态环境行为规范（试行）》，系统推进、广泛参与、突出重点、分类施策。到2025年，绿色生活创建行动取得显著成效。</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47" w:name="_Toc25584"/>
      <w:r>
        <w:rPr>
          <w:rFonts w:hint="eastAsia" w:ascii="楷体_GB2312" w:hAnsi="楷体_GB2312" w:eastAsia="楷体_GB2312" w:cs="楷体_GB2312"/>
          <w:b/>
          <w:bCs/>
          <w:sz w:val="32"/>
          <w:szCs w:val="32"/>
          <w:highlight w:val="none"/>
        </w:rPr>
        <w:t>（三）推进生态环保全民行动</w:t>
      </w:r>
      <w:bookmarkEnd w:id="47"/>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发挥政府机关示范作用。</w:t>
      </w:r>
      <w:r>
        <w:rPr>
          <w:rFonts w:hint="eastAsia" w:ascii="仿宋_GB2312" w:hAnsi="仿宋_GB2312" w:eastAsia="仿宋_GB2312" w:cs="仿宋_GB2312"/>
          <w:sz w:val="32"/>
          <w:szCs w:val="32"/>
          <w:highlight w:val="none"/>
        </w:rPr>
        <w:t>党政机关要厉行勤俭节约、反对铺张浪费。健全节约能源资源管理制度，强化能耗、水耗等目标管理，推行绿色办公，加大绿色采购力度，到2025年，政府采购绿色产品比例达到30%。全面实行垃圾分类。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落实企业生态环境责任。</w:t>
      </w:r>
      <w:r>
        <w:rPr>
          <w:rFonts w:hint="eastAsia" w:ascii="仿宋_GB2312" w:hAnsi="仿宋_GB2312" w:eastAsia="仿宋_GB2312" w:cs="仿宋_GB2312"/>
          <w:sz w:val="32"/>
          <w:szCs w:val="32"/>
          <w:highlight w:val="none"/>
        </w:rPr>
        <w:t>企业要从源头防治污染，依法依规淘汰落后生产工艺技术，积极践行绿色生产方式，减少污染物排放，履行污染治理主体责任。落实生产者责任延伸制度。排污企业依法依规向社会公开相关环境信息。鼓励企业设立企业开放日、环境教育体验场所、环保课堂等多种方式向公众开放，组织开展生态文明公益活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充分发挥各类社会主体作用。</w:t>
      </w:r>
      <w:r>
        <w:rPr>
          <w:rFonts w:hint="eastAsia" w:ascii="仿宋_GB2312" w:hAnsi="仿宋_GB2312" w:eastAsia="仿宋_GB2312" w:cs="仿宋_GB2312"/>
          <w:sz w:val="32"/>
          <w:szCs w:val="32"/>
          <w:highlight w:val="none"/>
        </w:rPr>
        <w:t>工会、共青团、妇联等群团组织应积极动员广大职工、青年、妇女参与生态环境保护。畅通和规范市场主体、新社会阶层、社会工作者等参与社会环境治理的途径，搭建平台和载体。广泛发展生态环保志愿服务项目和志愿者队伍。加强对社会组织的管理和指导。引导具备资格的环保组织依法开展生态环境公益诉讼等活动。鼓励公益慈善基金会助推生态环保公益发展。鼓励村规民约、居民公约加强生态环境保护。</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强化公众监督与参与。</w:t>
      </w:r>
      <w:r>
        <w:rPr>
          <w:rFonts w:hint="eastAsia" w:ascii="仿宋_GB2312" w:hAnsi="仿宋_GB2312" w:eastAsia="仿宋_GB2312" w:cs="仿宋_GB2312"/>
          <w:sz w:val="32"/>
          <w:szCs w:val="32"/>
          <w:highlight w:val="none"/>
        </w:rPr>
        <w:t>继续推进环境政务新媒体矩阵建设，完善例行新闻发布制度和新闻发言人制度，加大信息公开力度。推进信访投诉工作机制改革，完善公众监督和举报反馈机制，利用信、访、网、电、微等渠道，充分发挥信访信息“金矿”作用，畅通环保监督渠道。大力宣传生态环境保护先进典型，鼓励新闻媒体设立“曝光台”或专栏，对各类破坏生态环境问题、突发环境事件、环境违法行为进行曝光和跟踪。健全环境决策公众参与机制，保障公众的知情权、监督权、参与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48" w:name="_Toc13217"/>
      <w:r>
        <w:rPr>
          <w:rFonts w:hint="eastAsia" w:ascii="黑体" w:hAnsi="黑体" w:eastAsia="黑体" w:cs="黑体"/>
          <w:sz w:val="32"/>
          <w:szCs w:val="32"/>
          <w:highlight w:val="none"/>
        </w:rPr>
        <w:t>十二、规划重点工程</w:t>
      </w:r>
      <w:bookmarkEnd w:id="4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规划重点领域和监管重点，实施对生态环境保护工作全局性有巨大推进效益、操作性强的重大工程带动大治理，主要包括大气环境质量改善、水环境质量改善、土壤环境保护、固体废物利用与处置、生态保护与修复、环境监管能力建设工程等6大类。</w:t>
      </w:r>
    </w:p>
    <w:p>
      <w:pPr>
        <w:bidi w:val="0"/>
        <w:rPr>
          <w:rFonts w:hint="eastAsia"/>
          <w:highlight w:val="none"/>
        </w:rPr>
      </w:pPr>
    </w:p>
    <w:p>
      <w:pPr>
        <w:bidi w:val="0"/>
        <w:rPr>
          <w:rFonts w:hint="eastAsia"/>
          <w:highlight w:val="none"/>
        </w:rPr>
      </w:pPr>
    </w:p>
    <w:p>
      <w:pPr>
        <w:bidi w:val="0"/>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表2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交城县“十四五”生态环境保护重点工程表</w:t>
      </w:r>
    </w:p>
    <w:tbl>
      <w:tblPr>
        <w:tblStyle w:val="6"/>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39"/>
        <w:gridCol w:w="3414"/>
        <w:gridCol w:w="1171"/>
        <w:gridCol w:w="129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92" w:type="pct"/>
            <w:noWrap w:val="0"/>
            <w:vAlign w:val="center"/>
          </w:tcPr>
          <w:p>
            <w:pPr>
              <w:pStyle w:val="2"/>
              <w:spacing w:after="0"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类别</w:t>
            </w:r>
          </w:p>
        </w:tc>
        <w:tc>
          <w:tcPr>
            <w:tcW w:w="689" w:type="pct"/>
            <w:noWrap w:val="0"/>
            <w:vAlign w:val="center"/>
          </w:tcPr>
          <w:p>
            <w:pPr>
              <w:pStyle w:val="2"/>
              <w:spacing w:after="0"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项目名称</w:t>
            </w:r>
          </w:p>
        </w:tc>
        <w:tc>
          <w:tcPr>
            <w:tcW w:w="1899" w:type="pct"/>
            <w:noWrap w:val="0"/>
            <w:vAlign w:val="center"/>
          </w:tcPr>
          <w:p>
            <w:pPr>
              <w:pStyle w:val="2"/>
              <w:spacing w:after="0"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项目建设内容</w:t>
            </w:r>
          </w:p>
        </w:tc>
        <w:tc>
          <w:tcPr>
            <w:tcW w:w="651" w:type="pct"/>
            <w:noWrap w:val="0"/>
            <w:vAlign w:val="center"/>
          </w:tcPr>
          <w:p>
            <w:pPr>
              <w:pStyle w:val="2"/>
              <w:spacing w:after="0"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投资估算</w:t>
            </w:r>
          </w:p>
          <w:p>
            <w:pPr>
              <w:pStyle w:val="2"/>
              <w:spacing w:after="0"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（万元）</w:t>
            </w:r>
          </w:p>
        </w:tc>
        <w:tc>
          <w:tcPr>
            <w:tcW w:w="722" w:type="pct"/>
            <w:noWrap w:val="0"/>
            <w:vAlign w:val="center"/>
          </w:tcPr>
          <w:p>
            <w:pPr>
              <w:spacing w:line="240" w:lineRule="auto"/>
              <w:ind w:firstLine="0" w:firstLineChars="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实施时间</w:t>
            </w:r>
          </w:p>
        </w:tc>
        <w:tc>
          <w:tcPr>
            <w:tcW w:w="643" w:type="pct"/>
            <w:noWrap w:val="0"/>
            <w:vAlign w:val="center"/>
          </w:tcPr>
          <w:p>
            <w:pPr>
              <w:pStyle w:val="2"/>
              <w:spacing w:after="0"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大气环境质量改善</w:t>
            </w:r>
          </w:p>
        </w:tc>
        <w:tc>
          <w:tcPr>
            <w:tcW w:w="689"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焦化行业超低排放改造</w:t>
            </w: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交城俊安有色焦化有限公司超低排放改造</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3000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2021-2022</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金桃园煤焦化集团有限公司超低排放改造</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30000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2021-2022</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水泥行业超低排放改造</w:t>
            </w: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山西金虎水泥有限责任公司超低排放系统技术升级改造项目（西社）</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2000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山西金峰水泥有限公司超低排放改造项目</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180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山西卦山水泥责任有限公司超低排放改造项目</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400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交城宏海水泥有限公司超低排放改造项目</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180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山西圣达水泥有限公司超低排放改造项目</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100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山西红山水泥有限公司</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200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山西昌盛水泥有限公司超低排放改造项目</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180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山西兴东水泥有限公司超低排放改造项目</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120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山西金虎水泥有限责任公司超低排放系统技术升级改造项目（广兴）</w:t>
            </w:r>
          </w:p>
        </w:tc>
        <w:tc>
          <w:tcPr>
            <w:tcW w:w="651" w:type="pct"/>
            <w:noWrap w:val="0"/>
            <w:vAlign w:val="center"/>
          </w:tcPr>
          <w:p>
            <w:pPr>
              <w:widowControl/>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bidi="ar"/>
              </w:rPr>
              <w:t>80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其他行业深度治理</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山西华鑫肥业有限公司硝酸氧化亚氮减排项目</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2235</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2022-2023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山西中齐锐能高温材料有限公司年产5万吨致密均化料新型窑炉节能技改项目</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2022-2023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挥发性有机物全过程综合治理</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涉及有机化工生产企业、喷涂工序、印刷企业的挥发性有机物深度治理</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2021-2022</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清洁取暖改造</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实施按照“宜气则气、宜电则电、宜煤则煤”的原则，完成全县区域清洁取暖改造。</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13000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2021-2022</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水环境质量改善</w:t>
            </w: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磁窑河交城段水质污染控制和生态修复工程</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TW"/>
              </w:rPr>
              <w:t>建设</w:t>
            </w:r>
            <w:r>
              <w:rPr>
                <w:rFonts w:hint="eastAsia" w:ascii="仿宋_GB2312" w:hAnsi="仿宋_GB2312" w:eastAsia="仿宋_GB2312" w:cs="仿宋_GB2312"/>
                <w:sz w:val="24"/>
                <w:szCs w:val="24"/>
                <w:highlight w:val="none"/>
                <w:lang w:val="zh-TW" w:eastAsia="zh-TW"/>
              </w:rPr>
              <w:t>磁窑河稳定塘湿地系统、白石南河稳定塘湿地系统、五村公渠生态调节系统等</w:t>
            </w:r>
            <w:r>
              <w:rPr>
                <w:rFonts w:hint="eastAsia" w:ascii="仿宋_GB2312" w:hAnsi="仿宋_GB2312" w:eastAsia="仿宋_GB2312" w:cs="仿宋_GB2312"/>
                <w:sz w:val="24"/>
                <w:szCs w:val="24"/>
                <w:highlight w:val="none"/>
                <w:lang w:val="zh-TW"/>
              </w:rPr>
              <w:t>，</w:t>
            </w:r>
            <w:r>
              <w:rPr>
                <w:rFonts w:hint="eastAsia" w:ascii="仿宋_GB2312" w:hAnsi="仿宋_GB2312" w:eastAsia="仿宋_GB2312" w:cs="仿宋_GB2312"/>
                <w:sz w:val="24"/>
                <w:szCs w:val="24"/>
                <w:highlight w:val="none"/>
                <w:lang w:val="zh-TW" w:eastAsia="zh-TW"/>
              </w:rPr>
              <w:t>有效调节上游生产生活污废水水质及水量的波动，拦蓄初期雨水并处理，有效控制磁窑河、白石南河和五村公渠水质污染，降低对磁窑河把关工程水处理工艺的冲击，提高磁窑河把关工程水处理工艺的稳定性</w:t>
            </w:r>
            <w:r>
              <w:rPr>
                <w:rFonts w:hint="eastAsia" w:ascii="仿宋_GB2312" w:hAnsi="仿宋_GB2312" w:eastAsia="仿宋_GB2312" w:cs="仿宋_GB2312"/>
                <w:sz w:val="24"/>
                <w:szCs w:val="24"/>
                <w:highlight w:val="none"/>
                <w:lang w:val="zh-TW"/>
              </w:rPr>
              <w:t>。</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3900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城市生活污水治理</w:t>
            </w:r>
          </w:p>
        </w:tc>
        <w:tc>
          <w:tcPr>
            <w:tcW w:w="1899"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交城县污水处理厂城西扩容工程，</w:t>
            </w:r>
            <w:r>
              <w:rPr>
                <w:rFonts w:hint="eastAsia" w:ascii="仿宋_GB2312" w:hAnsi="仿宋_GB2312" w:eastAsia="仿宋_GB2312" w:cs="仿宋_GB2312"/>
                <w:kern w:val="0"/>
                <w:sz w:val="24"/>
                <w:szCs w:val="24"/>
                <w:highlight w:val="none"/>
              </w:rPr>
              <w:t>处理能力1.5万m³/d。</w:t>
            </w:r>
          </w:p>
        </w:tc>
        <w:tc>
          <w:tcPr>
            <w:tcW w:w="651"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13000</w:t>
            </w:r>
          </w:p>
        </w:tc>
        <w:tc>
          <w:tcPr>
            <w:tcW w:w="722"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2021-2023</w:t>
            </w:r>
          </w:p>
        </w:tc>
        <w:tc>
          <w:tcPr>
            <w:tcW w:w="643"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vMerge w:val="continue"/>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1899"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县城城区城镇雨污合流制管网改造工程。</w:t>
            </w:r>
            <w:r>
              <w:rPr>
                <w:rFonts w:hint="eastAsia" w:ascii="仿宋_GB2312" w:hAnsi="仿宋_GB2312" w:eastAsia="仿宋_GB2312" w:cs="仿宋_GB2312"/>
                <w:color w:val="000000"/>
                <w:kern w:val="0"/>
                <w:sz w:val="24"/>
                <w:szCs w:val="24"/>
                <w:highlight w:val="none"/>
                <w:lang w:bidi="ar"/>
              </w:rPr>
              <w:t>对建成区内进行6公里雨污合流制管网改造工程</w:t>
            </w:r>
          </w:p>
        </w:tc>
        <w:tc>
          <w:tcPr>
            <w:tcW w:w="651"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1000</w:t>
            </w:r>
          </w:p>
        </w:tc>
        <w:tc>
          <w:tcPr>
            <w:tcW w:w="722"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2022</w:t>
            </w:r>
          </w:p>
        </w:tc>
        <w:tc>
          <w:tcPr>
            <w:tcW w:w="643" w:type="pct"/>
            <w:tcBorders>
              <w:bottom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tcBorders>
              <w:top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河道整治</w:t>
            </w:r>
          </w:p>
        </w:tc>
        <w:tc>
          <w:tcPr>
            <w:tcW w:w="1899"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磁窑河及支流河道综合整治工程</w:t>
            </w:r>
          </w:p>
        </w:tc>
        <w:tc>
          <w:tcPr>
            <w:tcW w:w="651"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26000</w:t>
            </w:r>
          </w:p>
        </w:tc>
        <w:tc>
          <w:tcPr>
            <w:tcW w:w="722"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2022</w:t>
            </w:r>
          </w:p>
        </w:tc>
        <w:tc>
          <w:tcPr>
            <w:tcW w:w="64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392" w:type="pct"/>
            <w:vMerge w:val="restart"/>
            <w:tcBorders>
              <w:top w:val="single" w:color="auto" w:sz="4" w:space="0"/>
              <w:left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土壤环境保护</w:t>
            </w:r>
          </w:p>
        </w:tc>
        <w:tc>
          <w:tcPr>
            <w:tcW w:w="6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污染地块调查评估</w:t>
            </w:r>
          </w:p>
        </w:tc>
        <w:tc>
          <w:tcPr>
            <w:tcW w:w="1899"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根据重点行业企业用地调查结果，开展疑似污染地块土壤环境质量调查评估</w:t>
            </w:r>
            <w:r>
              <w:rPr>
                <w:rFonts w:hint="eastAsia" w:ascii="仿宋_GB2312" w:hAnsi="仿宋_GB2312" w:eastAsia="仿宋_GB2312" w:cs="仿宋_GB2312"/>
                <w:sz w:val="24"/>
                <w:szCs w:val="24"/>
                <w:highlight w:val="none"/>
                <w:lang w:eastAsia="zh-CN"/>
              </w:rPr>
              <w:t>。</w:t>
            </w:r>
          </w:p>
        </w:tc>
        <w:tc>
          <w:tcPr>
            <w:tcW w:w="651"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200</w:t>
            </w:r>
          </w:p>
        </w:tc>
        <w:tc>
          <w:tcPr>
            <w:tcW w:w="722"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392" w:type="pct"/>
            <w:vMerge w:val="continue"/>
            <w:tcBorders>
              <w:left w:val="single" w:color="auto" w:sz="4" w:space="0"/>
              <w:righ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tcBorders>
              <w:top w:val="single" w:color="auto" w:sz="4" w:space="0"/>
              <w:left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地下水污染状况调查评估</w:t>
            </w:r>
          </w:p>
        </w:tc>
        <w:tc>
          <w:tcPr>
            <w:tcW w:w="1899" w:type="pct"/>
            <w:tcBorders>
              <w:top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开展水源地补给区、径流区和排泄区的环境状况调查评估。</w:t>
            </w:r>
          </w:p>
        </w:tc>
        <w:tc>
          <w:tcPr>
            <w:tcW w:w="651" w:type="pct"/>
            <w:tcBorders>
              <w:top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200</w:t>
            </w:r>
          </w:p>
        </w:tc>
        <w:tc>
          <w:tcPr>
            <w:tcW w:w="722" w:type="pct"/>
            <w:tcBorders>
              <w:top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tcBorders>
              <w:top w:val="single" w:color="auto" w:sz="4" w:space="0"/>
            </w:tcBorders>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39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农村环境治理</w:t>
            </w: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文峪河、磁窑河沿线村庄生活污水治理</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西营镇各村全部由管网纳入西营污水厂处理；洪相镇、夏家营镇，建设各村收集池和泵站，与新建的城西污水厂对接，纳入集中处理；西社镇野则河村建设2座生活污水站及配套管网，消除平川区域农村生活污水直排河道问题。</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2216</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西营镇、洪相镇、夏家营镇、西社镇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固体废物利用与处置</w:t>
            </w: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山西国锦煤电有限公司2x30MW机组燃煤耦合污泥综合利用项目</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现有的2台1070T/h亚临界循环流化床锅炉掺烧污泥，日均掺烧量500吨，年均掺烧量15万吨，新建一座污泥储料车间及污泥输送系统。</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8871</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交城县危险废物收集贮存中心建设</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建立全县危险废物收集贮存场所。</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3500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生态保护与修复</w:t>
            </w: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山水林田湖草生态修复</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开展“一区两山三河五线”山水林田湖草生态修复工程</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5400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历史遗留矿山生态修复治理</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实施交城县利源石英加工厂、交城县龙义石英矿、交城县双峰石料厂等矿山生态综合治理与修复工程</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25580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磁窑河交城段边山生态修复项目</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工程范围：交城山南麓、交城县北部，西起瓦窑沟、东至交岭路。工程内容：绿色栽植、防火通道系统、给排水、浇灌消防系统、道路照明、森林防火系统智能化监测管理设施等。</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10262.95</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2022-2023</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2" w:type="pct"/>
            <w:vMerge w:val="restar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生态环境监管能力建设</w:t>
            </w: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生态环境监测</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生态监测实验室分析，采样能力建设，VOCs监测和大气颗粒物组分监测装置，重点镇区空气质量微型站建设，水质微型自动监测站建设。</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生态环境执法</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移动执法装备、无人机等环境监管能力建设</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2" w:type="pct"/>
            <w:vMerge w:val="continue"/>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p>
        </w:tc>
        <w:tc>
          <w:tcPr>
            <w:tcW w:w="68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生态环境应急</w:t>
            </w:r>
          </w:p>
        </w:tc>
        <w:tc>
          <w:tcPr>
            <w:tcW w:w="1899"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环境应急物资、应急装备的建设</w:t>
            </w:r>
          </w:p>
        </w:tc>
        <w:tc>
          <w:tcPr>
            <w:tcW w:w="651"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500</w:t>
            </w:r>
          </w:p>
        </w:tc>
        <w:tc>
          <w:tcPr>
            <w:tcW w:w="722"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2021-2025</w:t>
            </w:r>
          </w:p>
        </w:tc>
        <w:tc>
          <w:tcPr>
            <w:tcW w:w="643" w:type="pct"/>
            <w:noWrap w:val="0"/>
            <w:vAlign w:val="center"/>
          </w:tcPr>
          <w:p>
            <w:pPr>
              <w:spacing w:line="240" w:lineRule="auto"/>
              <w:ind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应急管理局</w:t>
            </w:r>
          </w:p>
        </w:tc>
      </w:tr>
    </w:tbl>
    <w:p>
      <w:pPr>
        <w:bidi w:val="0"/>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0"/>
        <w:rPr>
          <w:rFonts w:hint="eastAsia" w:ascii="黑体" w:hAnsi="黑体" w:eastAsia="黑体" w:cs="黑体"/>
          <w:sz w:val="32"/>
          <w:szCs w:val="32"/>
          <w:highlight w:val="none"/>
        </w:rPr>
      </w:pPr>
      <w:bookmarkStart w:id="49" w:name="_Toc2269"/>
      <w:r>
        <w:rPr>
          <w:rFonts w:hint="eastAsia" w:ascii="黑体" w:hAnsi="黑体" w:eastAsia="黑体" w:cs="黑体"/>
          <w:sz w:val="32"/>
          <w:szCs w:val="32"/>
          <w:highlight w:val="none"/>
        </w:rPr>
        <w:t>十三、保障措施</w:t>
      </w:r>
      <w:bookmarkEnd w:id="49"/>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50" w:name="_Toc23085"/>
      <w:r>
        <w:rPr>
          <w:rFonts w:hint="eastAsia" w:ascii="楷体_GB2312" w:hAnsi="楷体_GB2312" w:eastAsia="楷体_GB2312" w:cs="楷体_GB2312"/>
          <w:b/>
          <w:bCs/>
          <w:sz w:val="32"/>
          <w:szCs w:val="32"/>
          <w:highlight w:val="none"/>
        </w:rPr>
        <w:t>（一）加强组织领导</w:t>
      </w:r>
      <w:bookmarkEnd w:id="5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政府负责、生态环境部门统一监管、有关部门协调配合的综合管理体系，形成职责明确、分工协作、统筹协调的工作机制，对生态环境保护工作切实做到认识到位、责任到位、措施到位和投入到位，确保《吕梁市交城县“十四五”生态环境保护规划》</w:t>
      </w:r>
      <w:r>
        <w:rPr>
          <w:rFonts w:hint="eastAsia" w:ascii="仿宋_GB2312" w:hAnsi="仿宋_GB2312" w:eastAsia="仿宋_GB2312" w:cs="仿宋_GB2312"/>
          <w:sz w:val="32"/>
          <w:szCs w:val="32"/>
          <w:highlight w:val="none"/>
          <w:lang w:eastAsia="zh-CN"/>
        </w:rPr>
        <w:t>（以下简称《规划》）</w:t>
      </w:r>
      <w:r>
        <w:rPr>
          <w:rFonts w:hint="eastAsia" w:ascii="仿宋_GB2312" w:hAnsi="仿宋_GB2312" w:eastAsia="仿宋_GB2312" w:cs="仿宋_GB2312"/>
          <w:sz w:val="32"/>
          <w:szCs w:val="32"/>
          <w:highlight w:val="none"/>
        </w:rPr>
        <w:t>目标的如期实现和任务的全面完成。政府是组织实施《规划》的主体部门，应突出《规划》对其他规划的协调作用。要加强人大的法律监督和政协的民主监督，政府应当定期向人大报告、向政协通报生态环境保护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51" w:name="_Toc22882"/>
      <w:r>
        <w:rPr>
          <w:rFonts w:hint="eastAsia" w:ascii="楷体_GB2312" w:hAnsi="楷体_GB2312" w:eastAsia="楷体_GB2312" w:cs="楷体_GB2312"/>
          <w:b/>
          <w:bCs/>
          <w:sz w:val="32"/>
          <w:szCs w:val="32"/>
          <w:highlight w:val="none"/>
        </w:rPr>
        <w:t>（二）提供资金保障</w:t>
      </w:r>
      <w:bookmarkEnd w:id="5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要将生态环境保护</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列为公共财政支出的重点，逐年加大投入，确保财政用于环境保护和生态建设支出的增幅高于经济增长幅度。健全价格、财税、金融等政策，完善政府引导、市场运作、社会参与的多元投入机制。健全生态保护与建设资金管理体制，加大资金监管力度，提高生态保护和建设的社会效益、生态效益和经济效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52" w:name="_Toc4037"/>
      <w:r>
        <w:rPr>
          <w:rFonts w:hint="eastAsia" w:ascii="楷体_GB2312" w:hAnsi="楷体_GB2312" w:eastAsia="楷体_GB2312" w:cs="楷体_GB2312"/>
          <w:b/>
          <w:bCs/>
          <w:sz w:val="32"/>
          <w:szCs w:val="32"/>
          <w:highlight w:val="none"/>
        </w:rPr>
        <w:t>（三）强化科技支撑</w:t>
      </w:r>
      <w:bookmarkEnd w:id="5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强科研创新能力建设，依托省内外高校、科研机构以及大型企业科研能力，结合全县生态环境保护领域重要需求，重点开展新能源、新材料、节能环保等低碳产业技术研发、引进、推广，力求在循环经济、节能减排、污染防治等重点领域取得突破，加强臭氧等污染成因、机理及协同防控等措施研究制定。加快绿色科技在新兴产业发展、污染治理、低碳循环等领域的应用推广。</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1"/>
        <w:rPr>
          <w:rFonts w:hint="eastAsia" w:ascii="楷体_GB2312" w:hAnsi="楷体_GB2312" w:eastAsia="楷体_GB2312" w:cs="楷体_GB2312"/>
          <w:b/>
          <w:bCs/>
          <w:sz w:val="32"/>
          <w:szCs w:val="32"/>
          <w:highlight w:val="none"/>
        </w:rPr>
      </w:pPr>
      <w:bookmarkStart w:id="53" w:name="_Toc26692"/>
      <w:r>
        <w:rPr>
          <w:rFonts w:hint="eastAsia" w:ascii="楷体_GB2312" w:hAnsi="楷体_GB2312" w:eastAsia="楷体_GB2312" w:cs="楷体_GB2312"/>
          <w:b/>
          <w:bCs/>
          <w:sz w:val="32"/>
          <w:szCs w:val="32"/>
          <w:highlight w:val="none"/>
        </w:rPr>
        <w:t>（四）严格目标考核</w:t>
      </w:r>
      <w:bookmarkEnd w:id="5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对《规划》的主要任务和重点工程实施严格的考核制度，每年对规划任务与项目的进展情况、总量控制等进行调度分析和年度评估。县政府每年要向市政府报告《规划》目标任务的阶段性完成情况，</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向县人大、政协报告或通报工作进展。对《规划》主要任务和重点工程要开展督查，定期通报工作进度。对《规划》执行情况实施中期评估和终期考核。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188E55A3"/>
    <w:rsid w:val="188E5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99"/>
    <w:pPr>
      <w:spacing w:after="120"/>
      <w:ind w:firstLine="0" w:firstLineChars="0"/>
    </w:pPr>
    <w:rPr>
      <w:rFonts w:ascii="Arial" w:hAnsi="Arial" w:eastAsia="黑体"/>
      <w:sz w:val="24"/>
    </w:rPr>
  </w:style>
  <w:style w:type="paragraph" w:styleId="3">
    <w:name w:val="Body Text Indent"/>
    <w:basedOn w:val="1"/>
    <w:qFormat/>
    <w:uiPriority w:val="0"/>
    <w:pPr>
      <w:spacing w:line="240" w:lineRule="auto"/>
      <w:ind w:firstLine="632" w:firstLineChars="200"/>
    </w:pPr>
    <w:rPr>
      <w:rFonts w:ascii="仿宋_GB2312"/>
      <w:sz w:val="21"/>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1"/>
    <w:qFormat/>
    <w:uiPriority w:val="0"/>
    <w:pPr>
      <w:ind w:firstLine="200" w:firstLineChars="200"/>
    </w:p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31377</Words>
  <Characters>32054</Characters>
  <Lines>0</Lines>
  <Paragraphs>0</Paragraphs>
  <TotalTime>1</TotalTime>
  <ScaleCrop>false</ScaleCrop>
  <LinksUpToDate>false</LinksUpToDate>
  <CharactersWithSpaces>32113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2023-01-11T09:11:00Z</dcterms:created>
  <dc:creator>Administrator</dc:creator>
  <cp:lastModifiedBy>Administrator</cp:lastModifiedBy>
  <dcterms:modified xsi:type="dcterms:W3CDTF">2023-01-11T09:13:05Z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C83A6D20659844A28476A1F3D07CA1FF</vt:lpwstr>
  </property>
</Properties>
</file>