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D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both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98E2639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7216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C0EP9oAAAALAQAADwAAAAAAAAABACAAAAAi&#10;AAAAZHJzL2Rvd25yZXYueG1sUEsBAhQAFAAAAAgAh07iQHSdMGc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598E2639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委副书记、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宋志江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tbl>
      <w:tblPr>
        <w:tblStyle w:val="5"/>
        <w:tblpPr w:leftFromText="180" w:rightFromText="180" w:vertAnchor="text" w:horzAnchor="margin" w:tblpXSpec="center" w:tblpY="37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765"/>
        <w:gridCol w:w="3276"/>
      </w:tblGrid>
      <w:tr w14:paraId="7D93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/>
            <w:vAlign w:val="center"/>
          </w:tcPr>
          <w:p w14:paraId="4F49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765" w:type="dxa"/>
            <w:noWrap/>
            <w:vAlign w:val="center"/>
          </w:tcPr>
          <w:p w14:paraId="0513E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76" w:type="dxa"/>
            <w:noWrap/>
            <w:vAlign w:val="center"/>
          </w:tcPr>
          <w:p w14:paraId="15438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71B9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993" w:type="dxa"/>
            <w:vMerge w:val="restart"/>
            <w:noWrap/>
            <w:vAlign w:val="center"/>
          </w:tcPr>
          <w:p w14:paraId="00158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宋</w:t>
            </w:r>
          </w:p>
          <w:p w14:paraId="1E4D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志</w:t>
            </w:r>
          </w:p>
          <w:p w14:paraId="21095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江</w:t>
            </w:r>
          </w:p>
        </w:tc>
        <w:tc>
          <w:tcPr>
            <w:tcW w:w="9765" w:type="dxa"/>
            <w:noWrap/>
            <w:vAlign w:val="center"/>
          </w:tcPr>
          <w:p w14:paraId="1558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1.每季度至少召开1次政府常务会议，研究部署安全生产重点工作，解决安全生产突出问题。每季度至少督导调研1次全县安全生产工作，研究解决安全生产重大问题。</w:t>
            </w:r>
          </w:p>
        </w:tc>
        <w:tc>
          <w:tcPr>
            <w:tcW w:w="3276" w:type="dxa"/>
            <w:noWrap/>
            <w:vAlign w:val="center"/>
          </w:tcPr>
          <w:p w14:paraId="72B96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每季度</w:t>
            </w:r>
          </w:p>
        </w:tc>
      </w:tr>
      <w:tr w14:paraId="6CD2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 w14:paraId="14086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 w14:paraId="5852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主持制定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政府领导班子成员年度安全生产重点工作责任清单，并定期检查考核，督促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政府领导将安全生产工作与分管工作同时安排部署，同时组织实施，同时监督检查。</w:t>
            </w:r>
          </w:p>
        </w:tc>
        <w:tc>
          <w:tcPr>
            <w:tcW w:w="3276" w:type="dxa"/>
            <w:noWrap/>
            <w:vAlign w:val="center"/>
          </w:tcPr>
          <w:p w14:paraId="7A093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4E6D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 w14:paraId="63718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 w14:paraId="06DE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3.统筹发展和安全，把安全生产纳入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政府重点工作任务和政府工作报告的重要内容，组织制定全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安全生产专项规划并纳入国民经济和社会发展规划，向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人代会以及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人大常委会报告安全生产工作情况。</w:t>
            </w:r>
          </w:p>
        </w:tc>
        <w:tc>
          <w:tcPr>
            <w:tcW w:w="3276" w:type="dxa"/>
            <w:noWrap/>
            <w:vAlign w:val="center"/>
          </w:tcPr>
          <w:p w14:paraId="42C8B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73CC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 w14:paraId="6E4C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 w14:paraId="10D3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4.统筹推进全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，部署开展安全生产大检查大整治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76" w:type="dxa"/>
            <w:noWrap/>
            <w:vAlign w:val="center"/>
          </w:tcPr>
          <w:p w14:paraId="2434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2BA8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 w14:paraId="4EE9D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 w14:paraId="0102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5.加大安全生产投入，确保安全生产专项资金与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财政收入保持同步增长，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加强高素质专业化安全监管执法队伍建设，保障日常监管执法必需的人员、经费和车辆等装备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。</w:t>
            </w:r>
          </w:p>
        </w:tc>
        <w:tc>
          <w:tcPr>
            <w:tcW w:w="3276" w:type="dxa"/>
            <w:noWrap/>
            <w:vAlign w:val="center"/>
          </w:tcPr>
          <w:p w14:paraId="1B17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089F6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委常委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权斌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6A1B898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4759325</wp:posOffset>
                </wp:positionV>
                <wp:extent cx="3835400" cy="792480"/>
                <wp:effectExtent l="0" t="0" r="1270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382FB4DE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74.75pt;height:62.4pt;width:302pt;z-index:-251656192;mso-width-relative:page;mso-height-relative:page;" fillcolor="#FFFFFF" filled="t" stroked="f" coordsize="21600,21600" o:gfxdata="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IY86tsAAAAMAQAADwAAAAAAAAABACAAAAAi&#10;AAAAZHJzL2Rvd25yZXYueG1sUEsBAhQAFAAAAAgAh07iQPd/osM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382FB4DE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tblpXSpec="center" w:tblpY="1"/>
        <w:tblOverlap w:val="never"/>
        <w:tblW w:w="14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97"/>
        <w:gridCol w:w="3227"/>
      </w:tblGrid>
      <w:tr w14:paraId="5DD6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8" w:type="dxa"/>
            <w:noWrap/>
            <w:vAlign w:val="center"/>
          </w:tcPr>
          <w:p w14:paraId="16E4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797" w:type="dxa"/>
            <w:noWrap/>
            <w:vAlign w:val="center"/>
          </w:tcPr>
          <w:p w14:paraId="32501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27" w:type="dxa"/>
            <w:noWrap/>
            <w:vAlign w:val="center"/>
          </w:tcPr>
          <w:p w14:paraId="3E6F8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38A4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39F56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权</w:t>
            </w:r>
          </w:p>
          <w:p w14:paraId="7C2AB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斌</w:t>
            </w:r>
          </w:p>
        </w:tc>
        <w:tc>
          <w:tcPr>
            <w:tcW w:w="9797" w:type="dxa"/>
            <w:noWrap/>
            <w:vAlign w:val="center"/>
          </w:tcPr>
          <w:p w14:paraId="3C40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1.推动建立完善安全生产责任体系，组织制定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政府领导班子成员年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安全生产重点工作责任清单。</w:t>
            </w:r>
          </w:p>
        </w:tc>
        <w:tc>
          <w:tcPr>
            <w:tcW w:w="3227" w:type="dxa"/>
            <w:noWrap/>
            <w:vAlign w:val="center"/>
          </w:tcPr>
          <w:p w14:paraId="4D5D8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7596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20FC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 w14:paraId="07DC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组织县政府安委会日常工作，定期向县委常委会汇报安全生产工作，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月至少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组织召开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一次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安委会全体会议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227" w:type="dxa"/>
            <w:noWrap/>
            <w:vAlign w:val="center"/>
          </w:tcPr>
          <w:p w14:paraId="4C42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4AD2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6A041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 w14:paraId="7BD9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3.督促实施安全生产检查、督查、巡查、考核等工作，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27" w:type="dxa"/>
            <w:noWrap/>
            <w:vAlign w:val="center"/>
          </w:tcPr>
          <w:p w14:paraId="56F37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月</w:t>
            </w:r>
          </w:p>
        </w:tc>
      </w:tr>
      <w:tr w14:paraId="2F98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7A8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 w14:paraId="037F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推进全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危险化学品安全风险集中治理、全县生产经营租住村（居）民自建房重大火灾风险综合治理和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27" w:type="dxa"/>
            <w:noWrap/>
            <w:vAlign w:val="center"/>
          </w:tcPr>
          <w:p w14:paraId="63F9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7CCA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2963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 w14:paraId="3D56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指导开展“安全宣传月”等宣传教育和党政领导干部安全培训工作；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推进分管领域安全生产专项整治三年行动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227" w:type="dxa"/>
            <w:noWrap/>
            <w:vAlign w:val="center"/>
          </w:tcPr>
          <w:p w14:paraId="4BB63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79A36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32028A1D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- 4 -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5168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LQQ/2gAAAAsBAAAPAAAAAAAAAAEAIAAAACIA&#10;AABkcnMvZG93bnJldi54bWxQSwECFAAUAAAACACHTuJA2inqTwcCAAAXBAAADgAAAAAAAAABACAA&#10;AAAp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32028A1D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县委常委</w:t>
      </w:r>
      <w:r>
        <w:rPr>
          <w:rFonts w:hint="eastAsia" w:ascii="方正小标宋简体" w:hAnsi="方正小标宋简体" w:eastAsia="方正小标宋简体" w:cs="方正小标宋简体"/>
          <w:spacing w:val="-57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挂职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杨华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1854F4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68"/>
        <w:gridCol w:w="3203"/>
      </w:tblGrid>
      <w:tr w14:paraId="6CE9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 w14:paraId="4E049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868" w:type="dxa"/>
            <w:noWrap/>
            <w:vAlign w:val="center"/>
          </w:tcPr>
          <w:p w14:paraId="1C35D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03" w:type="dxa"/>
            <w:noWrap/>
            <w:vAlign w:val="center"/>
          </w:tcPr>
          <w:p w14:paraId="0216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0FCE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17" w:type="dxa"/>
            <w:vMerge w:val="restart"/>
            <w:noWrap/>
            <w:vAlign w:val="center"/>
          </w:tcPr>
          <w:p w14:paraId="057C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杨</w:t>
            </w:r>
          </w:p>
          <w:p w14:paraId="4FF74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华</w:t>
            </w:r>
          </w:p>
        </w:tc>
        <w:tc>
          <w:tcPr>
            <w:tcW w:w="9868" w:type="dxa"/>
            <w:noWrap/>
            <w:vAlign w:val="center"/>
          </w:tcPr>
          <w:p w14:paraId="471D3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每季度召开1次安全生产专题会议，研判分析形势，制定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03" w:type="dxa"/>
            <w:noWrap/>
            <w:vAlign w:val="center"/>
          </w:tcPr>
          <w:p w14:paraId="6C9F8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每季度</w:t>
            </w:r>
          </w:p>
        </w:tc>
      </w:tr>
      <w:tr w14:paraId="7AF7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17" w:type="dxa"/>
            <w:vMerge w:val="continue"/>
            <w:noWrap/>
            <w:vAlign w:val="center"/>
          </w:tcPr>
          <w:p w14:paraId="2B19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 w14:paraId="50C0D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2.督促指导分管部门（单位）按照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，推动构建安全生产风险分级管控和隐患排查治理预防工作机制。</w:t>
            </w:r>
          </w:p>
        </w:tc>
        <w:tc>
          <w:tcPr>
            <w:tcW w:w="3203" w:type="dxa"/>
            <w:noWrap/>
            <w:vAlign w:val="center"/>
          </w:tcPr>
          <w:p w14:paraId="5F7A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2022年12月31日前</w:t>
            </w:r>
          </w:p>
        </w:tc>
      </w:tr>
      <w:tr w14:paraId="55DB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Merge w:val="continue"/>
            <w:noWrap/>
            <w:vAlign w:val="center"/>
          </w:tcPr>
          <w:p w14:paraId="04D52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 w14:paraId="7BB2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03" w:type="dxa"/>
            <w:noWrap/>
            <w:vAlign w:val="center"/>
          </w:tcPr>
          <w:p w14:paraId="751AF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64B4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7" w:type="dxa"/>
            <w:vMerge w:val="continue"/>
            <w:noWrap/>
            <w:vAlign w:val="center"/>
          </w:tcPr>
          <w:p w14:paraId="12EE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 w14:paraId="281EF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4.推进分管领域安全生产专项整治三年行动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203" w:type="dxa"/>
            <w:noWrap/>
            <w:vAlign w:val="center"/>
          </w:tcPr>
          <w:p w14:paraId="58F7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196A2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4E1DB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795A7448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- 5 -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4144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M9Prhs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795A7448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- 5 -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公安局局长赵强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5F714CB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77"/>
        <w:gridCol w:w="3313"/>
      </w:tblGrid>
      <w:tr w14:paraId="6A79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 w14:paraId="2919E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7" w:type="dxa"/>
            <w:noWrap/>
            <w:vAlign w:val="center"/>
          </w:tcPr>
          <w:p w14:paraId="29F33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3" w:type="dxa"/>
            <w:noWrap/>
            <w:vAlign w:val="center"/>
          </w:tcPr>
          <w:p w14:paraId="78037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1F26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17" w:type="dxa"/>
            <w:vMerge w:val="restart"/>
            <w:noWrap/>
            <w:vAlign w:val="center"/>
          </w:tcPr>
          <w:p w14:paraId="7019B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  <w:t>赵</w:t>
            </w:r>
          </w:p>
          <w:p w14:paraId="20551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  <w:t>强</w:t>
            </w:r>
          </w:p>
        </w:tc>
        <w:tc>
          <w:tcPr>
            <w:tcW w:w="9977" w:type="dxa"/>
            <w:noWrap/>
            <w:vAlign w:val="center"/>
          </w:tcPr>
          <w:p w14:paraId="019EC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3" w:type="dxa"/>
            <w:noWrap/>
            <w:vAlign w:val="center"/>
          </w:tcPr>
          <w:p w14:paraId="42E3F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4CCE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17" w:type="dxa"/>
            <w:vMerge w:val="continue"/>
            <w:noWrap/>
            <w:vAlign w:val="center"/>
          </w:tcPr>
          <w:p w14:paraId="69F56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16137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3" w:type="dxa"/>
            <w:noWrap/>
            <w:vAlign w:val="center"/>
          </w:tcPr>
          <w:p w14:paraId="5B1E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3928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Merge w:val="continue"/>
            <w:noWrap/>
            <w:vAlign w:val="center"/>
          </w:tcPr>
          <w:p w14:paraId="2FBF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3CC1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3" w:type="dxa"/>
            <w:noWrap/>
            <w:vAlign w:val="center"/>
          </w:tcPr>
          <w:p w14:paraId="1111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271A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7" w:type="dxa"/>
            <w:vMerge w:val="continue"/>
            <w:noWrap/>
            <w:vAlign w:val="center"/>
          </w:tcPr>
          <w:p w14:paraId="6083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6619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313" w:type="dxa"/>
            <w:noWrap/>
            <w:vAlign w:val="center"/>
          </w:tcPr>
          <w:p w14:paraId="5CD7B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147970DD">
      <w:pPr>
        <w:bidi w:val="0"/>
      </w:pPr>
    </w:p>
    <w:p w14:paraId="2845DAA5">
      <w:pPr>
        <w:bidi w:val="0"/>
      </w:pPr>
    </w:p>
    <w:p w14:paraId="7283E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CA01BEB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- 6 -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3120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C0EP9oAAAALAQAADwAAAAAAAAABACAAAAAi&#10;AAAAZHJzL2Rvd25yZXYueG1sUEsBAhQAFAAAAAgAh07iQCZKPlQ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5CA01BEB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王向前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23943EB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57"/>
        <w:gridCol w:w="3293"/>
      </w:tblGrid>
      <w:tr w14:paraId="3CB9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7" w:type="dxa"/>
            <w:noWrap/>
            <w:vAlign w:val="center"/>
          </w:tcPr>
          <w:p w14:paraId="18065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57" w:type="dxa"/>
            <w:noWrap/>
            <w:vAlign w:val="center"/>
          </w:tcPr>
          <w:p w14:paraId="51AC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93" w:type="dxa"/>
            <w:noWrap/>
            <w:vAlign w:val="center"/>
          </w:tcPr>
          <w:p w14:paraId="076A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71AF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17" w:type="dxa"/>
            <w:vMerge w:val="restart"/>
            <w:noWrap/>
            <w:vAlign w:val="center"/>
          </w:tcPr>
          <w:p w14:paraId="2FF3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王</w:t>
            </w:r>
          </w:p>
          <w:p w14:paraId="4C3B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向</w:t>
            </w:r>
          </w:p>
          <w:p w14:paraId="426E1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前</w:t>
            </w:r>
          </w:p>
        </w:tc>
        <w:tc>
          <w:tcPr>
            <w:tcW w:w="9957" w:type="dxa"/>
            <w:noWrap/>
            <w:vAlign w:val="center"/>
          </w:tcPr>
          <w:p w14:paraId="5C507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93" w:type="dxa"/>
            <w:noWrap/>
            <w:vAlign w:val="center"/>
          </w:tcPr>
          <w:p w14:paraId="3B747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7BBA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 w14:paraId="05B89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68160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93" w:type="dxa"/>
            <w:noWrap/>
            <w:vAlign w:val="center"/>
          </w:tcPr>
          <w:p w14:paraId="7E7CA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58F6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 w14:paraId="03FF0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25D05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93" w:type="dxa"/>
            <w:noWrap/>
            <w:vAlign w:val="center"/>
          </w:tcPr>
          <w:p w14:paraId="5096B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1B34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 w14:paraId="0FE5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632E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293" w:type="dxa"/>
            <w:noWrap/>
            <w:vAlign w:val="center"/>
          </w:tcPr>
          <w:p w14:paraId="60646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5B101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4C301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9EE59A4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- 7 -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2096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BAIM0k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59EE59A4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- 7 -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李旭东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47E9B24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57"/>
        <w:gridCol w:w="3293"/>
      </w:tblGrid>
      <w:tr w14:paraId="4741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 w14:paraId="56B4E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57" w:type="dxa"/>
            <w:noWrap/>
            <w:vAlign w:val="center"/>
          </w:tcPr>
          <w:p w14:paraId="1E6F7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93" w:type="dxa"/>
            <w:noWrap/>
            <w:vAlign w:val="center"/>
          </w:tcPr>
          <w:p w14:paraId="17BAE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26B3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17" w:type="dxa"/>
            <w:vMerge w:val="restart"/>
            <w:noWrap/>
            <w:vAlign w:val="center"/>
          </w:tcPr>
          <w:p w14:paraId="4889D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李</w:t>
            </w:r>
          </w:p>
          <w:p w14:paraId="25099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旭</w:t>
            </w:r>
          </w:p>
          <w:p w14:paraId="6E9B1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东</w:t>
            </w:r>
          </w:p>
        </w:tc>
        <w:tc>
          <w:tcPr>
            <w:tcW w:w="9957" w:type="dxa"/>
            <w:noWrap/>
            <w:vAlign w:val="center"/>
          </w:tcPr>
          <w:p w14:paraId="295A7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93" w:type="dxa"/>
            <w:noWrap/>
            <w:vAlign w:val="center"/>
          </w:tcPr>
          <w:p w14:paraId="0B06A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1A54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17" w:type="dxa"/>
            <w:vMerge w:val="continue"/>
            <w:noWrap/>
            <w:vAlign w:val="center"/>
          </w:tcPr>
          <w:p w14:paraId="37622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14FF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93" w:type="dxa"/>
            <w:noWrap/>
            <w:vAlign w:val="center"/>
          </w:tcPr>
          <w:p w14:paraId="70AA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0637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7" w:type="dxa"/>
            <w:vMerge w:val="continue"/>
            <w:noWrap/>
            <w:vAlign w:val="center"/>
          </w:tcPr>
          <w:p w14:paraId="357B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26E5D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93" w:type="dxa"/>
            <w:noWrap/>
            <w:vAlign w:val="center"/>
          </w:tcPr>
          <w:p w14:paraId="0B6AC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0D7C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7" w:type="dxa"/>
            <w:vMerge w:val="continue"/>
            <w:noWrap/>
            <w:vAlign w:val="center"/>
          </w:tcPr>
          <w:p w14:paraId="15C4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 w14:paraId="11433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293" w:type="dxa"/>
            <w:noWrap/>
            <w:vAlign w:val="center"/>
          </w:tcPr>
          <w:p w14:paraId="6120A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133A7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both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0DD29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745796D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- 8 -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1072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LQQ/2gAAAAsBAAAPAAAAAAAAAAEAIAAAACIA&#10;AABkcnMvZG93bnJldi54bWxQSwECFAAUAAAACACHTuJA2HvUWQcCAAAXBAAADgAAAAAAAAABACAA&#10;AAAp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1745796D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薛慧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188EC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BatangChe" w:eastAsia="方正小标宋简体" w:cs="宋体"/>
          <w:spacing w:val="0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977"/>
        <w:gridCol w:w="3310"/>
      </w:tblGrid>
      <w:tr w14:paraId="3128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4" w:type="dxa"/>
            <w:noWrap/>
            <w:vAlign w:val="center"/>
          </w:tcPr>
          <w:p w14:paraId="0137B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7" w:type="dxa"/>
            <w:noWrap/>
            <w:vAlign w:val="center"/>
          </w:tcPr>
          <w:p w14:paraId="14466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0" w:type="dxa"/>
            <w:noWrap/>
            <w:vAlign w:val="center"/>
          </w:tcPr>
          <w:p w14:paraId="32C1F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完成时限</w:t>
            </w:r>
          </w:p>
        </w:tc>
      </w:tr>
      <w:tr w14:paraId="64D4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84" w:type="dxa"/>
            <w:vMerge w:val="restart"/>
            <w:noWrap/>
            <w:vAlign w:val="center"/>
          </w:tcPr>
          <w:p w14:paraId="04D35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薛</w:t>
            </w:r>
          </w:p>
          <w:p w14:paraId="64588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慧</w:t>
            </w:r>
          </w:p>
        </w:tc>
        <w:tc>
          <w:tcPr>
            <w:tcW w:w="9977" w:type="dxa"/>
            <w:noWrap/>
            <w:vAlign w:val="center"/>
          </w:tcPr>
          <w:p w14:paraId="55374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0" w:type="dxa"/>
            <w:noWrap/>
            <w:vAlign w:val="center"/>
          </w:tcPr>
          <w:p w14:paraId="415B6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2691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84" w:type="dxa"/>
            <w:vMerge w:val="continue"/>
            <w:noWrap/>
            <w:vAlign w:val="center"/>
          </w:tcPr>
          <w:p w14:paraId="4B29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7FE23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0" w:type="dxa"/>
            <w:noWrap/>
            <w:vAlign w:val="center"/>
          </w:tcPr>
          <w:p w14:paraId="1D842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7AF8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4" w:type="dxa"/>
            <w:vMerge w:val="continue"/>
            <w:noWrap/>
            <w:vAlign w:val="center"/>
          </w:tcPr>
          <w:p w14:paraId="25D0B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26C32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0" w:type="dxa"/>
            <w:noWrap/>
            <w:vAlign w:val="center"/>
          </w:tcPr>
          <w:p w14:paraId="7777E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6C5E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  <w:vMerge w:val="continue"/>
            <w:noWrap/>
            <w:vAlign w:val="center"/>
          </w:tcPr>
          <w:p w14:paraId="63EE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 w14:paraId="2CEB5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310" w:type="dxa"/>
            <w:noWrap/>
            <w:vAlign w:val="center"/>
          </w:tcPr>
          <w:p w14:paraId="7177F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1B27F8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p w14:paraId="1AC02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A748E0F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- 9 -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0048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PP1phkHAgAAGA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2A748E0F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- 9 -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张杰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 w14:paraId="74F9D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BatangChe" w:eastAsia="方正小标宋简体" w:cs="宋体"/>
          <w:spacing w:val="0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7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975"/>
        <w:gridCol w:w="3310"/>
      </w:tblGrid>
      <w:tr w14:paraId="067A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7" w:type="dxa"/>
            <w:noWrap/>
            <w:vAlign w:val="center"/>
          </w:tcPr>
          <w:p w14:paraId="3F05D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5" w:type="dxa"/>
            <w:noWrap/>
            <w:vAlign w:val="center"/>
          </w:tcPr>
          <w:p w14:paraId="03832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0" w:type="dxa"/>
            <w:noWrap/>
            <w:vAlign w:val="center"/>
          </w:tcPr>
          <w:p w14:paraId="5AA61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 w14:paraId="317B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87" w:type="dxa"/>
            <w:vMerge w:val="restart"/>
            <w:noWrap/>
            <w:vAlign w:val="center"/>
          </w:tcPr>
          <w:p w14:paraId="7C84B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张</w:t>
            </w:r>
          </w:p>
          <w:p w14:paraId="7672A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杰</w:t>
            </w:r>
          </w:p>
        </w:tc>
        <w:tc>
          <w:tcPr>
            <w:tcW w:w="9975" w:type="dxa"/>
            <w:noWrap/>
            <w:vAlign w:val="center"/>
          </w:tcPr>
          <w:p w14:paraId="2657E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贯彻党中央、国务院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0" w:type="dxa"/>
            <w:noWrap/>
            <w:vAlign w:val="center"/>
          </w:tcPr>
          <w:p w14:paraId="2DA42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 w14:paraId="54A4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87" w:type="dxa"/>
            <w:vMerge w:val="continue"/>
            <w:noWrap/>
            <w:vAlign w:val="center"/>
          </w:tcPr>
          <w:p w14:paraId="65E27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 w14:paraId="197C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0" w:type="dxa"/>
            <w:noWrap/>
            <w:vAlign w:val="center"/>
          </w:tcPr>
          <w:p w14:paraId="46592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 w14:paraId="4012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7" w:type="dxa"/>
            <w:vMerge w:val="continue"/>
            <w:noWrap/>
            <w:vAlign w:val="center"/>
          </w:tcPr>
          <w:p w14:paraId="2624C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 w14:paraId="00A8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0" w:type="dxa"/>
            <w:noWrap/>
            <w:vAlign w:val="center"/>
          </w:tcPr>
          <w:p w14:paraId="58D09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 w14:paraId="19E4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7" w:type="dxa"/>
            <w:vMerge w:val="continue"/>
            <w:noWrap/>
            <w:vAlign w:val="center"/>
          </w:tcPr>
          <w:p w14:paraId="27FCB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 w14:paraId="42513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310" w:type="dxa"/>
            <w:noWrap/>
            <w:vAlign w:val="center"/>
          </w:tcPr>
          <w:p w14:paraId="0711B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 w14:paraId="33ED7C66">
      <w:pPr>
        <w:pStyle w:val="2"/>
        <w:rPr>
          <w:rFonts w:hint="default"/>
          <w:lang w:val="en-US" w:eastAsia="zh-CN"/>
        </w:rPr>
      </w:pPr>
    </w:p>
    <w:p w14:paraId="3852EBCA"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87" w:right="2098" w:bottom="1474" w:left="1984" w:header="850" w:footer="1502" w:gutter="0"/>
          <w:pgNumType w:fmt="numberInDash"/>
          <w:cols w:space="0" w:num="1"/>
          <w:rtlGutter w:val="0"/>
          <w:docGrid w:type="lines" w:linePitch="327" w:charSpace="0"/>
        </w:sectPr>
      </w:pPr>
    </w:p>
    <w:p w14:paraId="62844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C5A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D2230">
    <w:pPr>
      <w:pStyle w:val="4"/>
      <w:pBdr>
        <w:bottom w:val="none" w:color="auto" w:sz="0" w:space="0"/>
      </w:pBdr>
      <w:tabs>
        <w:tab w:val="right" w:pos="8307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6B71B62"/>
    <w:rsid w:val="46B71B62"/>
    <w:rsid w:val="680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3080</Words>
  <Characters>3233</Characters>
  <Lines>0</Lines>
  <Paragraphs>0</Paragraphs>
  <TotalTime>0</TotalTime>
  <ScaleCrop>false</ScaleCrop>
  <LinksUpToDate>false</LinksUpToDate>
  <CharactersWithSpaces>3233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2022-08-10T02:27:00Z</dcterms:created>
  <dc:creator>Administrator</dc:creator>
  <cp:lastModifiedBy>WPS_1591413945</cp:lastModifiedBy>
  <dcterms:modified xsi:type="dcterms:W3CDTF">2025-08-22T12:00:47Z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D1B7402923DA43168734A087090A7F19</vt:lpwstr>
  </property>
  <property fmtid="{D5CDD505-2E9C-101B-9397-08002B2CF9AE}" pid="4" name="KSOTemplateDocerSaveRecord">
    <vt:lpwstr>eyJoZGlkIjoiY2Y3MWIwNmY5MTczYmZjY2RlZTU2MjE2NmY4ZmJhZmUiLCJ1c2VySWQiOiIxMDA3NTk4ODk1In0=</vt:lpwstr>
  </property>
</Properties>
</file>