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spacing w:afterLines="0"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pStyle w:val="7"/>
        <w:spacing w:after="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2022年全县3个国省考地表水监测断面环境质量目标表</w:t>
      </w:r>
    </w:p>
    <w:bookmarkEnd w:id="0"/>
    <w:p>
      <w:pPr>
        <w:spacing w:afterLines="0" w:line="560" w:lineRule="exact"/>
        <w:rPr>
          <w:rFonts w:hint="default" w:eastAsiaTheme="minorEastAsia" w:cstheme="minorBidi"/>
          <w:color w:val="auto"/>
          <w:kern w:val="2"/>
          <w:sz w:val="21"/>
          <w:szCs w:val="24"/>
          <w:lang w:val="en-US" w:eastAsia="zh-CN"/>
        </w:rPr>
      </w:pP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79"/>
        <w:gridCol w:w="1509"/>
        <w:gridCol w:w="1440"/>
        <w:gridCol w:w="1410"/>
        <w:gridCol w:w="1380"/>
        <w:gridCol w:w="2565"/>
        <w:gridCol w:w="26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流域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水体名称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断面名称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断面级别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考核城市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2022年水质目标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达标时限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汾河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流域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文峪河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北峪口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国考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交城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类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2022年3月底前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文峪河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岔口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省考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交城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类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2022年3月底前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磁窑河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武良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省考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交城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类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2022年10月底前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  明：以下为</w:t>
      </w:r>
      <w:r>
        <w:rPr>
          <w:rFonts w:hint="eastAsia" w:ascii="仿宋_GB2312" w:hAnsi="仿宋_GB2312" w:eastAsia="仿宋_GB2312" w:cs="仿宋_GB2312"/>
          <w:sz w:val="24"/>
          <w:szCs w:val="24"/>
        </w:rPr>
        <w:t>断面水质定性评价</w:t>
      </w:r>
    </w:p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Ⅰ～Ⅱ类水质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优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蓝色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饮用水源地一级保护区、珍稀水生生物栖息地、鱼虾类产卵场、仔稚幼鱼的索饵场等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Ⅲ类水质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良好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绿色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饮用水源地二级保护区、鱼虾类越冬场、洄游通道、水产养殖区、游泳区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Ⅳ类水质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轻度污染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黄色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一般工业用水和人体非直接接触的娱乐用水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Ⅴ类水质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中度污染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橙色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农业用水及一般景观用水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劣Ⅴ类水质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重度污染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红色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除调节局部气候外，使用功能较差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-3955415</wp:posOffset>
                </wp:positionH>
                <wp:positionV relativeFrom="paragraph">
                  <wp:posOffset>63500</wp:posOffset>
                </wp:positionV>
                <wp:extent cx="3835400" cy="792480"/>
                <wp:effectExtent l="0" t="0" r="1270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792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- 33 -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1.45pt;margin-top:5pt;height:62.4pt;width:302pt;z-index:-251657216;mso-width-relative:page;mso-height-relative:page;" fillcolor="#FFFFFF" filled="t" stroked="f" coordsize="21600,21600" o:gfxdata="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0t/9vZAAAACwEAAA8AAAAAAAAAAQAgAAAAIgAA&#10;AGRycy9kb3ducmV2LnhtbFBLAQIUABQAAAAIAIdO4kCWtwU0BwIAABYEAAAOAAAAAAAAAAEAIAAA&#10;ACgBAABkcnMvZTJvRG9jLnhtbFBLBQYAAAAABgAGAFkBAACh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- 33 -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0D675A4F"/>
    <w:rsid w:val="0D6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First Indent 21"/>
    <w:basedOn w:val="8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customStyle="1" w:styleId="9">
    <w:name w:val="正文2"/>
    <w:basedOn w:val="1"/>
    <w:qFormat/>
    <w:uiPriority w:val="0"/>
    <w:pPr>
      <w:ind w:firstLine="200" w:firstLineChars="0"/>
    </w:pPr>
    <w:rPr>
      <w:rFonts w:ascii="Times New Roman" w:hAns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2022-05-25T01:30:00Z</dcterms:created>
  <dc:creator>Administrator</dc:creator>
  <cp:lastModifiedBy>Administrator</cp:lastModifiedBy>
  <dcterms:modified xsi:type="dcterms:W3CDTF">2022-05-25T01:34:38Z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34E97416CFC449269EB5C62027D190FD</vt:lpwstr>
  </property>
</Properties>
</file>