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b w:val="0"/>
          <w:bCs/>
        </w:rPr>
      </w:pPr>
      <w:bookmarkStart w:id="0" w:name="_Toc4186"/>
      <w:bookmarkStart w:id="4" w:name="_GoBack"/>
      <w:r>
        <w:rPr>
          <w:rFonts w:hint="eastAsia"/>
          <w:b w:val="0"/>
          <w:bCs/>
        </w:rPr>
        <w:t>三、总体要求</w:t>
      </w:r>
      <w:bookmarkEnd w:id="0"/>
    </w:p>
    <w:bookmarkEnd w:id="4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lang w:val="en-US" w:eastAsia="zh-CN"/>
        </w:rPr>
      </w:pPr>
      <w:bookmarkStart w:id="1" w:name="_Toc15288"/>
      <w:r>
        <w:rPr>
          <w:rFonts w:hint="eastAsia" w:ascii="楷体_GB2312" w:hAnsi="楷体_GB2312" w:eastAsia="楷体_GB2312" w:cs="楷体_GB2312"/>
          <w:b w:val="0"/>
          <w:bCs/>
          <w:lang w:val="en-US" w:eastAsia="zh-CN"/>
        </w:rPr>
        <w:t>（一）指导思想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全面贯彻党的十九大和十九届二中、三中、四中、五中</w:t>
      </w:r>
      <w:r>
        <w:rPr>
          <w:rFonts w:hint="eastAsia" w:ascii="仿宋_GB2312" w:hAnsi="仿宋_GB2312" w:eastAsia="仿宋_GB2312" w:cs="仿宋_GB2312"/>
          <w:lang w:eastAsia="zh-CN"/>
        </w:rPr>
        <w:t>、六中</w:t>
      </w:r>
      <w:r>
        <w:rPr>
          <w:rFonts w:hint="eastAsia" w:ascii="仿宋_GB2312" w:hAnsi="仿宋_GB2312" w:eastAsia="仿宋_GB2312" w:cs="仿宋_GB2312"/>
        </w:rPr>
        <w:t>全会精神，深入贯彻习近平总书记视察山西重要讲话重要指示，落实中央《关于新时代推动中部地区高质量发展的意见》</w:t>
      </w:r>
      <w:r>
        <w:rPr>
          <w:rFonts w:hint="eastAsia" w:ascii="仿宋_GB2312" w:hAnsi="仿宋_GB2312" w:eastAsia="仿宋_GB2312" w:cs="仿宋_GB2312"/>
          <w:lang w:val="en-US"/>
        </w:rPr>
        <w:t>,</w:t>
      </w:r>
      <w:r>
        <w:rPr>
          <w:rFonts w:hint="eastAsia" w:ascii="仿宋_GB2312" w:hAnsi="仿宋_GB2312" w:eastAsia="仿宋_GB2312" w:cs="仿宋_GB2312"/>
        </w:rPr>
        <w:t>坚持新发展理念，以推动高质量发展为主题，以深化供给侧结构性改革为主线，牢固树立和贯彻落实创新、协调、绿色、开放、共享的发展理念，聚焦“六新”突破，全力构建一流创新生态；</w:t>
      </w:r>
      <w:r>
        <w:rPr>
          <w:rFonts w:hint="eastAsia" w:ascii="仿宋_GB2312" w:hAnsi="仿宋_GB2312" w:eastAsia="仿宋_GB2312" w:cs="仿宋_GB2312"/>
          <w:lang w:val="en-US"/>
        </w:rPr>
        <w:t>依托现有产业优势</w:t>
      </w:r>
      <w:r>
        <w:rPr>
          <w:rFonts w:hint="eastAsia" w:ascii="仿宋_GB2312" w:hAnsi="仿宋_GB2312" w:eastAsia="仿宋_GB2312" w:cs="仿宋_GB2312"/>
        </w:rPr>
        <w:t>，快速做强、做优新材料、新技术、新装备、新产品产业集群，形成推动高质量转型发展的关键着力点，实现“弯道超车、换道领跑”，融入“双循环”新发展格局，打造全国重要的新兴产业研发制造基地，重塑追赶超越新优势，为“十四五”转型出雏型奠定坚实基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lang w:val="en-US" w:eastAsia="zh-CN"/>
        </w:rPr>
      </w:pPr>
      <w:bookmarkStart w:id="2" w:name="_Toc29022"/>
      <w:r>
        <w:rPr>
          <w:rFonts w:hint="eastAsia" w:ascii="楷体_GB2312" w:hAnsi="楷体_GB2312" w:eastAsia="楷体_GB2312" w:cs="楷体_GB2312"/>
          <w:b w:val="0"/>
          <w:bCs/>
          <w:lang w:val="en-US" w:eastAsia="zh-CN"/>
        </w:rPr>
        <w:t>（二）基本原则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</w:rPr>
        <w:t>聚焦“六新”突破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以“六新”贯穿始终，围绕新基建带动，新技术支撑，新产品贯穿，新材料覆盖，新装备拉动，新业态助力，转观念、抓项目、建生态、优环境，蹚出转型发展新路径。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</w:rPr>
        <w:t>龙头引领、产业集聚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依托科技创新龙头企业，以产业链为途径，通过新业态、新模式，促进产业聚集和规模扩张，充分发挥企业的主体作用，运用市场机制，营造良好的市场环境，促进各类资源要素向企业集聚。通过政府规划引导，政策支持和资金支持，整合各种资源向优势产业、优势企业集中。推动优势转换，优化能源、土地等配置机制，为战略性新兴产业跨越式发展提供坚实要素保障与政策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</w:rPr>
        <w:t>重点突破、以点带面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集中力量、集中攻关、重点发展掌握关键技术、具备人才和产业基础的优势领域、优势产业、骨干企业和重点产品，以点带面，辐射带动相关领域和产业发展，以局部率先突破带动战略性新兴产业整体跃升。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</w:rPr>
        <w:t>绿色共享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坚守发展和生态两条底线，积极践行生态文明理念，推动绿色成为发展的底色，全面构建经济较快发展、产业结构合理、绿色低碳、循环发展的生态经济体系。树立以人为本理念，优化交城县工业企业营商环境，降低能耗和排放水平，推动工业内涵式可持续发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lang w:val="en-US" w:eastAsia="zh-CN"/>
        </w:rPr>
      </w:pPr>
      <w:bookmarkStart w:id="3" w:name="_Toc9239"/>
      <w:r>
        <w:rPr>
          <w:rFonts w:hint="eastAsia" w:ascii="楷体_GB2312" w:hAnsi="楷体_GB2312" w:eastAsia="楷体_GB2312" w:cs="楷体_GB2312"/>
          <w:b w:val="0"/>
          <w:bCs/>
          <w:lang w:val="en-US" w:eastAsia="zh-CN"/>
        </w:rPr>
        <w:t>（三）发展目标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规模总量快速提升。到2025年，战略性新兴产业增加值规模突破20亿元，“十四五”时期年均增长20%以上，规上战新企业数量突破40家，培育10户龙头企业，形成大数据应用、现代煤化工、新能源、新材料、新产品、新技术等6个产值规模10亿元级的新支柱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流创新生态基本成型。工业R&amp;D经费投入年均增长22%，企业发明专利和实用型专利拥有量达到200件，高技术制造业增加值年均增长18%，新建1-2个国家企业技术中心，10个省级企业技术中心；掌握一批关键核心技术，涌现出一批自主创新品牌，初步形成有利于创新活力充分涌流、有利于创业潜力有效激发、有利于创造动力竞相迸发的一流创新生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结构优化成效显著。到2025年，战略性新兴产业增加值占国内生产总值比重达到20%，战略性新兴产业营业收入占工业比重达到28%以上，产业基础能力和产业链现代化水平显著提升。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质量品牌大幅提升。到2025年，“专精特新”“科技小巨人”“单项冠军”等中小企业新增30户以上，新产品开发项目数量年均增长12%，培育形成一批在全国具有较高市场占有率和较强竞争力的拳头产品。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效率效益持续提升。“十四五”时期，全员劳动生产率年均增长8.8%，单位产出能耗完成国家下达目标任务，煤炭高效清洁深度利用达到全国领先水平，清洁能源和新能源比例明显提升。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开放合作更加深化。到2025年，高新技术产品占出口总额比重达到70%，制度型开放能级显著增强，融入“双循环”格局取得明显效果，全省开放型经济规模和质量明显提升。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交城县“十四五”时期战新产业发展主要目标</w:t>
      </w:r>
    </w:p>
    <w:tbl>
      <w:tblPr>
        <w:tblStyle w:val="7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5788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一级指标</w:t>
            </w: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二级指标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2025年目标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规模总量</w:t>
            </w: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规上工业企业新装备应用率（%）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规上工业企业新产品增加数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规上以上企业大数据应用普及率（%）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战略性新兴产业规上工业企业增加数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规上以上企业销售收入年均增速（%）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结构优化</w:t>
            </w: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战略性新兴产业增加值占工业比重（%）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规上以上企业研发费占销售收入比重（%）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创新能力</w:t>
            </w: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研发费支出增长率（%）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企业新增专利拥有数达到（件）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51159"/>
    <w:rsid w:val="0D65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562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黑体" w:cs="Times New Roman"/>
      <w:b/>
      <w:kern w:val="44"/>
      <w:sz w:val="32"/>
      <w:szCs w:val="48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楷体" w:cs="Times New Roman"/>
      <w:b/>
      <w:kern w:val="0"/>
      <w:sz w:val="32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table" w:customStyle="1" w:styleId="7">
    <w:name w:val="网格型1"/>
    <w:basedOn w:val="5"/>
    <w:qFormat/>
    <w:uiPriority w:val="0"/>
    <w:pPr>
      <w:widowControl w:val="0"/>
      <w:jc w:val="both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2022-01-12T02:01:00Z</dcterms:created>
  <dc:creator>Administrator</dc:creator>
  <cp:lastModifiedBy>Administrator</cp:lastModifiedBy>
  <dcterms:modified xsi:type="dcterms:W3CDTF">2022-01-12T02:01:43Z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A7C27E16DA094D0488B843112CB09025</vt:lpwstr>
  </property>
</Properties>
</file>