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jc w:val="both"/>
        <w:textAlignment w:val="auto"/>
        <w:rPr>
          <w:b w:val="0"/>
          <w:bCs/>
        </w:rPr>
      </w:pPr>
      <w:bookmarkStart w:id="0" w:name="_Toc24636"/>
      <w:bookmarkStart w:id="5" w:name="_GoBack"/>
      <w:r>
        <w:rPr>
          <w:rFonts w:hint="eastAsia"/>
          <w:b w:val="0"/>
          <w:bCs/>
        </w:rPr>
        <w:t>二、发展面临的机遇</w:t>
      </w:r>
      <w:bookmarkEnd w:id="0"/>
    </w:p>
    <w:bookmarkEnd w:id="5"/>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jc w:val="both"/>
        <w:textAlignment w:val="auto"/>
        <w:rPr>
          <w:rFonts w:hint="eastAsia" w:ascii="楷体_GB2312" w:hAnsi="楷体_GB2312" w:eastAsia="楷体_GB2312" w:cs="楷体_GB2312"/>
          <w:b w:val="0"/>
          <w:bCs/>
          <w:lang w:val="en-US" w:eastAsia="zh-CN"/>
        </w:rPr>
      </w:pPr>
      <w:bookmarkStart w:id="1" w:name="_Toc25063"/>
      <w:r>
        <w:rPr>
          <w:rFonts w:hint="eastAsia" w:ascii="楷体_GB2312" w:hAnsi="楷体_GB2312" w:eastAsia="楷体_GB2312" w:cs="楷体_GB2312"/>
          <w:b w:val="0"/>
          <w:bCs/>
          <w:lang w:val="en-US" w:eastAsia="zh-CN"/>
        </w:rPr>
        <w:t>（一）发展机遇</w:t>
      </w:r>
      <w:bookmarkEnd w:id="1"/>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jc w:val="both"/>
        <w:textAlignment w:val="auto"/>
        <w:rPr>
          <w:rFonts w:hint="eastAsia" w:ascii="仿宋_GB2312" w:hAnsi="仿宋_GB2312" w:eastAsia="仿宋_GB2312" w:cs="仿宋_GB2312"/>
        </w:rPr>
      </w:pPr>
      <w:r>
        <w:rPr>
          <w:rFonts w:hint="eastAsia" w:ascii="仿宋_GB2312" w:hAnsi="仿宋_GB2312" w:eastAsia="仿宋_GB2312" w:cs="仿宋_GB2312"/>
        </w:rPr>
        <w:t>当前和今后一个时期，我国发展仍然处于重要战略机遇期，但机遇和挑战都有新的发展变化。当今世界正经历百年未有之大变局，新一轮科技革命和产业变革深入发展，国际力量对比深刻调整，和平与发展仍然是时代主题，人类命运共同体理念深入人心，同时国际环境日趋复杂，不稳定性不确定性明显增加，新冠肺炎疫情影响广泛深远，经济全球化遭遇逆流，世界进入动荡变革期，单边主义、保护主义、霸权主义对世界和平与发展构成威胁。</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jc w:val="both"/>
        <w:textAlignment w:val="auto"/>
        <w:rPr>
          <w:rFonts w:hint="eastAsia" w:ascii="仿宋_GB2312" w:hAnsi="仿宋_GB2312" w:eastAsia="仿宋_GB2312" w:cs="仿宋_GB2312"/>
        </w:rPr>
      </w:pPr>
      <w:r>
        <w:rPr>
          <w:rFonts w:hint="eastAsia" w:ascii="仿宋_GB2312" w:hAnsi="仿宋_GB2312" w:eastAsia="仿宋_GB2312" w:cs="仿宋_GB2312"/>
        </w:rPr>
        <w:t>“碳达峰”和“碳中和”目标成为硬性约束。气候变化是人类面临的全球性问题，面对资源约束趋紧、环境污染严重、生态系统退化的严峻形势，各国二氧化碳等温室气体猛增，对生命系统形成威胁的背景下，世界各国以全球协约的方式减排温室气体，我国由此提出2030年碳达峰和2060年碳中和目标。《中共中央关于制定国民经济和社会发展第十四个五年规划和二〇三五年远景目标的建议》明确指出，要加快推动绿色低碳发展，广泛形成绿色生产生活方式，碳排放达峰后稳中有降。在2020年中央经济工作会议上，做好碳达峰、碳中和工作被列为2021年的重点任务之一。2021年3月15日，习近平总书记主持召开中央财经委员会第九次会议并发表重要讲话强调，实现碳达峰、碳中和是一场广泛而深刻的经济社会系统性变革，要把碳达峰、碳中和纳入生态文明建设整体布局，拿出抓铁有痕的劲头，如期实现2030年前碳达峰、2060年前碳中和的目标。在“十四五”乃至未来的很长一段时间，减排降碳、低碳发展都将是我国环境治理的一个重要主题。</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jc w:val="both"/>
        <w:textAlignment w:val="auto"/>
        <w:rPr>
          <w:rFonts w:hint="eastAsia" w:ascii="仿宋_GB2312" w:hAnsi="仿宋_GB2312" w:eastAsia="仿宋_GB2312" w:cs="仿宋_GB2312"/>
        </w:rPr>
      </w:pPr>
      <w:r>
        <w:rPr>
          <w:rFonts w:hint="eastAsia" w:ascii="仿宋_GB2312" w:hAnsi="仿宋_GB2312" w:eastAsia="仿宋_GB2312" w:cs="仿宋_GB2312"/>
        </w:rPr>
        <w:t>“双循环”新发展格局成为战略引导。在面对国内外局势发生深刻变化的大背景下，2020年5月14日，中共中央政治局常委会会议首次提出“深化供给侧结构性改革，充分发挥我国超大规模市场优势和内需潜力，构建国内国际双循环相互促进的新发展格局”，旨在摆脱对外需的过度依赖，提高国内需求的自我循环和“自我造血”能力，保障经济社会</w:t>
      </w:r>
      <w:r>
        <w:rPr>
          <w:rFonts w:hint="eastAsia" w:ascii="仿宋_GB2312" w:hAnsi="仿宋_GB2312" w:eastAsia="仿宋_GB2312" w:cs="仿宋_GB2312"/>
        </w:rPr>
        <w:fldChar w:fldCharType="begin"/>
      </w:r>
      <w:r>
        <w:rPr>
          <w:rFonts w:hint="eastAsia" w:ascii="仿宋_GB2312" w:hAnsi="仿宋_GB2312" w:eastAsia="仿宋_GB2312" w:cs="仿宋_GB2312"/>
        </w:rPr>
        <w:instrText xml:space="preserve"> HYPERLINK "http://www.baidu.com/link?url=k25o6FksgkJP0ZzZeQZJynmNbjIBF9Nv9vJ_Jc-sD10Cswax8puNZ_QSRdLikMJHwVbU9_LRAfizIowwDibIARdnnpGuJqQ5tWayYmyqRia" \t "https://www.baidu.com/_blank" </w:instrText>
      </w:r>
      <w:r>
        <w:rPr>
          <w:rFonts w:hint="eastAsia" w:ascii="仿宋_GB2312" w:hAnsi="仿宋_GB2312" w:eastAsia="仿宋_GB2312" w:cs="仿宋_GB2312"/>
        </w:rPr>
        <w:fldChar w:fldCharType="separate"/>
      </w:r>
      <w:r>
        <w:rPr>
          <w:rFonts w:hint="eastAsia" w:ascii="仿宋_GB2312" w:hAnsi="仿宋_GB2312" w:eastAsia="仿宋_GB2312" w:cs="仿宋_GB2312"/>
        </w:rPr>
        <w:t>常态化平稳运行</w:t>
      </w:r>
      <w:r>
        <w:rPr>
          <w:rFonts w:hint="eastAsia" w:ascii="仿宋_GB2312" w:hAnsi="仿宋_GB2312" w:eastAsia="仿宋_GB2312" w:cs="仿宋_GB2312"/>
        </w:rPr>
        <w:fldChar w:fldCharType="end"/>
      </w:r>
      <w:r>
        <w:rPr>
          <w:rFonts w:hint="eastAsia" w:ascii="仿宋_GB2312" w:hAnsi="仿宋_GB2312" w:eastAsia="仿宋_GB2312" w:cs="仿宋_GB2312"/>
        </w:rPr>
        <w:t>。提升产业链和供应链现代化水平，大力推动科技创新，加快关键核心技术攻关，高质量建设双循环平台载体，是构建双循环体系的重要内容。2020年5月“两会”期间，习近平总书记再次强调，要“逐步形成以国内大循环为主体、国内国际双循环相互促进的新发展格局”。党的十九届五中全会通过《中共中央关于制定国民经济和社会发展第十四个五年规划和二〇三五年远景目标的建议》，将“加快构建以国内大循环为主体、国内国际双循环相互促进的新发展格局”纳入其中。构建基于“双循环”的新发展格局是党中央在国内外环境发生显著变化大背景下，推动我国开放型经济向更高层次发展的重大战略部署。要在“双循环”战略格局中实现突破，必须要在做强外循环、做优内循环上下功夫，争做内外循环的融合点、交汇点。新时期，开发区要加快深化改革步伐，逐步成为要素配置的市场，成为资源、资本、资金转化的平台。</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jc w:val="both"/>
        <w:textAlignment w:val="auto"/>
        <w:rPr>
          <w:rFonts w:hint="eastAsia" w:ascii="仿宋_GB2312" w:hAnsi="仿宋_GB2312" w:eastAsia="仿宋_GB2312" w:cs="仿宋_GB2312"/>
        </w:rPr>
      </w:pPr>
      <w:r>
        <w:rPr>
          <w:rFonts w:hint="eastAsia" w:ascii="仿宋_GB2312" w:hAnsi="仿宋_GB2312" w:eastAsia="仿宋_GB2312" w:cs="仿宋_GB2312"/>
        </w:rPr>
        <w:t>创新驱动高质量发展。2016年中共中央、国务院印发《国家创新驱动发展战略纲要》，提出到2020年进入创新型国家行列、2030年跻身创新型国家前列、到2050年建成世界科技创新强国“三步走”目标。创新驱动就是创新成为引领发展的第一动力，科技创新与制度创新、管理创新、商业模式创新、业态创新和文化创新相结合，推动发展方式向依靠持续的知识积累、技术进步和劳动力素质提升转变，促进经济向形态更高级、分工更精细、结构更合理的阶段演进。近年来，我省深入实施创新驱动发展战略，2020年通过了《山西省创新驱动高质量发展条例》，条例明确要实施创新驱动，坚持以新发展理念为指导，以改革为动力，以科技创新为核心，以产业创新为重点，以人才制度创新和环境优化为保障，以体系建设为支撑，稳步推进高质量发展。省人民政府办公厅《山西省推动创新创业高质量发展20条措施》，提出要推动创新创业发展动力升级，促进创新创业平台服务升级，增强金融支持作用升级，加强人才智力支撑，营造良好双创生态环境，推动全省创新创业高质量发展。全力推进开发区改革创新发展，进一步深化改革、扩大开放，促进区域高质量发展，聚焦优化空间布局、创新体制机制、培育现代产业、提升政务效能、激发干事活力等任务重点突破，为交城新一轮创新提升带来重大机遇。</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jc w:val="both"/>
        <w:textAlignment w:val="auto"/>
        <w:rPr>
          <w:rFonts w:hint="eastAsia" w:ascii="仿宋_GB2312" w:hAnsi="仿宋_GB2312" w:eastAsia="仿宋_GB2312" w:cs="仿宋_GB2312"/>
          <w:b w:val="0"/>
          <w:bCs w:val="0"/>
        </w:rPr>
      </w:pPr>
      <w:bookmarkStart w:id="2" w:name="_Toc20833"/>
      <w:r>
        <w:rPr>
          <w:rFonts w:hint="eastAsia" w:ascii="仿宋_GB2312" w:hAnsi="仿宋_GB2312" w:eastAsia="仿宋_GB2312" w:cs="仿宋_GB2312"/>
          <w:b w:val="0"/>
          <w:bCs w:val="0"/>
        </w:rPr>
        <w:t>1</w:t>
      </w:r>
      <w:r>
        <w:rPr>
          <w:rFonts w:hint="eastAsia" w:ascii="仿宋_GB2312" w:hAnsi="仿宋_GB2312" w:eastAsia="仿宋_GB2312" w:cs="仿宋_GB2312"/>
          <w:b w:val="0"/>
          <w:bCs w:val="0"/>
          <w:lang w:val="en-US" w:eastAsia="zh-CN"/>
        </w:rPr>
        <w:t>.</w:t>
      </w:r>
      <w:r>
        <w:rPr>
          <w:rFonts w:hint="eastAsia" w:ascii="仿宋_GB2312" w:hAnsi="仿宋_GB2312" w:eastAsia="仿宋_GB2312" w:cs="仿宋_GB2312"/>
          <w:b w:val="0"/>
          <w:bCs w:val="0"/>
        </w:rPr>
        <w:t>行业发展政策带来的新机遇</w:t>
      </w:r>
      <w:bookmarkEnd w:id="2"/>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jc w:val="both"/>
        <w:textAlignment w:val="auto"/>
        <w:rPr>
          <w:rFonts w:hint="eastAsia" w:ascii="仿宋_GB2312" w:hAnsi="仿宋_GB2312" w:eastAsia="仿宋_GB2312" w:cs="仿宋_GB2312"/>
        </w:rPr>
      </w:pPr>
      <w:r>
        <w:rPr>
          <w:rFonts w:hint="eastAsia" w:ascii="仿宋_GB2312" w:hAnsi="仿宋_GB2312" w:eastAsia="仿宋_GB2312" w:cs="仿宋_GB2312"/>
          <w:b/>
          <w:bCs/>
        </w:rPr>
        <w:t>——现代煤化工产业政策机遇。</w:t>
      </w:r>
      <w:r>
        <w:rPr>
          <w:rFonts w:hint="eastAsia" w:ascii="仿宋_GB2312" w:hAnsi="仿宋_GB2312" w:eastAsia="仿宋_GB2312" w:cs="仿宋_GB2312"/>
        </w:rPr>
        <w:t>当前煤化工行业迈向高质量发展，出现了大量利好政策。2016年，国家发改委和能源局《能源技术革命创新行动计划（2016-2030年）》强调，要加强煤化工与火电、炼油、可再生能源制氢、生物质转化、燃料电池等相关能源技术的耦合集成，实现能量梯级利用和物质循环利用。同年，国家发改委和能源局《能源生产和消费革命战略（2016-2030）》提出，大力推进煤炭清洁利用，按照严格的节水、节能和环保要求，适度推进煤炭向深加工方向转变，探索清洁高效的现代煤化工发展新途径，适时开展现代煤化工基地规划布局，做好节水环保高转化率煤化工技术示范。2017年，国家发改委和工信部《现代煤化工产业创新发展布局方案》提出，应采取煤化电热一体化、多联产方式，大力推动现代煤化工与煤炭开采、电力、石油化工、化纤、盐化工、冶金建材等产业融合发展，延伸产业链，壮大产业集群，提高资源转化效率和产业竞争力。比如利用煤化电热一体化集成技术，建设集原油加工、发电、供热、制氢于一体的联合装置。发挥现代煤化工与原油加工中间产品互为供需的优势，开展煤炭和原油联合加工示范。发展煤制芳烃和煤制乙二醇，推动化纤原料多元化，实施煤基化纤原料示范工程。</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jc w:val="both"/>
        <w:textAlignment w:val="auto"/>
        <w:rPr>
          <w:rFonts w:hint="eastAsia" w:ascii="仿宋_GB2312" w:hAnsi="仿宋_GB2312" w:eastAsia="仿宋_GB2312" w:cs="仿宋_GB2312"/>
        </w:rPr>
      </w:pPr>
      <w:r>
        <w:rPr>
          <w:rFonts w:hint="eastAsia" w:ascii="仿宋_GB2312" w:hAnsi="仿宋_GB2312" w:eastAsia="仿宋_GB2312" w:cs="仿宋_GB2312"/>
        </w:rPr>
        <w:t>山西省工信厅《山西省化工行业2019年行动计划》指出，加快我省传统煤化工转型创新步伐，大力推进焦化化产深加工，实现传统煤化工产业提质升级。鼓励现有化肥、甲醇、电石、聚氯乙烯等装置开展技术改造和智能化改造，优化工艺流程，提升装置水平。积极发挥焦化产能优势，推动焦炉煤气高附加值利用、煤焦油深加工、粗苯加氢及精制利用。山西省工信厅《山西省现代煤化工产业2020年行动计划》提出，要聚焦高端炭材料和谈及合成新材料两条路线，培育碳基新材料产业集群。《山西能源革命综合改革试点行动方案》提出，用好煤制油生产能力纳入国家能源安全储备体系的支持政策，培育晋北现代煤化工示范区；大力推进碳纤维、碳化硅、石墨烯及其功能材料等相关产业发展，推动煤炭由燃料向原料转化。</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jc w:val="both"/>
        <w:textAlignment w:val="auto"/>
        <w:rPr>
          <w:rFonts w:hint="eastAsia" w:ascii="仿宋_GB2312" w:hAnsi="仿宋_GB2312" w:eastAsia="仿宋_GB2312" w:cs="仿宋_GB2312"/>
        </w:rPr>
      </w:pPr>
      <w:r>
        <w:rPr>
          <w:rFonts w:hint="eastAsia" w:ascii="仿宋_GB2312" w:hAnsi="仿宋_GB2312" w:eastAsia="仿宋_GB2312" w:cs="仿宋_GB2312"/>
          <w:b/>
          <w:bCs/>
        </w:rPr>
        <w:t>——医药行业发展机遇。</w:t>
      </w:r>
      <w:r>
        <w:rPr>
          <w:rFonts w:hint="eastAsia" w:ascii="仿宋_GB2312" w:hAnsi="仿宋_GB2312" w:eastAsia="仿宋_GB2312" w:cs="仿宋_GB2312"/>
        </w:rPr>
        <w:t>“十三五”以来，我国生物医药产业系列政策陆续出台，政策进一步完善。2016年，国务院办公厅《关于促进医药产业健康发展的指导意见》指出，推动重大药物产业化，继续推进新药创制，加快开发手性合成、酶催化、结晶控制等化学药制备技术，推动大规模细胞培养及纯化、抗体偶联、无血清无蛋白培养基培养等生物技术研发及工程化，提升长效、缓控释、靶向等新型制剂技术水平。以临床用药需求为导向，在肿瘤、心脑血管疾病、糖尿病、神经退行性疾病、精神性疾病、高发性免疫疾病、重大传染性疾病、罕见病等领域，重点开发具有靶向性、高选择性、新作用机理的治疗药物，重点仿制市场潜力大、临床急需的国外专利到期药品。加快新型抗体、蛋白及多肽等生物药研发和产业化。完善疫苗供应体系，积极创制手足口病疫苗、新型脊髓灰质炎疫苗、宫颈癌疫苗等急需品种及新型佐剂。2017年，国家发改委《“十三五”生物产业发展规划》指出，以临床用药需求为导向，依托高通量测序、基因组编辑、微流控芯片等先进技术，促进转化医学发展，在肿瘤、重大传染性疾病、神经精神疾病、慢性病及罕见病等领域实现药物原始创新。加快创制新型抗体、蛋白及多肽等生物药。发展治疗性疫苗，核糖核酸（RNA）干扰药物，适配子药物，以及干细胞、嵌合抗原受体T细胞免疫疗法（CAR-T）等生物治疗产品。推动抗体/多肽-小分子偶联、生物大分子纯化、缓控释制剂、靶向制剂等可规模化技术，完善质量控制和安全性评价技术，加快高端药物产业化速度。</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jc w:val="both"/>
        <w:textAlignment w:val="auto"/>
        <w:rPr>
          <w:rFonts w:hint="eastAsia" w:ascii="仿宋_GB2312" w:hAnsi="仿宋_GB2312" w:eastAsia="仿宋_GB2312" w:cs="仿宋_GB2312"/>
        </w:rPr>
      </w:pPr>
      <w:r>
        <w:rPr>
          <w:rFonts w:hint="eastAsia" w:ascii="仿宋_GB2312" w:hAnsi="仿宋_GB2312" w:eastAsia="仿宋_GB2312" w:cs="仿宋_GB2312"/>
        </w:rPr>
        <w:t>2017年，省委省政府印发《“健康山西2030”规划纲要》，要求推进医药工业数字化、网络化、智能化建设，加强技术集成和工艺创新，提升医药装备制造水平，加速医药生产工艺、流程的标准化、现代化，加强医药工业知识产权运用能力，逐步形成大型医药企业集团和产业集群。2020年，省药品监管局制定了《关于支持我省医药产业高质量发展的若干措施》，支持产业园区引进药品、医疗器械、化妆品企业，支持全省各类开发区、高新区和工业集聚区承接发达地区和境外产业转移、科技成果转化，吸引创新型、龙头型、互补型研发平台、生产企业及车间和大型批发企业及医药物流配送企业落户我省，设立企业总部、研发中心、生产基地。省工信厅《山西省生物医药和大健康产业2020年行动计划》提出，优化产品供给结构，发挥党参、黄芪等道地药材资源优势，积极组织推进药食同源产品生产试点，推动药茶、特医食品、保健功能食品等大健康产品规模化发展；支持创新产品研发供给，推动脂质体抗肿瘤药物、人源胶原蛋白、新型疫苗、干细胞药物等创新产品研发和产业化，不断优化生物医药和大健康产品的供给结构。</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jc w:val="both"/>
        <w:textAlignment w:val="auto"/>
        <w:rPr>
          <w:rFonts w:hint="eastAsia" w:ascii="仿宋_GB2312" w:hAnsi="仿宋_GB2312" w:eastAsia="仿宋_GB2312" w:cs="仿宋_GB2312"/>
        </w:rPr>
      </w:pPr>
      <w:r>
        <w:rPr>
          <w:rFonts w:hint="eastAsia" w:ascii="仿宋_GB2312" w:hAnsi="仿宋_GB2312" w:eastAsia="仿宋_GB2312" w:cs="仿宋_GB2312"/>
          <w:b/>
          <w:bCs/>
        </w:rPr>
        <w:t>——高端装备产业发展机遇。</w:t>
      </w:r>
      <w:r>
        <w:rPr>
          <w:rFonts w:hint="eastAsia" w:ascii="仿宋_GB2312" w:hAnsi="仿宋_GB2312" w:eastAsia="仿宋_GB2312" w:cs="仿宋_GB2312"/>
        </w:rPr>
        <w:t>中国高端装备制造产业的发展正处于起步阶段，近年来，国家制定一系列的规划、行动计划或者具体的政策措施来推动重点行业和领域的发展，加快建设制造强国。2015年，国务院出台《中国制造2025》，指出在传统制造业、战略性新兴产业、现代服务业等重点领域开展创新设计示范，全面推广应用以绿色、智能、协同为特征的先进设计技术。加快发展智能制造装备和产品。组织研发具有深度感知、智慧决策、自动执行功能的高档数控机床、工业机器人、增材制造装备等智能制造装备以及智能化生产线，突破新型传感器、智能测量仪表、工业控制系统、伺服电机及驱动器和减速器等智能核心装置，推进工程化和产业化。加快机械、航空、船舶、汽车、轻工、纺织、食品、电子等行业生产设备的智能化改造，提高精准制造、敏捷制造能力。统筹布局和推动智能交通工具、智能工程机械、服务机器人、智能家电、智能照明电器、可穿戴设备等产品研发和产业化。2019年，国家发改委等15部门《关于推动先进制造业和现代服务业深度融合发展的实施意见》指出，提升装备制造业和服务业融合水平，发展辅助设计、系统仿真、智能控制等高端工业软件，建设铸造、锻造、表面处理、热处理等基础工艺中心；完善汽车制造和服务全链条体系，推动汽车智能化发展，加快充电设施建设布局；深化制造业服务业和互联网融合发展，发展面向重点行业和区域的工业互联网平台。2020年，《中共中央关于制定国民经济和社会发展第十四个五年规划和二〇三五年远景目标的建议》提出要发展战略性新兴产业，加快壮大新一代信息技术、高端装备、新能源汽车、航空航天、海洋装备等产业。推动先进制造业集群发展，推动互联网、大数据、人工智能等同各产业深度融合，构建一批各具特色、优势互补、结构合理的战略性新兴产业增长引擎。</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jc w:val="both"/>
        <w:textAlignment w:val="auto"/>
        <w:rPr>
          <w:rFonts w:hint="eastAsia" w:ascii="仿宋_GB2312" w:hAnsi="仿宋_GB2312" w:eastAsia="仿宋_GB2312" w:cs="仿宋_GB2312"/>
        </w:rPr>
      </w:pPr>
      <w:r>
        <w:rPr>
          <w:rFonts w:hint="eastAsia" w:ascii="仿宋_GB2312" w:hAnsi="仿宋_GB2312" w:eastAsia="仿宋_GB2312" w:cs="仿宋_GB2312"/>
        </w:rPr>
        <w:t>2018年，省发改委和商务厅等编制《山西省制造业十二大领域发展（招商）图谱》，提出要引导服务全省先进装备制造、新能源汽车、轨道交通装备、通用航空、节能环保、新一代信息技术、大数据、新材料、镁铝合金、现代医药及医疗器械、现代煤化工、特色轻工等十二大重点发展领域，推动构建新兴产业快速成长、传统产业更具竞争力的现代产业格局。省工信厅《山西省装备制造业发展2019年行动计划》强调，加快推动新一代信息技术与装备制造技术融合发展，着力发展装备制造业自动化控制系统、智能仪器仪表、传感器、电子专用设备，高档数控机床、工业机器人等关键智能设备。省工信厅《山西省智能制造发展2019年行动计划》指出，将发展智能制造作为长期坚持的战略目标，以推动制造业数字化、网络化、智能化为主攻方向，推进机械、汽车、船舶、电子等装备行业提高产品研发设计与制造一体化能力。</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jc w:val="both"/>
        <w:textAlignment w:val="auto"/>
        <w:rPr>
          <w:rFonts w:hint="eastAsia" w:ascii="仿宋_GB2312" w:hAnsi="仿宋_GB2312" w:eastAsia="仿宋_GB2312" w:cs="仿宋_GB2312"/>
        </w:rPr>
      </w:pPr>
      <w:r>
        <w:rPr>
          <w:rFonts w:hint="eastAsia" w:ascii="仿宋_GB2312" w:hAnsi="仿宋_GB2312" w:eastAsia="仿宋_GB2312" w:cs="仿宋_GB2312"/>
          <w:b/>
          <w:bCs/>
        </w:rPr>
        <w:t>——新材料发展机遇。</w:t>
      </w:r>
      <w:r>
        <w:rPr>
          <w:rFonts w:hint="eastAsia" w:ascii="仿宋_GB2312" w:hAnsi="仿宋_GB2312" w:eastAsia="仿宋_GB2312" w:cs="仿宋_GB2312"/>
        </w:rPr>
        <w:t>在国家陆续完善制定以及出台一系列产业促进政策和措施的促进下，目前我国新材料产业发展势头良好。2015年，国务院印发《中国制造2025》，强调瞄准新材料战略重点，以特种金属功能材料、高性能结构材料、功能性高分子材料、特种无机非金属材料和先进复合材料为发展重点，加快研发先进熔炼、凝固成型、气相沉积、型材加工、高效合成等新材料制备关键技术和装备，加强基础研究和体系建设，突破产业化制备瓶颈。积极发展军民共用特种新材料，加快技术双向转移转化，促进新材料产业军民融合发展。高度关注颠覆性新材料对传统材料的影响，做好超导材料、纳米材料、石墨烯、生物基材料等战略前沿材料提前布局和研制。加快基础材料升级换代。2016年，国务院《“十三五”国家战略性新兴产业发展规划》提出，提高新材料基础支撑能力。面向航空航天、轨道交通、电力电子、新能源汽车等产业发展需求，扩大高强轻合金、高性能纤维、特种合金、先进无机非金属材料、高品质特殊钢、新型显示材料、动力电池材料、绿色印刷材料等规模化应用范围。促进特色资源新材料可持续发展，推动稀土、钨钼、钒钛、锂、石墨等特色资源高质化利用。前瞻布局前沿新材料研发，突破石墨烯产业化应用技术，拓展纳米材料在光电子、新能源、生物医药等领域应用范围，开发智能材料、仿生材料、超材料、低成本增材制造材料和新型超导材料。2016年，工信部、发改委、科技部、财政部联合印发《新材料产业发展指南》，先进基础材料方面，重点推进基础零部件用钢、高性能海工用钢等先进钢铁材料，高强铝合金、高强韧钛合金、镁合金等先进有色金属材料，高端聚烯烃、特种合成橡胶及工程塑料等先进化工材料，先进建筑材料、先进轻纺材料等生产过程的智能化和绿色化改造。关键战略材料方面，重点实现耐高温及耐蚀合金、高强轻型合金等高端装备用特种合金，反渗透膜、全氟离子交换膜等高性能分离膜材料，高性能碳纤维、芳纶纤维等高性能纤维及复合材料，高性能永磁、高效发光、高端催化等稀土功能材料，宽禁带半导体材料和新型显示材料，以及新型能源材料、生物医用材料等产业化和规模应用。前沿新材料方面，重点加强石墨烯、金属及高分子增材制造材料，形状记忆合金、自修复材料、智能仿生与超材料，液态金属、新型低温超导及低成本高温超导材料等基础研究与技术积累，加快在前沿领域实现突破。</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jc w:val="both"/>
        <w:textAlignment w:val="auto"/>
        <w:rPr>
          <w:rFonts w:hint="eastAsia" w:ascii="仿宋_GB2312" w:hAnsi="仿宋_GB2312" w:eastAsia="仿宋_GB2312" w:cs="仿宋_GB2312"/>
        </w:rPr>
      </w:pPr>
      <w:r>
        <w:rPr>
          <w:rFonts w:hint="eastAsia" w:ascii="仿宋_GB2312" w:hAnsi="仿宋_GB2312" w:eastAsia="仿宋_GB2312" w:cs="仿宋_GB2312"/>
        </w:rPr>
        <w:t>原山西省经信委《山西省新材料产业发展2018年行动计划》提出，围绕新型金属材料、新型化工材料、新型无机非金属材料和前沿新材料四大领域，以企业为主体，以产品开发应用为导向，以项目建设为支撑，以技术创新为驱动，以基地园区为载体，加大政策保障力度，加快推进我省新材料产业发展。2019年，山西省工信厅《山西省新材料产业高质量发展三年行动计划（2019-2021）》实施“1+5+4”产业高质量发展行动，打造1个1000亿级特殊钢生产加工产业基地，打造镁铝铜合金、先进化工、先进无机非金属、生物医药、半导体晶体材料等5个具有全国影响力的50亿级特色产业集群，打造钕铁硼永磁、新能源、纳米、高性能纤维及复合材料等4个20亿级特色产业集聚区，将新材料产业打造为引领、支撑全省制造业高质量发展的重要力量。2020年，省政府《山西省支持新材料产业高质量发展若干政策》强调，支持新材料产业集群发展，打造上下游紧密衔接的产业链条，引导新材料中小微企业走“专精特新”发展之路，鼓励小微企业壮大规模；提升新材料产业创新能力，加快新材料产业科技成果转化；培育新材料产业龙头企业，推动新材料企业向智能制造方向发展；实施新材料产业融资支持，加大金融信贷支持力度，拓宽新材料企业融资渠道；加大新材料产业人才培养。</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jc w:val="both"/>
        <w:textAlignment w:val="auto"/>
        <w:rPr>
          <w:rFonts w:hint="eastAsia" w:ascii="仿宋_GB2312" w:hAnsi="仿宋_GB2312" w:eastAsia="仿宋_GB2312" w:cs="仿宋_GB2312"/>
        </w:rPr>
      </w:pPr>
      <w:r>
        <w:rPr>
          <w:rFonts w:hint="eastAsia" w:ascii="仿宋_GB2312" w:hAnsi="仿宋_GB2312" w:eastAsia="仿宋_GB2312" w:cs="仿宋_GB2312"/>
          <w:b/>
          <w:bCs/>
        </w:rPr>
        <w:t>——新产品发展政策机遇。</w:t>
      </w:r>
      <w:r>
        <w:rPr>
          <w:rFonts w:hint="eastAsia" w:ascii="仿宋_GB2312" w:hAnsi="仿宋_GB2312" w:eastAsia="仿宋_GB2312" w:cs="仿宋_GB2312"/>
        </w:rPr>
        <w:t>山西正处于转变发展方式、优化经济结构、转换增长动力的转型攻关期，也处于加速实现新产品跨越式发展的战略机遇期。总体来看，山西省“十四五”新产品发展面临新形势新机遇。</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jc w:val="both"/>
        <w:textAlignment w:val="auto"/>
        <w:rPr>
          <w:rFonts w:hint="eastAsia" w:ascii="仿宋_GB2312" w:hAnsi="仿宋_GB2312" w:eastAsia="仿宋_GB2312" w:cs="仿宋_GB2312"/>
        </w:rPr>
      </w:pPr>
      <w:r>
        <w:rPr>
          <w:rFonts w:hint="eastAsia" w:ascii="仿宋_GB2312" w:hAnsi="仿宋_GB2312" w:eastAsia="仿宋_GB2312" w:cs="仿宋_GB2312"/>
        </w:rPr>
        <w:t>一是新一轮科技革命与产业变革不断催生新产品。新一轮科技革命和产业变革深入发展，全球科技创新与创业进入高度密集活跃期，创新活动的网络化、全球化特征更加突出。新一轮科技创新浪潮中，生物技术、清洁能源、新材料、先进制造等新兴产业群体跃进，人工智能、信息技术等新技术加速突破及应用，工业化和信息化、制造业与服务业深度融合，新经济、新产业、新业态、新模式层出不穷，促使产品制造向高端化、网络化、智能化延伸整合，带动一批创新型新产品加速涌现。</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jc w:val="both"/>
        <w:textAlignment w:val="auto"/>
        <w:rPr>
          <w:rFonts w:hint="eastAsia" w:ascii="仿宋_GB2312" w:hAnsi="仿宋_GB2312" w:eastAsia="仿宋_GB2312" w:cs="仿宋_GB2312"/>
        </w:rPr>
      </w:pPr>
      <w:r>
        <w:rPr>
          <w:rFonts w:hint="eastAsia" w:ascii="仿宋_GB2312" w:hAnsi="仿宋_GB2312" w:eastAsia="仿宋_GB2312" w:cs="仿宋_GB2312"/>
        </w:rPr>
        <w:t>二是新发展格局对新产品自主创新体系建设提出迫切需求。当前，外部环境日益复杂，党中央提出要深化供给侧结构性改革，优化供给结构，改善供给质量，提升供给体系对国内需求的适配性，加快构建以国内大循环为主体、国内国际双循环相互促进的新发展格局，进一步坚定了我国通过自主创新实现产业和产品升级的决心。同时，扩大内需已经上升至国家战略，开发新产品作为挖掘和激发内需潜力的重要手段，居产业经济发展重要位置。此外，制造业高端领域填平补齐、保障产业链自主安全可控以及满足人民日益增长的美好生活需要等迫切需求，亟需以自主创新加速培育新产品来实现。</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jc w:val="both"/>
        <w:textAlignment w:val="auto"/>
        <w:rPr>
          <w:rFonts w:hint="eastAsia" w:ascii="仿宋_GB2312" w:hAnsi="仿宋_GB2312" w:eastAsia="仿宋_GB2312" w:cs="仿宋_GB2312"/>
        </w:rPr>
      </w:pPr>
      <w:r>
        <w:rPr>
          <w:rFonts w:hint="eastAsia" w:ascii="仿宋_GB2312" w:hAnsi="仿宋_GB2312" w:eastAsia="仿宋_GB2312" w:cs="仿宋_GB2312"/>
        </w:rPr>
        <w:t>三是身处“两个大局”为山西转型发展带来重大机遇。立足世界百年未有之大变局和中华民族伟大复兴战略全局“两个大局”，“十四五”时期成为山西突破转型发展的窗口期、关键期。习近平总书记两次视察山西做出重要讲话重要指示，为全省指出了一条转型发展的“金光大道”，为山西在高质量转型发展中孕育更多新产品带来重大历史机遇。</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jc w:val="both"/>
        <w:textAlignment w:val="auto"/>
        <w:rPr>
          <w:rFonts w:hint="eastAsia" w:ascii="仿宋_GB2312" w:hAnsi="仿宋_GB2312" w:eastAsia="仿宋_GB2312" w:cs="仿宋_GB2312"/>
        </w:rPr>
      </w:pPr>
      <w:r>
        <w:rPr>
          <w:rFonts w:hint="eastAsia" w:ascii="仿宋_GB2312" w:hAnsi="仿宋_GB2312" w:eastAsia="仿宋_GB2312" w:cs="仿宋_GB2312"/>
        </w:rPr>
        <w:t>四是新产品关键载体地位造就突破发展契机。新产品科技含量高、品牌附加值高、产业关联度高、市场占有率高，在“六新”中占有突出位置，是新基建、新技术、新材料、新装备、新业态的落脚点，也是山西转型出雏型的重要承载。系统研究新形势、新时代下新产品发展的总体战略，超前布局、率先提出新产品发展的“山西方案”，为山西工业经济跨越发展提供了重要契机。</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jc w:val="both"/>
        <w:textAlignment w:val="auto"/>
        <w:rPr>
          <w:rFonts w:hint="eastAsia" w:ascii="仿宋_GB2312" w:hAnsi="仿宋_GB2312" w:eastAsia="仿宋_GB2312" w:cs="仿宋_GB2312"/>
        </w:rPr>
      </w:pPr>
      <w:r>
        <w:rPr>
          <w:rFonts w:hint="eastAsia" w:ascii="仿宋_GB2312" w:hAnsi="仿宋_GB2312" w:eastAsia="仿宋_GB2312" w:cs="仿宋_GB2312"/>
        </w:rPr>
        <w:t>五是山西工业基础及转型需求撬动新产品市场动能。山西依托能源资源优势，已逐步建立起以煤炭、冶金、电力、装备制造和焦炭为支柱的门类齐全、独立完整、有较高技术水平的工业体系。近年来，山西大力实施能源改革，推动产业转型升级，积极发展信创、大数据、半导体、高端装备、新能源汽车、生物医药等战略性新兴产业，日益开阔的产业发展空间和市场需求，为撬动新产品发展提供强大动能。</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jc w:val="both"/>
        <w:textAlignment w:val="auto"/>
        <w:rPr>
          <w:rFonts w:hint="eastAsia" w:ascii="仿宋_GB2312" w:hAnsi="仿宋_GB2312" w:eastAsia="仿宋_GB2312" w:cs="仿宋_GB2312"/>
        </w:rPr>
      </w:pPr>
      <w:r>
        <w:rPr>
          <w:rFonts w:hint="eastAsia" w:ascii="仿宋_GB2312" w:hAnsi="仿宋_GB2312" w:eastAsia="仿宋_GB2312" w:cs="仿宋_GB2312"/>
        </w:rPr>
        <w:t>六是山西营商环境不断优化厚植新产品发展沃土。山西作为全国唯一的全省域资源型经济转型综合改革试验区、能源革命综合改革试点省，近年来通过在全国率先实施全省域的企业投资项目承诺制改革，搭建并推行覆盖山西综改示范区思想、理论、体制机制、政策制度的“1326”“四梁八柱”政策体系，持续打造“三对”“六最”营商环境，为新产品开发营造了良好氛围和环境。</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jc w:val="both"/>
        <w:textAlignment w:val="auto"/>
        <w:rPr>
          <w:rFonts w:hint="eastAsia" w:ascii="仿宋_GB2312" w:hAnsi="仿宋_GB2312" w:eastAsia="仿宋_GB2312" w:cs="仿宋_GB2312"/>
        </w:rPr>
      </w:pPr>
      <w:r>
        <w:rPr>
          <w:rFonts w:hint="eastAsia" w:ascii="仿宋_GB2312" w:hAnsi="仿宋_GB2312" w:eastAsia="仿宋_GB2312" w:cs="仿宋_GB2312"/>
          <w:b/>
          <w:bCs/>
        </w:rPr>
        <w:t>——大数据应用发展政策机遇。</w:t>
      </w:r>
      <w:r>
        <w:rPr>
          <w:rFonts w:hint="eastAsia" w:ascii="仿宋_GB2312" w:hAnsi="仿宋_GB2312" w:eastAsia="仿宋_GB2312" w:cs="仿宋_GB2312"/>
        </w:rPr>
        <w:t>近年来，山西省政府先后出台了，《山西省加快推进数字经济发展的实施意见》、《关于加快构建山西省创新生态的指导意见》，山西省工业和信息化厅也出台了《山西省促进大数据发展应用2020年行动计划》，抢抓国家“新基建”机遇，加强统筹协调，加速推进5G、数据中心、工业互联网等新型数字基础设施建设，力争在相关领域走在全国前列，奠定数字经济时代发展基础。要充分发挥我省能源、区位、气候等基础优势和在信息安全、数据标注领域形成的先发优势，坚持创新引领、项目支撑，持续优化政策体系和发展环境，做大做强特色优势数字产业。要积极探索数据要素市场化机制，加大新一代信息技术应用步伐，以数字化、网络化、智能化为牵引，推动传统产业高质量转型。要聚焦“六新”，加强衔接，高起点、高标准做好“十四五”大数据发展应用谋篇布局，争取优势领域、重大项目列入国家规划布局。加速推进新型数字基础设施建设应用、培育构建大数据产业体系、推动大数据与实体经济深度融合发展，以及全面优化大数据产业发展环境。</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jc w:val="both"/>
        <w:textAlignment w:val="auto"/>
        <w:rPr>
          <w:rFonts w:hint="eastAsia" w:ascii="仿宋_GB2312" w:hAnsi="仿宋_GB2312" w:eastAsia="仿宋_GB2312" w:cs="仿宋_GB2312"/>
        </w:rPr>
      </w:pPr>
      <w:r>
        <w:rPr>
          <w:rFonts w:hint="eastAsia" w:ascii="仿宋_GB2312" w:hAnsi="仿宋_GB2312" w:eastAsia="仿宋_GB2312" w:cs="仿宋_GB2312"/>
        </w:rPr>
        <w:t>当前，我国正处在实现第一个百年奋斗目标的决胜期，经济稳中向好、长期向好的基本趋势没有改变。我县正处于转变发展方式、优化经济结构、转换增长动力的转型攻关期，新一轮科技革命与产业变革不断催生新产品。新一轮科技革命和产业变革深入发展，全球科技创新与创业进入高度密集活跃期，创新活动的网络化、全球化特征更加突出。新一轮科技创新浪潮中，生物技术、清洁能源、新材料、先进制造等新兴产业群体跃进，人工智能、信息技术等新技术加速突破及应用，工业化和信息化、制造业与服务业深度融合，新经济、新产业、新业态、新模式层出不穷，促使产品制造向高端化、网络化、智能化延伸整合，带动一批创新型新产品加速涌现。</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jc w:val="both"/>
        <w:textAlignment w:val="auto"/>
        <w:rPr>
          <w:rFonts w:hint="eastAsia" w:ascii="仿宋_GB2312" w:hAnsi="仿宋_GB2312" w:eastAsia="仿宋_GB2312" w:cs="仿宋_GB2312"/>
        </w:rPr>
      </w:pPr>
      <w:r>
        <w:rPr>
          <w:rFonts w:hint="eastAsia" w:ascii="仿宋_GB2312" w:hAnsi="仿宋_GB2312" w:eastAsia="仿宋_GB2312" w:cs="仿宋_GB2312"/>
        </w:rPr>
        <w:t>同时，身处“两个大局”为我县转型发展带来重大机遇。立足世界百年未有之大变局和中华民族伟大复兴战略全局“两个大局”，“十四五”时期成为交城突破转型发展的窗口期、关键期。习近平总书记两次视察山西做出重要讲话重要指示，为全省指出了一条转型发展的“金光大道”，为山西在高质量转型发展中孕育更多新产品带来重大历史机遇。</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jc w:val="both"/>
        <w:textAlignment w:val="auto"/>
        <w:rPr>
          <w:rFonts w:hint="eastAsia" w:ascii="仿宋_GB2312" w:hAnsi="仿宋_GB2312" w:eastAsia="仿宋_GB2312" w:cs="仿宋_GB2312"/>
        </w:rPr>
      </w:pPr>
      <w:r>
        <w:rPr>
          <w:rFonts w:hint="eastAsia" w:ascii="仿宋_GB2312" w:hAnsi="仿宋_GB2312" w:eastAsia="仿宋_GB2312" w:cs="仿宋_GB2312"/>
        </w:rPr>
        <w:t>我县多年来形成了以煤焦、冶金、化工、建材、装备制造为支柱的门类齐全、有较高技术水平的产业体系。近年来，我省大力实施能源改革，推动产业转型升级，积极发展信创、大数据、半导体、高端装备、新能源汽车、生物医药等战略性新兴产业，日益开阔的产业发展空间和市场需求，为撬动新产品发展提供强大动能。</w:t>
      </w:r>
    </w:p>
    <w:p>
      <w:pPr>
        <w:pStyle w:val="5"/>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jc w:val="both"/>
        <w:textAlignment w:val="auto"/>
        <w:rPr>
          <w:rFonts w:hint="eastAsia" w:ascii="仿宋_GB2312" w:hAnsi="仿宋_GB2312" w:eastAsia="仿宋_GB2312" w:cs="仿宋_GB2312"/>
          <w:b w:val="0"/>
          <w:bCs w:val="0"/>
        </w:rPr>
      </w:pPr>
      <w:bookmarkStart w:id="3" w:name="_Toc4148"/>
      <w:r>
        <w:rPr>
          <w:rFonts w:hint="eastAsia" w:ascii="仿宋_GB2312" w:hAnsi="仿宋_GB2312" w:eastAsia="仿宋_GB2312" w:cs="仿宋_GB2312"/>
          <w:b w:val="0"/>
          <w:bCs w:val="0"/>
        </w:rPr>
        <w:t>2</w:t>
      </w:r>
      <w:r>
        <w:rPr>
          <w:rFonts w:hint="eastAsia" w:ascii="仿宋_GB2312" w:hAnsi="仿宋_GB2312" w:eastAsia="仿宋_GB2312" w:cs="仿宋_GB2312"/>
          <w:b w:val="0"/>
          <w:bCs w:val="0"/>
          <w:lang w:val="en-US" w:eastAsia="zh-CN"/>
        </w:rPr>
        <w:t>.</w:t>
      </w:r>
      <w:r>
        <w:rPr>
          <w:rFonts w:hint="eastAsia" w:ascii="仿宋_GB2312" w:hAnsi="仿宋_GB2312" w:eastAsia="仿宋_GB2312" w:cs="仿宋_GB2312"/>
          <w:b w:val="0"/>
          <w:bCs w:val="0"/>
        </w:rPr>
        <w:t>产业发展的市场机遇</w:t>
      </w:r>
      <w:bookmarkEnd w:id="3"/>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jc w:val="both"/>
        <w:textAlignment w:val="auto"/>
        <w:rPr>
          <w:rFonts w:hint="eastAsia" w:ascii="仿宋_GB2312" w:hAnsi="仿宋_GB2312" w:eastAsia="仿宋_GB2312" w:cs="仿宋_GB2312"/>
        </w:rPr>
      </w:pPr>
      <w:r>
        <w:rPr>
          <w:rFonts w:hint="eastAsia" w:ascii="仿宋_GB2312" w:hAnsi="仿宋_GB2312" w:eastAsia="仿宋_GB2312" w:cs="仿宋_GB2312"/>
          <w:b/>
          <w:bCs/>
        </w:rPr>
        <w:t>——全球产业格局面临重大调整。</w:t>
      </w:r>
      <w:r>
        <w:rPr>
          <w:rFonts w:hint="eastAsia" w:ascii="仿宋_GB2312" w:hAnsi="仿宋_GB2312" w:eastAsia="仿宋_GB2312" w:cs="仿宋_GB2312"/>
        </w:rPr>
        <w:t>新一代信息技术与制造业深度融合，正在引发影响深远的产业变革，形成新的生产方式、产业形态、商业模式和经济增长点。各国都在加大科技创新力度，推动人工智能、移动互联网、物联网、云计算、大数据、生物工程、新能源、新材料等领域取得新突破。基于信息物理系统的智能装备、智能工厂等智能制造正在引领制造方式变革；网络众包、协同设计、大规模个性化定制、精准供应链管理、全生命周期管理、电子商务等正在重塑产业价值链体系；可穿戴智能产品、智能家电、智能汽车等智能终端产品不断拓展制造业新领域。我国制造业转型升级、创新发展迎来重大机遇。</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jc w:val="both"/>
        <w:textAlignment w:val="auto"/>
        <w:rPr>
          <w:rFonts w:hint="eastAsia" w:ascii="仿宋_GB2312" w:hAnsi="仿宋_GB2312" w:eastAsia="仿宋_GB2312" w:cs="仿宋_GB2312"/>
        </w:rPr>
      </w:pPr>
      <w:r>
        <w:rPr>
          <w:rFonts w:hint="eastAsia" w:ascii="仿宋_GB2312" w:hAnsi="仿宋_GB2312" w:eastAsia="仿宋_GB2312" w:cs="仿宋_GB2312"/>
        </w:rPr>
        <w:t>当前，制造业全球分工面临重构态势，我国制造业正面临“高端回流”和“中低端分流”的双重压力。一方面，2018年中美贸易战以来，发达国家为重振经济和防范金融风险，纷纷实施以重塑制造业优势为重点的再工业化战略，力图从中高端发力抢占制造业领域国际竞争的制高点，如美国发布《先进制造业伙伴计划》，德国发布《工业4.0》等。在发达国家各项政策举措下，部分中高端产业已开始出现转移回流。另一方面，新兴经济体为在新一轮国际分工中获取更大利益，利用资源、劳动力等要素成本优势，以中低端制造业为主要方向积极承接产业转移，如越南、印度等一些东南亚国家依靠资源、劳动力等比较优势，开始在中低端制造业上发力，以更低的成本承接劳动密集型制造业的转移，给我国传统制造业发展带来严峻挑战。</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jc w:val="both"/>
        <w:textAlignment w:val="auto"/>
        <w:rPr>
          <w:rFonts w:hint="eastAsia" w:ascii="仿宋_GB2312" w:hAnsi="仿宋_GB2312" w:eastAsia="仿宋_GB2312" w:cs="仿宋_GB2312"/>
        </w:rPr>
      </w:pPr>
      <w:r>
        <w:rPr>
          <w:rFonts w:hint="eastAsia" w:ascii="仿宋_GB2312" w:hAnsi="仿宋_GB2312" w:eastAsia="仿宋_GB2312" w:cs="仿宋_GB2312"/>
          <w:b/>
          <w:bCs/>
        </w:rPr>
        <w:t>——我国经济发展环境发生重大变化。</w:t>
      </w:r>
      <w:r>
        <w:rPr>
          <w:rFonts w:hint="eastAsia" w:ascii="仿宋_GB2312" w:hAnsi="仿宋_GB2312" w:eastAsia="仿宋_GB2312" w:cs="仿宋_GB2312"/>
        </w:rPr>
        <w:t>随着新型工业化、信息化、城镇化、农业现代化同步推进，超大规模内需潜力不断释放，为我国制造业发展提供了广阔空间。各行业新的装备需求、人民群众新的消费需求、社会管理和公共服务新的民生需求、国防建设新的安全需求，都要求制造业在重大技术装备创新、消费品质量和安全、公共服务设施设备供给和国防装备保障等方面迅速提升水平和能力。全面深化改革和进一步扩大开放，将不断激发制造业发展活力和创造力，促进制造业转型升级。</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jc w:val="both"/>
        <w:textAlignment w:val="auto"/>
        <w:rPr>
          <w:rFonts w:hint="eastAsia" w:ascii="仿宋_GB2312" w:hAnsi="仿宋_GB2312" w:eastAsia="仿宋_GB2312" w:cs="仿宋_GB2312"/>
          <w:color w:val="000000" w:themeColor="text1"/>
          <w:szCs w:val="32"/>
          <w:shd w:val="clear" w:color="auto" w:fill="FFFFFF"/>
          <w14:textFill>
            <w14:solidFill>
              <w14:schemeClr w14:val="tx1"/>
            </w14:solidFill>
          </w14:textFill>
        </w:rPr>
      </w:pPr>
      <w:r>
        <w:rPr>
          <w:rFonts w:hint="eastAsia" w:ascii="仿宋_GB2312" w:hAnsi="仿宋_GB2312" w:eastAsia="仿宋_GB2312" w:cs="仿宋_GB2312"/>
        </w:rPr>
        <w:t>当今世界正经历百年未有之大变局,我国发展仍处于并将长 期处于重要战略机遇期。新一轮科技革命和产业变革深入推进, 我国进入高质量发展阶段,制度优势显著,治理效能提升,经济长期向好,发展动力强劲。资源和环境约束不断强化，劳动力等生产要素成本不断上升，投资和出口增速明显放缓，主要依靠资源要素投入、规模扩张的粗放发展模式难以为继，调整结构、转型升级、提质增效刻不容缓。国家层面一系列新经济产业政策的出台,进一步为我县产业、新业态培育提供了指引和保障。以国内大循环为主体、国内国际双循环相互促进的新发展格局，将进一步推动市场化改革和扩大终端消费需求,新业态发展面临广阔市场空间。我县若干具有国际竞争力的优势产业和骨干企业的形成，已具备了战新产业高质量发展的的基础和条件。</w:t>
      </w:r>
    </w:p>
    <w:p>
      <w:pPr>
        <w:pStyle w:val="4"/>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jc w:val="both"/>
        <w:textAlignment w:val="auto"/>
        <w:rPr>
          <w:rFonts w:hint="eastAsia" w:ascii="楷体_GB2312" w:hAnsi="楷体_GB2312" w:eastAsia="楷体_GB2312" w:cs="楷体_GB2312"/>
          <w:b w:val="0"/>
          <w:bCs/>
          <w:lang w:val="en-US" w:eastAsia="zh-CN"/>
        </w:rPr>
      </w:pPr>
      <w:bookmarkStart w:id="4" w:name="_Toc11245"/>
      <w:r>
        <w:rPr>
          <w:rFonts w:hint="eastAsia" w:ascii="楷体_GB2312" w:hAnsi="楷体_GB2312" w:eastAsia="楷体_GB2312" w:cs="楷体_GB2312"/>
          <w:b w:val="0"/>
          <w:bCs/>
          <w:lang w:val="en-US" w:eastAsia="zh-CN"/>
        </w:rPr>
        <w:t>（二）严峻挑战</w:t>
      </w:r>
      <w:bookmarkEnd w:id="4"/>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jc w:val="both"/>
        <w:textAlignment w:val="auto"/>
        <w:rPr>
          <w:rFonts w:hint="eastAsia" w:ascii="仿宋_GB2312" w:hAnsi="仿宋_GB2312" w:eastAsia="仿宋_GB2312" w:cs="仿宋_GB2312"/>
        </w:rPr>
      </w:pPr>
      <w:r>
        <w:rPr>
          <w:rFonts w:hint="eastAsia" w:ascii="仿宋_GB2312" w:hAnsi="仿宋_GB2312" w:eastAsia="仿宋_GB2312" w:cs="仿宋_GB2312"/>
        </w:rPr>
        <w:t>山西作为资源型地区和碳排放大省，实现碳达峰碳中和目标意义重大、任务艰巨。“十三五”期间，山西累计化解煤炭过剩产能15685万吨/年，退出总量居全国第一；风电装机年均增长24.16%，光伏装机年均增长63.22%；光伏领跑基地装机规模达到400万千瓦，位居全国前列。</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jc w:val="both"/>
        <w:textAlignment w:val="auto"/>
        <w:rPr>
          <w:rFonts w:hint="eastAsia" w:ascii="仿宋_GB2312" w:hAnsi="仿宋_GB2312" w:eastAsia="仿宋_GB2312" w:cs="仿宋_GB2312"/>
        </w:rPr>
      </w:pPr>
      <w:r>
        <w:rPr>
          <w:rFonts w:hint="eastAsia" w:ascii="仿宋_GB2312" w:hAnsi="仿宋_GB2312" w:eastAsia="仿宋_GB2312" w:cs="仿宋_GB2312"/>
        </w:rPr>
        <w:t>今年是“十四五”开局之年，交城县工业发展也应当适应山西省、吕梁市各级政府号召，切实担负起任务使命和政治责任，把实施碳达峰碳中和列入实施计划迫在眉睫，必须与全方位推进高质量发展统筹起来，积极参与到全省一盘棋推进碳达峰碳中和进程中。</w:t>
      </w:r>
    </w:p>
    <w:p>
      <w:pPr>
        <w:keepNext w:val="0"/>
        <w:keepLines w:val="0"/>
        <w:pageBreakBefore w:val="0"/>
        <w:widowControl w:val="0"/>
        <w:kinsoku/>
        <w:wordWrap/>
        <w:overflowPunct/>
        <w:topLinePunct w:val="0"/>
        <w:autoSpaceDE/>
        <w:autoSpaceDN/>
        <w:bidi w:val="0"/>
        <w:adjustRightInd/>
        <w:snapToGrid/>
        <w:spacing w:beforeAutospacing="0" w:afterAutospacing="0" w:line="600" w:lineRule="exact"/>
        <w:ind w:leftChars="0"/>
        <w:jc w:val="both"/>
        <w:textAlignment w:val="auto"/>
        <w:rPr>
          <w:rFonts w:hint="eastAsia" w:ascii="仿宋_GB2312" w:hAnsi="仿宋_GB2312" w:eastAsia="仿宋_GB2312" w:cs="仿宋_GB2312"/>
        </w:rPr>
      </w:pPr>
      <w:r>
        <w:rPr>
          <w:rFonts w:hint="eastAsia" w:ascii="仿宋_GB2312" w:hAnsi="仿宋_GB2312" w:eastAsia="仿宋_GB2312" w:cs="仿宋_GB2312"/>
        </w:rPr>
        <w:t>吕梁市为深入贯彻习近平生态文明思想，落实《中共中央国务院关于全面加强生态环境保护坚决打好污染防治攻坚战的意见》《中共山西省委山西省人民政府关于全面加强生态环境保护坚决打好污染防治攻坚战的实施意见》《吕梁市全面加强生态环境保护坚决打好污染防治攻坚战的实施意见》和《山西省人民政府关于实施“三线一单”生态环境分区管控的意见》，制定了“三线一单”生态环境分区管控实施方案，将交城县列为重点管控单元，新上项目需考虑优化空间布局，加强污染物排放控制和环境风险防控，不断提升资源能源利用效率，解决生态环境质量不达标、生态环境风险高等问题，发挥减污降碳协同效应。</w:t>
      </w:r>
    </w:p>
    <w:p>
      <w:r>
        <w:rPr>
          <w:rFonts w:hint="eastAsia" w:ascii="仿宋_GB2312" w:hAnsi="仿宋_GB2312" w:eastAsia="仿宋_GB2312" w:cs="仿宋_GB2312"/>
        </w:rPr>
        <w:t>交城县工业结构以煤焦化、冶金等高环保要求六大两高项目为主，未来发展中的项目也将面临环境容量不足、能耗许可量不足等巨大压力。交城县工业项目建设必须遵循减污降碳协同增效路线发展。</w:t>
      </w:r>
    </w:p>
    <w:sectPr>
      <w:pgSz w:w="11906" w:h="16838"/>
      <w:pgMar w:top="1440" w:right="1800" w:bottom="1440" w:left="180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ind w:firstLine="640"/>
      </w:pPr>
      <w:r>
        <w:separator/>
      </w:r>
    </w:p>
  </w:endnote>
  <w:endnote w:type="continuationSeparator" w:id="1">
    <w:p>
      <w:pPr>
        <w:ind w:firstLine="64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ind w:firstLine="640"/>
      </w:pPr>
      <w:r>
        <w:separator/>
      </w:r>
    </w:p>
  </w:footnote>
  <w:footnote w:type="continuationSeparator" w:id="1">
    <w:p>
      <w:pPr>
        <w:ind w:firstLine="64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8F66FF"/>
    <w:rsid w:val="578F66F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ind w:firstLine="562" w:firstLineChars="200"/>
      <w:jc w:val="both"/>
    </w:pPr>
    <w:rPr>
      <w:rFonts w:eastAsia="仿宋_GB2312" w:asciiTheme="minorAscii" w:hAnsiTheme="minorAscii" w:cstheme="minorBidi"/>
      <w:kern w:val="2"/>
      <w:sz w:val="32"/>
      <w:szCs w:val="24"/>
      <w:lang w:val="en-US" w:eastAsia="zh-CN" w:bidi="ar-SA"/>
    </w:rPr>
  </w:style>
  <w:style w:type="paragraph" w:styleId="3">
    <w:name w:val="heading 1"/>
    <w:basedOn w:val="1"/>
    <w:next w:val="1"/>
    <w:qFormat/>
    <w:uiPriority w:val="0"/>
    <w:pPr>
      <w:spacing w:beforeAutospacing="1" w:afterAutospacing="1"/>
      <w:jc w:val="left"/>
      <w:outlineLvl w:val="0"/>
    </w:pPr>
    <w:rPr>
      <w:rFonts w:hint="eastAsia" w:ascii="宋体" w:hAnsi="宋体" w:eastAsia="黑体" w:cs="Times New Roman"/>
      <w:b/>
      <w:kern w:val="44"/>
      <w:sz w:val="32"/>
      <w:szCs w:val="48"/>
    </w:rPr>
  </w:style>
  <w:style w:type="paragraph" w:styleId="4">
    <w:name w:val="heading 2"/>
    <w:basedOn w:val="1"/>
    <w:next w:val="1"/>
    <w:unhideWhenUsed/>
    <w:qFormat/>
    <w:uiPriority w:val="0"/>
    <w:pPr>
      <w:spacing w:beforeAutospacing="1" w:afterAutospacing="1"/>
      <w:jc w:val="left"/>
      <w:outlineLvl w:val="1"/>
    </w:pPr>
    <w:rPr>
      <w:rFonts w:hint="eastAsia" w:ascii="宋体" w:hAnsi="宋体" w:eastAsia="楷体" w:cs="Times New Roman"/>
      <w:b/>
      <w:kern w:val="0"/>
      <w:sz w:val="32"/>
      <w:szCs w:val="36"/>
    </w:rPr>
  </w:style>
  <w:style w:type="paragraph" w:styleId="5">
    <w:name w:val="heading 3"/>
    <w:basedOn w:val="1"/>
    <w:next w:val="1"/>
    <w:qFormat/>
    <w:uiPriority w:val="0"/>
    <w:pPr>
      <w:ind w:left="0"/>
      <w:jc w:val="left"/>
      <w:outlineLvl w:val="2"/>
    </w:pPr>
    <w:rPr>
      <w:rFonts w:ascii="仿宋" w:hAnsi="仿宋" w:cs="仿宋"/>
      <w:b/>
      <w:bCs/>
      <w:szCs w:val="28"/>
      <w:lang w:val="zh-CN" w:bidi="zh-CN"/>
    </w:rPr>
  </w:style>
  <w:style w:type="character" w:default="1" w:styleId="7">
    <w:name w:val="Default Paragraph Font"/>
    <w:semiHidden/>
    <w:uiPriority w:val="0"/>
  </w:style>
  <w:style w:type="table" w:default="1" w:styleId="6">
    <w:name w:val="Normal Table"/>
    <w:semiHidden/>
    <w:qFormat/>
    <w:uiPriority w:val="0"/>
    <w:tblPr>
      <w:tblCellMar>
        <w:top w:w="0" w:type="dxa"/>
        <w:left w:w="108" w:type="dxa"/>
        <w:bottom w:w="0" w:type="dxa"/>
        <w:right w:w="108" w:type="dxa"/>
      </w:tblCellMar>
    </w:tblPr>
  </w:style>
  <w:style w:type="paragraph" w:styleId="2">
    <w:name w:val="Normal Indent"/>
    <w:basedOn w:val="1"/>
    <w:next w:val="1"/>
    <w:unhideWhenUsed/>
    <w:qFormat/>
    <w:uiPriority w:val="99"/>
    <w:pPr>
      <w:ind w:firstLine="420" w:firstLineChars="200"/>
    </w:p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2022-01-12T01:59:00Z</dcterms:created>
  <dc:creator>Administrator</dc:creator>
  <cp:lastModifiedBy>Administrator</cp:lastModifiedBy>
  <dcterms:modified xsi:type="dcterms:W3CDTF">2022-01-12T02:00:03Z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2052-11.1.0.11194</vt:lpwstr>
  </property>
  <property fmtid="{D5CDD505-2E9C-101B-9397-08002B2CF9AE}" pid="3" name="ICV">
    <vt:lpwstr>DA09C206029A497B90C99848D957EA63</vt:lpwstr>
  </property>
</Properties>
</file>