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b w:val="0"/>
          <w:bCs/>
        </w:rPr>
      </w:pPr>
      <w:bookmarkStart w:id="0" w:name="_Toc14796"/>
      <w:bookmarkStart w:id="9" w:name="_GoBack"/>
      <w:r>
        <w:rPr>
          <w:rFonts w:hint="eastAsia"/>
          <w:b w:val="0"/>
          <w:bCs/>
        </w:rPr>
        <w:t>一、“十三五”回顾</w:t>
      </w:r>
      <w:bookmarkEnd w:id="0"/>
    </w:p>
    <w:bookmarkEnd w:id="9"/>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楷体_GB2312" w:hAnsi="楷体_GB2312" w:eastAsia="楷体_GB2312" w:cs="楷体_GB2312"/>
          <w:b w:val="0"/>
          <w:bCs/>
          <w:lang w:val="zh-CN" w:eastAsia="zh-CN"/>
        </w:rPr>
      </w:pPr>
      <w:bookmarkStart w:id="1" w:name="_Toc620"/>
      <w:r>
        <w:rPr>
          <w:rFonts w:hint="eastAsia" w:ascii="楷体_GB2312" w:hAnsi="楷体_GB2312" w:eastAsia="楷体_GB2312" w:cs="楷体_GB2312"/>
          <w:b w:val="0"/>
          <w:bCs/>
          <w:lang w:val="en-US" w:eastAsia="zh-CN"/>
        </w:rPr>
        <w:t>（一）</w:t>
      </w:r>
      <w:r>
        <w:rPr>
          <w:rFonts w:hint="eastAsia" w:ascii="楷体_GB2312" w:hAnsi="楷体_GB2312" w:eastAsia="楷体_GB2312" w:cs="楷体_GB2312"/>
          <w:b w:val="0"/>
          <w:bCs/>
          <w:lang w:val="zh-CN" w:eastAsia="zh-CN"/>
        </w:rPr>
        <w:t>发展现状</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zh-CN" w:eastAsia="zh-CN"/>
        </w:rPr>
        <w:t>“十</w:t>
      </w:r>
      <w:r>
        <w:rPr>
          <w:rFonts w:hint="eastAsia" w:ascii="仿宋_GB2312" w:hAnsi="仿宋_GB2312" w:eastAsia="仿宋_GB2312" w:cs="仿宋_GB2312"/>
        </w:rPr>
        <w:t>三五”</w:t>
      </w:r>
      <w:r>
        <w:rPr>
          <w:rFonts w:hint="eastAsia" w:ascii="仿宋_GB2312" w:hAnsi="仿宋_GB2312" w:eastAsia="仿宋_GB2312" w:cs="仿宋_GB2312"/>
          <w:lang w:val="zh-CN" w:eastAsia="zh-CN"/>
        </w:rPr>
        <w:t>期间，</w:t>
      </w:r>
      <w:r>
        <w:rPr>
          <w:rFonts w:hint="eastAsia" w:ascii="仿宋_GB2312" w:hAnsi="仿宋_GB2312" w:eastAsia="仿宋_GB2312" w:cs="仿宋_GB2312"/>
        </w:rPr>
        <w:t>交城</w:t>
      </w:r>
      <w:r>
        <w:rPr>
          <w:rFonts w:hint="eastAsia" w:ascii="仿宋_GB2312" w:hAnsi="仿宋_GB2312" w:eastAsia="仿宋_GB2312" w:cs="仿宋_GB2312"/>
          <w:lang w:val="en-US" w:eastAsia="zh-CN"/>
        </w:rPr>
        <w:t>县县委、政府</w:t>
      </w:r>
      <w:r>
        <w:rPr>
          <w:rFonts w:hint="eastAsia" w:ascii="仿宋_GB2312" w:hAnsi="仿宋_GB2312" w:eastAsia="仿宋_GB2312" w:cs="仿宋_GB2312"/>
        </w:rPr>
        <w:t>深入贯彻习近平总书记视察山西重要讲话重要指示，按照省委“四为四高两同步”总体思路和要求，积极探索和实践高质量发展新路径，</w:t>
      </w:r>
      <w:r>
        <w:rPr>
          <w:rFonts w:hint="eastAsia" w:ascii="仿宋_GB2312" w:hAnsi="仿宋_GB2312" w:eastAsia="仿宋_GB2312" w:cs="仿宋_GB2312"/>
          <w:lang w:eastAsia="zh-CN"/>
        </w:rPr>
        <w:t>大力实施</w:t>
      </w:r>
      <w:r>
        <w:rPr>
          <w:rFonts w:hint="eastAsia" w:ascii="仿宋_GB2312" w:hAnsi="仿宋_GB2312" w:eastAsia="仿宋_GB2312" w:cs="仿宋_GB2312"/>
        </w:rPr>
        <w:t>“一大三新”</w:t>
      </w:r>
      <w:r>
        <w:rPr>
          <w:rFonts w:hint="eastAsia" w:ascii="仿宋_GB2312" w:hAnsi="仿宋_GB2312" w:eastAsia="仿宋_GB2312" w:cs="仿宋_GB2312"/>
          <w:lang w:eastAsia="zh-CN"/>
        </w:rPr>
        <w:t>产业转型战略，</w:t>
      </w:r>
      <w:r>
        <w:rPr>
          <w:rFonts w:hint="eastAsia" w:ascii="仿宋_GB2312" w:hAnsi="仿宋_GB2312" w:eastAsia="仿宋_GB2312" w:cs="仿宋_GB2312"/>
        </w:rPr>
        <w:t>聚焦</w:t>
      </w:r>
      <w:r>
        <w:rPr>
          <w:rFonts w:hint="eastAsia" w:ascii="仿宋_GB2312" w:hAnsi="仿宋_GB2312" w:eastAsia="仿宋_GB2312" w:cs="仿宋_GB2312"/>
          <w:lang w:eastAsia="zh-CN"/>
        </w:rPr>
        <w:t>大数据、新能源装备、</w:t>
      </w:r>
      <w:r>
        <w:rPr>
          <w:rFonts w:hint="eastAsia" w:ascii="仿宋_GB2312" w:hAnsi="仿宋_GB2312" w:eastAsia="仿宋_GB2312" w:cs="仿宋_GB2312"/>
        </w:rPr>
        <w:t>先进金属材料、碳基新材料、新型无机非金属材料</w:t>
      </w:r>
      <w:r>
        <w:rPr>
          <w:rFonts w:hint="eastAsia" w:ascii="仿宋_GB2312" w:hAnsi="仿宋_GB2312" w:eastAsia="仿宋_GB2312" w:cs="仿宋_GB2312"/>
          <w:lang w:eastAsia="zh-CN"/>
        </w:rPr>
        <w:t>、新型肥料</w:t>
      </w:r>
      <w:r>
        <w:rPr>
          <w:rFonts w:hint="eastAsia" w:ascii="仿宋_GB2312" w:hAnsi="仿宋_GB2312" w:eastAsia="仿宋_GB2312" w:cs="仿宋_GB2312"/>
        </w:rPr>
        <w:t>等重点领域，</w:t>
      </w:r>
      <w:r>
        <w:rPr>
          <w:rFonts w:hint="eastAsia" w:ascii="仿宋_GB2312" w:hAnsi="仿宋_GB2312" w:eastAsia="仿宋_GB2312" w:cs="仿宋_GB2312"/>
          <w:lang w:val="en-US" w:eastAsia="zh-CN"/>
        </w:rPr>
        <w:t>创新生态逐步构建，</w:t>
      </w:r>
      <w:r>
        <w:rPr>
          <w:rFonts w:hint="eastAsia" w:ascii="仿宋_GB2312" w:hAnsi="仿宋_GB2312" w:eastAsia="仿宋_GB2312" w:cs="仿宋_GB2312"/>
        </w:rPr>
        <w:t>新兴产业蓬勃兴起，质量效益稳步提高，</w:t>
      </w:r>
      <w:r>
        <w:rPr>
          <w:rFonts w:hint="eastAsia" w:ascii="仿宋_GB2312" w:hAnsi="仿宋_GB2312" w:eastAsia="仿宋_GB2312" w:cs="仿宋_GB2312"/>
          <w:lang w:val="en-US" w:eastAsia="zh-CN"/>
        </w:rPr>
        <w:t>品牌影响力和知名度显著提升，</w:t>
      </w:r>
      <w:r>
        <w:rPr>
          <w:rFonts w:hint="eastAsia" w:ascii="仿宋_GB2312" w:hAnsi="仿宋_GB2312" w:eastAsia="仿宋_GB2312" w:cs="仿宋_GB2312"/>
        </w:rPr>
        <w:t>战略性新兴产业发展迈出坚实步伐，为</w:t>
      </w:r>
      <w:r>
        <w:rPr>
          <w:rFonts w:hint="eastAsia" w:ascii="仿宋_GB2312" w:hAnsi="仿宋_GB2312" w:eastAsia="仿宋_GB2312" w:cs="仿宋_GB2312"/>
          <w:lang w:eastAsia="zh-CN"/>
        </w:rPr>
        <w:t>交城</w:t>
      </w:r>
      <w:r>
        <w:rPr>
          <w:rFonts w:hint="eastAsia" w:ascii="仿宋_GB2312" w:hAnsi="仿宋_GB2312" w:eastAsia="仿宋_GB2312" w:cs="仿宋_GB2312"/>
        </w:rPr>
        <w:t>经济高质量</w:t>
      </w:r>
      <w:r>
        <w:rPr>
          <w:rFonts w:hint="eastAsia" w:ascii="仿宋_GB2312" w:hAnsi="仿宋_GB2312" w:eastAsia="仿宋_GB2312" w:cs="仿宋_GB2312"/>
          <w:lang w:eastAsia="zh-CN"/>
        </w:rPr>
        <w:t>转型</w:t>
      </w:r>
      <w:r>
        <w:rPr>
          <w:rFonts w:hint="eastAsia" w:ascii="仿宋_GB2312" w:hAnsi="仿宋_GB2312" w:eastAsia="仿宋_GB2312" w:cs="仿宋_GB2312"/>
        </w:rPr>
        <w:t>发挥了重要作用。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b w:val="0"/>
          <w:bCs w:val="0"/>
          <w:lang w:val="en-US" w:eastAsia="zh-CN"/>
        </w:rPr>
      </w:pPr>
      <w:bookmarkStart w:id="2" w:name="_Toc2372"/>
      <w:r>
        <w:rPr>
          <w:rFonts w:hint="eastAsia" w:ascii="仿宋_GB2312" w:hAnsi="仿宋_GB2312" w:eastAsia="仿宋_GB2312" w:cs="仿宋_GB2312"/>
          <w:b w:val="0"/>
          <w:bCs w:val="0"/>
          <w:lang w:val="en-US" w:eastAsia="zh-CN"/>
        </w:rPr>
        <w:t>1.新兴产业蓬勃发展，转型动能快速凝聚</w:t>
      </w:r>
      <w:bookmarkEnd w:id="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三五”以来，我县全力推动战略性新兴产业发展，通过“一大三新”产业转型战略的实施，产业结构调整稳步推进，新旧动能转换全面提速，三次产业结构由2015年的5.5：76.6：18.9调整为4.5：64.4：31.2，二、三产结构更加合理。2020年，工业战略性新兴产业增加值年均增长9.8%、快于规上工业3.2个百分点。全县战略性新兴产业企业达到22户，较2015年增加12个；战略性新兴产业比重由2015年的8.3%，提高到2020年的16.1%。战略性新兴产业逐步成为促进经济可持续发展的新动能。围绕“新技术、新装备、新材料，新产品不断推陈出新，全县大数据、新能源、新材料等产业从无到有、成长迅速，成为全面汇聚能源流、数字流、业务流，有效促进优势转换的先锋队。新材料、绿色工厂、智能车间等不断涌现。交城义望铁合金废渣循环利用制备矿棉材料、金兰、红星、并盛公司的储热熔盐等新型材料项目陆续投产；金兰化工储热溶盐项目、山西宏特炭基材料项目、东锦肥业绿色新材料项目、明科光电光伏项目先后投产；义望铁合金微晶石材项目、利虎集团150万套汽车安全玻璃和轨道玻璃项目、山西中交高速数据中心中西部数据中心项目、湘电风能会立横尖项目等的开工建设，一大批引领产业发展的标志性项目落地建设。战略性新兴产业正成为交城高质量转型发展的核心引擎和关键支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b w:val="0"/>
          <w:bCs w:val="0"/>
          <w:lang w:val="en-US" w:eastAsia="zh-CN"/>
        </w:rPr>
      </w:pPr>
      <w:bookmarkStart w:id="3" w:name="_Toc30983"/>
      <w:r>
        <w:rPr>
          <w:rFonts w:hint="eastAsia" w:ascii="仿宋_GB2312" w:hAnsi="仿宋_GB2312" w:eastAsia="仿宋_GB2312" w:cs="仿宋_GB2312"/>
          <w:b w:val="0"/>
          <w:bCs w:val="0"/>
          <w:lang w:val="en-US" w:eastAsia="zh-CN"/>
        </w:rPr>
        <w:t>2.骨干企业不断涌现</w:t>
      </w:r>
      <w:bookmarkEnd w:id="3"/>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“十三五”期间，一批产品特色鲜明、国内外市场具有影响力的企业进一步壮大，一批具有较强市场竞争力的骨干龙头企业规模持续增长。在复合肥行业，华鑫肥业股份有限公司、山西金兰化工股份有限公司, 山西红星化工有限公司、交城三喜化工有限公司、山西磊鑫化工股份有限公司，在精细化工领域山西新天源医药、山西瑞赛科环保科技公司、山西绿邦环保科技公司等均在各自领域达到了国内领先水平。在在新材料领域，山西利虎玻璃集团有限公司、交城义望铁合金有限责任公司、山西宏特煤化工有限公司、建华建材（山西）有限公司等企业在新材料领域取得突破，技术水平达到国际先进。在装备制造领域，中科正泰、青耀技术玻璃、山西国利天能不断突破新技术、迭代发展新产品，龙头企业均在各自领域具有举足轻重的地位。</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b w:val="0"/>
          <w:bCs w:val="0"/>
          <w:lang w:val="en-US" w:eastAsia="zh-CN"/>
        </w:rPr>
      </w:pPr>
      <w:bookmarkStart w:id="4" w:name="_Toc27018"/>
      <w:r>
        <w:rPr>
          <w:rFonts w:hint="eastAsia" w:ascii="仿宋_GB2312" w:hAnsi="仿宋_GB2312" w:eastAsia="仿宋_GB2312" w:cs="仿宋_GB2312"/>
          <w:b w:val="0"/>
          <w:bCs w:val="0"/>
          <w:lang w:val="en-US" w:eastAsia="zh-CN"/>
        </w:rPr>
        <w:t>3.重点产业链条齐全</w:t>
      </w:r>
      <w:bookmarkEnd w:id="4"/>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我县以焦化产业为依托，已初步形成从产业链上游的锰铁系合金、平板玻璃、超高功率石墨电极、建材加工，再到下游的硝基复合肥、汽车安全玻璃、汽车配件、轨道交通配件等产品的制造，形成了较为完备的产业链体系。新能源领域以美锦集团为龙头，实施的燃料电池产业链项目，通过储能材料的市场推广，加快光热产业链的开发和形成，未来将成为交城绿色能源发展的新亮点。</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b w:val="0"/>
          <w:bCs w:val="0"/>
          <w:lang w:val="en-US" w:eastAsia="zh-CN"/>
        </w:rPr>
      </w:pPr>
      <w:bookmarkStart w:id="5" w:name="_Toc12937"/>
      <w:r>
        <w:rPr>
          <w:rFonts w:hint="eastAsia" w:ascii="仿宋_GB2312" w:hAnsi="仿宋_GB2312" w:eastAsia="仿宋_GB2312" w:cs="仿宋_GB2312"/>
          <w:b w:val="0"/>
          <w:bCs w:val="0"/>
          <w:lang w:val="en-US" w:eastAsia="zh-CN"/>
        </w:rPr>
        <w:t>4.以项目为支撑，新技术新产品快速落地</w:t>
      </w:r>
      <w:bookmarkEnd w:id="5"/>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近年来，县委、政府把产业转型升级建设作为高质量发展的重要抓手，持续掀起项目建设高潮。“十三五”以来，实施“三个一批”项目，签约金额54.37亿元；开工项目5个，总投资26.02亿元；投产项目9个，投资额21.57亿元。新建开工的国锦煤电污泥耦合发电项目完成部分基建，华亿特钢年产金属扣件铸铁5万吨、铸钢3万吨项目完成投资0.29亿元，美锦集团年产180万吨焦化升级项目完成投资7.1亿元，吕梁杭氧气体5万Nm3/h空分项目完成投资1.76亿元。持续推进投资5.2亿元的东锦肥业年产86万吨绿色新材料项目、利虎集团投资3亿元年产150万套汽车安全玻璃生产线项目、太原市辰宇市政工程有限公司投资2.16亿元市政预制构件设施等续建重点项目建设；山西德通路桥预构件有限责任公司投资5.3亿元建设装配式建筑产业预制构件及管桩系列产品生产项目；山西瑞赛科环保科技有限公司建设焦化脱硫脱氰废液资源化利用及深度开发项目，均已建设完成，并投入生产，到2020年底，新兴产业投产达效项目对全县的经济拉动作用达到5个百分点。</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b w:val="0"/>
          <w:bCs w:val="0"/>
          <w:lang w:val="en-US" w:eastAsia="zh-CN"/>
        </w:rPr>
      </w:pPr>
      <w:bookmarkStart w:id="6" w:name="_Toc14887"/>
      <w:r>
        <w:rPr>
          <w:rFonts w:hint="eastAsia" w:ascii="仿宋_GB2312" w:hAnsi="仿宋_GB2312" w:eastAsia="仿宋_GB2312" w:cs="仿宋_GB2312"/>
          <w:b w:val="0"/>
          <w:bCs w:val="0"/>
          <w:lang w:val="en-US" w:eastAsia="zh-CN"/>
        </w:rPr>
        <w:t>5.企业创新能力大幅跃升</w:t>
      </w:r>
      <w:bookmarkEnd w:id="6"/>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三五”期间，我县全力打造一流创新生态，积极推进创新驱动、科教兴县、人才强县战略，大力实施“一大三新”重大工程，创新驱动力显著增强。截至2020年，规上企业实现研发创新活动全覆盖，全县研发经费支出达到4.3亿元，实现年均增速19.6%，占全县销售收入的比重达到2.1%。有效发明专利、实用型专利数达186件，较2015年增加41件。5年来，全县高新技术企业达到21户，共建成4个升级级企业技术中心，13户市级企业技术中心。主导和参与制订国家标准4个，包括义望铁合金公司主导制订了《铁合金产品粒度的取样和检测方法》，金兰化工公司《太阳能熔盐（硝酸型）》国家标准；参与行业标准制定3个，包括义望铁合金有限责任公司《锰铁、锰硅合金、金属锰、含铜量的测定》1个、《BCO分光光度法和火焰原子吸收光谱法》等行业标准1个，山西金兰化工股份公司参与制订了《工业六水合硝酸镁》行业标准1个。工业企业制定企业标准24个，其中复合肥企业标准13个，天宁新材料公司涂料企业标准11个。企业创新能力大幅提升，研发能力显著提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b w:val="0"/>
          <w:bCs w:val="0"/>
          <w:lang w:val="en-US" w:eastAsia="zh-CN"/>
        </w:rPr>
      </w:pPr>
      <w:bookmarkStart w:id="7" w:name="_Toc9451"/>
      <w:r>
        <w:rPr>
          <w:rFonts w:hint="eastAsia" w:ascii="仿宋_GB2312" w:hAnsi="仿宋_GB2312" w:eastAsia="仿宋_GB2312" w:cs="仿宋_GB2312"/>
          <w:b w:val="0"/>
          <w:bCs w:val="0"/>
          <w:lang w:val="en-US" w:eastAsia="zh-CN"/>
        </w:rPr>
        <w:t>6.新基建快速推进</w:t>
      </w:r>
      <w:bookmarkEnd w:id="7"/>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rPr>
        <w:t>“十三五”期间交城县73个贫困村通互联网工程和通动力电工程全部开通，5G基站建设全面铺开，至2020年底，规划宏基站210个，微基站122个，总投资0.89亿元，城区完成74个5G基站建设，实现城区5G网络全覆盖。网络基础设施建设和公共服务水平进一步完善；交城县人民政府与上海徐工汉云工业互联网有限公司就交城县5G+工业互联网、智慧工厂、智慧矿山、智能制造、两化融合贯标、标识解析以及智慧城市等领域的签订了合作协议。山西中交高速数据中心有限公司大数据项目积极推进、中鼎云铸公共服务平台项目的投产运营，围绕智慧经济的核心技术需求，布局数据应用研发、大数据产业从无到有，进一步推动了交城县工业信息化、智能化水平的提升。</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楷体_GB2312" w:hAnsi="楷体_GB2312" w:eastAsia="楷体_GB2312" w:cs="楷体_GB2312"/>
          <w:b w:val="0"/>
          <w:bCs/>
          <w:lang w:val="en-US" w:eastAsia="zh-CN"/>
        </w:rPr>
      </w:pPr>
      <w:bookmarkStart w:id="8" w:name="_Toc9078"/>
      <w:r>
        <w:rPr>
          <w:rFonts w:hint="eastAsia" w:ascii="楷体_GB2312" w:hAnsi="楷体_GB2312" w:eastAsia="楷体_GB2312" w:cs="楷体_GB2312"/>
          <w:b w:val="0"/>
          <w:bCs/>
          <w:lang w:val="en-US" w:eastAsia="zh-CN"/>
        </w:rPr>
        <w:t>（二）存在问题</w:t>
      </w:r>
      <w:bookmarkEnd w:id="8"/>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在取得诸多成绩的同时，我县战略性新型产业发展仍存在总量规模不大、产品附加值不高、创新支撑不足、协作开发水平不够等短板问题。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val="0"/>
          <w:bCs w:val="0"/>
        </w:rPr>
        <w:t>1</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总量规模不大。</w:t>
      </w:r>
      <w:r>
        <w:rPr>
          <w:rFonts w:hint="eastAsia" w:ascii="仿宋_GB2312" w:hAnsi="仿宋_GB2312" w:eastAsia="仿宋_GB2312" w:cs="仿宋_GB2312"/>
        </w:rPr>
        <w:t>尽管“十三五”期间战新产业取得了较快发展，但与全国、全省先进水平相比仍有较为明显的差距。2020年，规上工业企业战新产业比重18.6%，占全省比重的0.94%。新能源、新材料、新产品经济总量处于较低水平，难以对产业高质量发展形成强力支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val="0"/>
          <w:bCs w:val="0"/>
        </w:rPr>
        <w:t>2</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产品附加值不高。</w:t>
      </w:r>
      <w:r>
        <w:rPr>
          <w:rFonts w:hint="eastAsia" w:ascii="仿宋_GB2312" w:hAnsi="仿宋_GB2312" w:eastAsia="仿宋_GB2312" w:cs="仿宋_GB2312"/>
        </w:rPr>
        <w:t>长期以来虽然多元化经济的转型取得较大的成绩，但产品结构重型化特征明显，煤、焦、化、建材、铸造等低附加值产品产量仍然比重较高，新兴产业领域项目和产品发展滞后，自有国内知名领先品牌匮乏。在工信部公布的两批全国专精特新“小巨人”企业中，只有2家企业上榜，处于较低水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val="0"/>
          <w:bCs w:val="0"/>
        </w:rPr>
        <w:t>3</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创新支撑不足。</w:t>
      </w:r>
      <w:r>
        <w:rPr>
          <w:rFonts w:hint="eastAsia" w:ascii="仿宋_GB2312" w:hAnsi="仿宋_GB2312" w:eastAsia="仿宋_GB2312" w:cs="仿宋_GB2312"/>
        </w:rPr>
        <w:t>从创新投入来看，2020年交城工业R&amp;D经费投入强度和工业R&amp;D人员投入强度分别为2.1%和1.5%。从创新产出看，2020年我县发明专利授权量仅为5件，创新能力对新产品的研发与产业化支撑不足。从创新主体看，2020年全县高新技术企业仅有21家，仅为全省总数的1%。同时，企业与高校、科研院所、产品应用企业衔接机制还存在不健全、不畅通问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val="0"/>
          <w:bCs w:val="0"/>
        </w:rPr>
        <w:t>4</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协作开发不够。</w:t>
      </w:r>
      <w:r>
        <w:rPr>
          <w:rFonts w:hint="eastAsia" w:ascii="仿宋_GB2312" w:hAnsi="仿宋_GB2312" w:eastAsia="仿宋_GB2312" w:cs="仿宋_GB2312"/>
        </w:rPr>
        <w:t>交城战新产业发展对外开放程度不够，与京津冀协同发展不足，承接长三角、粤港澳产业转移力度不强，与“一带一路”沿线国家和地区的经济合作几乎没有。新技术、新产品研发仍以短期零散式开发、企业单一技术研发、项目合作、联合研发等低级模式为主，未形成以战略联盟式创新、产业关键共性技术研发和全球技术标准制定等高级模式为主的全方位产学研合作机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rPr>
        <w:t>5</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智能绿色发展较缓慢，质量效益有待提高。</w:t>
      </w:r>
      <w:r>
        <w:rPr>
          <w:rFonts w:hint="eastAsia" w:ascii="仿宋_GB2312" w:hAnsi="仿宋_GB2312" w:eastAsia="仿宋_GB2312" w:cs="仿宋_GB2312"/>
        </w:rPr>
        <w:t>智能化、绿色化是装备制造转型升级重要的“双轮引擎”。当前，我县企业智能化、绿色化水平在全国仍处于中下游，与先进县市相比存在较大差距。企业制造过程智能化水平较低，尚未与大数据、工业互联网等新一代信息技术进行深度融合，智能装备产品种类数量较少、市场竞争能力不强。据相关研究数据表明，我县智能制造发展基础、产业应用、两化融合普及率等均处于较低水平。同时，我县企业单位增加值能耗在全市处于较高水平，两高产业比重在全省全市比重较大，在我国碳排放2030年前达到峰值、2060年前实现碳中和的大前提下，能源消耗和强度“双控”的压力日益增加，产业绿色转型升级任务十分艰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84312"/>
    <w:rsid w:val="29E84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2"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黑体" w:cs="Times New Roman"/>
      <w:b/>
      <w:kern w:val="44"/>
      <w:sz w:val="32"/>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楷体" w:cs="Times New Roman"/>
      <w:b/>
      <w:kern w:val="0"/>
      <w:sz w:val="32"/>
      <w:szCs w:val="36"/>
    </w:rPr>
  </w:style>
  <w:style w:type="paragraph" w:styleId="5">
    <w:name w:val="heading 3"/>
    <w:basedOn w:val="1"/>
    <w:next w:val="1"/>
    <w:qFormat/>
    <w:uiPriority w:val="0"/>
    <w:pPr>
      <w:ind w:left="0"/>
      <w:jc w:val="left"/>
      <w:outlineLvl w:val="2"/>
    </w:pPr>
    <w:rPr>
      <w:rFonts w:ascii="仿宋" w:hAnsi="仿宋" w:cs="仿宋"/>
      <w:b/>
      <w:bCs/>
      <w:szCs w:val="28"/>
      <w:lang w:val="zh-CN" w:bidi="zh-CN"/>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2022-01-12T01:58:00Z</dcterms:created>
  <dc:creator>Administrator</dc:creator>
  <cp:lastModifiedBy>Administrator</cp:lastModifiedBy>
  <dcterms:modified xsi:type="dcterms:W3CDTF">2022-01-12T01:59:08Z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71CBBA2AB1264B008E1AAA9443C89B8C</vt:lpwstr>
  </property>
</Properties>
</file>