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1"/>
        </w:numPr>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21" w:name="_GoBack"/>
      <w:bookmarkStart w:id="0" w:name="_Toc16724"/>
      <w:r>
        <w:rPr>
          <w:rFonts w:hint="eastAsia" w:ascii="方正小标宋简体" w:hAnsi="方正小标宋简体" w:eastAsia="方正小标宋简体" w:cs="方正小标宋简体"/>
          <w:sz w:val="44"/>
          <w:szCs w:val="44"/>
          <w:lang w:val="en-US" w:eastAsia="zh-CN"/>
        </w:rPr>
        <w:t>保障措施</w:t>
      </w:r>
      <w:bookmarkEnd w:id="0"/>
    </w:p>
    <w:bookmarkEnd w:id="21"/>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val="en-US"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 w:name="_Toc14700"/>
      <w:r>
        <w:rPr>
          <w:rFonts w:hint="eastAsia"/>
          <w:sz w:val="32"/>
          <w:szCs w:val="32"/>
          <w:lang w:eastAsia="zh-CN"/>
        </w:rPr>
        <w:t>一、</w:t>
      </w:r>
      <w:r>
        <w:rPr>
          <w:rFonts w:hint="eastAsia"/>
          <w:sz w:val="32"/>
          <w:szCs w:val="32"/>
        </w:rPr>
        <w:t>政策保障</w:t>
      </w:r>
      <w:bookmarkEnd w:id="1"/>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2" w:name="_Toc11129"/>
      <w:r>
        <w:rPr>
          <w:rFonts w:hint="eastAsia"/>
          <w:sz w:val="32"/>
          <w:szCs w:val="32"/>
          <w:lang w:val="en-US" w:eastAsia="zh-CN"/>
        </w:rPr>
        <w:t>（一）加大政府投入力度</w:t>
      </w:r>
      <w:bookmarkEnd w:id="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将康养产业列入我县战略性新兴产业范畴，在城乡建设规划、资金投入、人才引进培养等</w:t>
      </w:r>
      <w:r>
        <w:rPr>
          <w:rFonts w:hint="eastAsia" w:ascii="仿宋" w:hAnsi="仿宋" w:eastAsia="仿宋" w:cs="仿宋"/>
          <w:sz w:val="32"/>
          <w:szCs w:val="32"/>
          <w:lang w:eastAsia="zh-CN"/>
        </w:rPr>
        <w:t>政策</w:t>
      </w:r>
      <w:r>
        <w:rPr>
          <w:rFonts w:hint="eastAsia" w:ascii="仿宋" w:hAnsi="仿宋" w:eastAsia="仿宋" w:cs="仿宋"/>
          <w:sz w:val="32"/>
          <w:szCs w:val="32"/>
        </w:rPr>
        <w:t>方面</w:t>
      </w:r>
      <w:r>
        <w:rPr>
          <w:rFonts w:hint="eastAsia" w:ascii="仿宋" w:hAnsi="仿宋" w:eastAsia="仿宋" w:cs="仿宋"/>
          <w:sz w:val="32"/>
          <w:szCs w:val="32"/>
          <w:lang w:eastAsia="zh-CN"/>
        </w:rPr>
        <w:t>大力支持</w:t>
      </w:r>
      <w:r>
        <w:rPr>
          <w:rFonts w:hint="eastAsia" w:ascii="仿宋" w:hAnsi="仿宋" w:eastAsia="仿宋" w:cs="仿宋"/>
          <w:sz w:val="32"/>
          <w:szCs w:val="32"/>
        </w:rPr>
        <w:t>，铺设绿色通道。设置康养产业发展资金与营销专项费用，整合资金投入到康养产业项目之中，将适宜发展康养的资金拿出整合范围；搭建投融资平台，吸纳国有企业与金融机构、保险公司，委托专门基金公司进行管理运作；积极推动实施PPP模式，吸引外部资金投资</w:t>
      </w:r>
      <w:r>
        <w:rPr>
          <w:rFonts w:hint="eastAsia" w:ascii="仿宋" w:hAnsi="仿宋" w:eastAsia="仿宋" w:cs="仿宋"/>
          <w:sz w:val="32"/>
          <w:szCs w:val="32"/>
          <w:lang w:eastAsia="zh-CN"/>
        </w:rPr>
        <w:t>康养产业相关</w:t>
      </w:r>
      <w:r>
        <w:rPr>
          <w:rFonts w:hint="eastAsia" w:ascii="仿宋" w:hAnsi="仿宋" w:eastAsia="仿宋" w:cs="仿宋"/>
          <w:sz w:val="32"/>
          <w:szCs w:val="32"/>
        </w:rPr>
        <w:t>基础设施与</w:t>
      </w:r>
      <w:r>
        <w:rPr>
          <w:rFonts w:hint="eastAsia" w:ascii="仿宋" w:hAnsi="仿宋" w:eastAsia="仿宋" w:cs="仿宋"/>
          <w:sz w:val="32"/>
          <w:szCs w:val="32"/>
          <w:lang w:eastAsia="zh-CN"/>
        </w:rPr>
        <w:t>康养</w:t>
      </w:r>
      <w:r>
        <w:rPr>
          <w:rFonts w:hint="eastAsia" w:ascii="仿宋" w:hAnsi="仿宋" w:eastAsia="仿宋" w:cs="仿宋"/>
          <w:sz w:val="32"/>
          <w:szCs w:val="32"/>
        </w:rPr>
        <w:t>项目开发建设。</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3" w:name="_Toc16006"/>
      <w:r>
        <w:rPr>
          <w:rFonts w:hint="eastAsia"/>
          <w:sz w:val="32"/>
          <w:szCs w:val="32"/>
          <w:lang w:val="en-US" w:eastAsia="zh-CN"/>
        </w:rPr>
        <w:t>（二）制定康养产业政策</w:t>
      </w:r>
      <w:bookmarkEnd w:id="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公开、透明、平等、规范的健康服务业准入制度，开放社会资本并不断扩大开放领域。民办非营利性机构享受与同行业公办机构同等待遇。对连锁经营的服务企业实行企业总部统一办理工商注册登记手续。进一步规范、公开医疗机构设立的基本标准、审批程序，缩短审批时限，及时发布机构设置和规划布局调整等信息，采取招标等方式确定举办或运行主体。简化对康复医院、老年病医院、儿童医院、护理院等紧缺型医疗机构的立项、开办、执业资格、医保定点等审批手续以及放宽对数量、规模、布局以及大型医疗设备配置的限制。</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4" w:name="_Toc3951"/>
      <w:r>
        <w:rPr>
          <w:rFonts w:hint="eastAsia"/>
          <w:sz w:val="32"/>
          <w:szCs w:val="32"/>
          <w:lang w:val="en-US" w:eastAsia="zh-CN"/>
        </w:rPr>
        <w:t>（三）落实康养用地政策</w:t>
      </w:r>
      <w:bookmarkEnd w:id="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项目建设用地纳入土地利用总体规划和城乡建设用地总体规划；对列入重大康养旅游建设项目和发展生态旅游项目用地给予支持；盘活沿线乡村旅游用地；探索农村集体经营性建设用地、集体农用地、未利用地采取作价入股、合作联营或者租赁等方式参与旅游项目开发。</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5" w:name="_Toc28024"/>
      <w:r>
        <w:rPr>
          <w:rFonts w:hint="eastAsia"/>
          <w:sz w:val="32"/>
          <w:szCs w:val="32"/>
          <w:lang w:val="en-US" w:eastAsia="zh-CN"/>
        </w:rPr>
        <w:t>（四）完善康养财税政策</w:t>
      </w:r>
      <w:bookmarkEnd w:id="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抓住中央政府加大对康养基础设施和生态环境保护设施的支持契机，积极争取国家专项资金，将符合条件的旅游企业和项目纳入支持范围；实行税收优惠政策，对非营利性康养、养老机构建设要免予征收有关行政事业性收费，对营利性康养、养老机构建设要减半征收有关行政事业性收费。推进环境保护费改税，探索建立生态补偿机制</w:t>
      </w:r>
      <w:r>
        <w:rPr>
          <w:rFonts w:hint="eastAsia" w:ascii="仿宋" w:hAnsi="仿宋" w:eastAsia="仿宋" w:cs="仿宋"/>
          <w:sz w:val="32"/>
          <w:szCs w:val="32"/>
          <w:lang w:eastAsia="zh-CN"/>
        </w:rPr>
        <w:t>，</w:t>
      </w:r>
      <w:r>
        <w:rPr>
          <w:rFonts w:hint="eastAsia" w:ascii="仿宋" w:hAnsi="仿宋" w:eastAsia="仿宋" w:cs="仿宋"/>
          <w:sz w:val="32"/>
          <w:szCs w:val="32"/>
        </w:rPr>
        <w:t>支持企业节能减排，切实提高人居生活环境质量。增值税转型政策，允许从事户外运动、体育、健身等装备制造业、养老服务产业、旅游休闲产业、医疗服务产业、健康养生产业、农产品加工业的增值税一般纳税人</w:t>
      </w:r>
      <w:r>
        <w:rPr>
          <w:rFonts w:hint="eastAsia" w:ascii="仿宋" w:hAnsi="仿宋" w:eastAsia="仿宋" w:cs="仿宋"/>
          <w:sz w:val="32"/>
          <w:szCs w:val="32"/>
          <w:lang w:eastAsia="zh-CN"/>
        </w:rPr>
        <w:t>，</w:t>
      </w:r>
      <w:r>
        <w:rPr>
          <w:rFonts w:hint="eastAsia" w:ascii="仿宋" w:hAnsi="仿宋" w:eastAsia="仿宋" w:cs="仿宋"/>
          <w:sz w:val="32"/>
          <w:szCs w:val="32"/>
        </w:rPr>
        <w:t>抵扣购进固定资产生产设备所含增值税进项税额。</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6" w:name="_Toc930"/>
      <w:r>
        <w:rPr>
          <w:rFonts w:hint="eastAsia"/>
          <w:sz w:val="32"/>
          <w:szCs w:val="32"/>
          <w:lang w:eastAsia="zh-CN"/>
        </w:rPr>
        <w:t>二、</w:t>
      </w:r>
      <w:r>
        <w:rPr>
          <w:rFonts w:hint="eastAsia"/>
          <w:sz w:val="32"/>
          <w:szCs w:val="32"/>
        </w:rPr>
        <w:t>土地保障</w:t>
      </w:r>
      <w:bookmarkEnd w:id="6"/>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7" w:name="_Toc22270"/>
      <w:r>
        <w:rPr>
          <w:rFonts w:hint="eastAsia"/>
          <w:sz w:val="32"/>
          <w:szCs w:val="32"/>
          <w:lang w:val="en-US" w:eastAsia="zh-CN"/>
        </w:rPr>
        <w:t>（一）建设用地指标倾斜支持</w:t>
      </w:r>
      <w:bookmarkEnd w:id="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结合交城县康养产业设施布局规划</w:t>
      </w:r>
      <w:r>
        <w:rPr>
          <w:rFonts w:hint="eastAsia" w:ascii="仿宋" w:hAnsi="仿宋" w:eastAsia="仿宋" w:cs="仿宋"/>
          <w:sz w:val="32"/>
          <w:szCs w:val="32"/>
          <w:lang w:eastAsia="zh-CN"/>
        </w:rPr>
        <w:t>，</w:t>
      </w:r>
      <w:r>
        <w:rPr>
          <w:rFonts w:hint="eastAsia" w:ascii="仿宋" w:hAnsi="仿宋" w:eastAsia="仿宋" w:cs="仿宋"/>
          <w:sz w:val="32"/>
          <w:szCs w:val="32"/>
        </w:rPr>
        <w:t>将创建山西省康养产业示范区所需的规划建设纳入交城县城乡规划和土地利用总体规划</w:t>
      </w:r>
      <w:r>
        <w:rPr>
          <w:rFonts w:hint="eastAsia" w:ascii="仿宋" w:hAnsi="仿宋" w:eastAsia="仿宋" w:cs="仿宋"/>
          <w:sz w:val="32"/>
          <w:szCs w:val="32"/>
          <w:lang w:eastAsia="zh-CN"/>
        </w:rPr>
        <w:t>，</w:t>
      </w:r>
      <w:r>
        <w:rPr>
          <w:rFonts w:hint="eastAsia" w:ascii="仿宋" w:hAnsi="仿宋" w:eastAsia="仿宋" w:cs="仿宋"/>
          <w:sz w:val="32"/>
          <w:szCs w:val="32"/>
        </w:rPr>
        <w:t>统筹安排康养服务设施建设用地。对政府举办的养老服务机构和非营利性养老服务设施用地，可依法使用国有划拨土地</w:t>
      </w:r>
      <w:r>
        <w:rPr>
          <w:rFonts w:hint="eastAsia" w:ascii="仿宋" w:hAnsi="仿宋" w:eastAsia="仿宋" w:cs="仿宋"/>
          <w:sz w:val="32"/>
          <w:szCs w:val="32"/>
          <w:lang w:eastAsia="zh-CN"/>
        </w:rPr>
        <w:t>，</w:t>
      </w:r>
      <w:r>
        <w:rPr>
          <w:rFonts w:hint="eastAsia" w:ascii="仿宋" w:hAnsi="仿宋" w:eastAsia="仿宋" w:cs="仿宋"/>
          <w:sz w:val="32"/>
          <w:szCs w:val="32"/>
        </w:rPr>
        <w:t>并优先安排年度用地计划指标。对社会力量举办的营利性康养服务机构，在符合城市总体规划、土地利用总体规划、康养服务设施布局规划的前提下</w:t>
      </w:r>
      <w:r>
        <w:rPr>
          <w:rFonts w:hint="eastAsia" w:ascii="仿宋" w:hAnsi="仿宋" w:eastAsia="仿宋" w:cs="仿宋"/>
          <w:sz w:val="32"/>
          <w:szCs w:val="32"/>
          <w:lang w:eastAsia="zh-CN"/>
        </w:rPr>
        <w:t>，</w:t>
      </w:r>
      <w:r>
        <w:rPr>
          <w:rFonts w:hint="eastAsia" w:ascii="仿宋" w:hAnsi="仿宋" w:eastAsia="仿宋" w:cs="仿宋"/>
          <w:sz w:val="32"/>
          <w:szCs w:val="32"/>
        </w:rPr>
        <w:t>其所用土地可采取一定的优惠价优先取得，也可采取政府“一事一议”的方式研究解决。</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8" w:name="_Toc21088"/>
      <w:r>
        <w:rPr>
          <w:rFonts w:hint="eastAsia"/>
          <w:sz w:val="32"/>
          <w:szCs w:val="32"/>
          <w:lang w:val="en-US" w:eastAsia="zh-CN"/>
        </w:rPr>
        <w:t>（二）优化土地开发手续</w:t>
      </w:r>
      <w:bookmarkEnd w:id="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依托山林自然风景资源，开发森林康养、山地康养等建设项目用地，实行点状配套设施建设用地布局开发，对点状布局单体开发的建设地块，按地块独立供地。实行整体开发的，按多个单体建筑开发建设地决整体组合供地；对项目建设占用的土地，可实行征转分离审批，即先办理土地征收手续，进行前期开发，再按照实际需要分年度办理农用地转用手续，“用多少，征多少，建多少，转多少”。</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9" w:name="_Toc29191"/>
      <w:r>
        <w:rPr>
          <w:rFonts w:hint="eastAsia"/>
          <w:sz w:val="32"/>
          <w:szCs w:val="32"/>
          <w:lang w:val="en-US" w:eastAsia="zh-CN"/>
        </w:rPr>
        <w:t>（三）优化农村闲置用地</w:t>
      </w:r>
      <w:bookmarkEnd w:id="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鼓励使用通过优化农村闲置建设用地、农村闲置房屋等低效用地优先发展餐饮、住宿、购物、娱乐等旅游配套的公益性城镇基础设施</w:t>
      </w:r>
      <w:r>
        <w:rPr>
          <w:rFonts w:hint="eastAsia" w:ascii="仿宋" w:hAnsi="仿宋" w:eastAsia="仿宋" w:cs="仿宋"/>
          <w:sz w:val="32"/>
          <w:szCs w:val="32"/>
          <w:lang w:eastAsia="zh-CN"/>
        </w:rPr>
        <w:t>，</w:t>
      </w:r>
      <w:r>
        <w:rPr>
          <w:rFonts w:hint="eastAsia" w:ascii="仿宋" w:hAnsi="仿宋" w:eastAsia="仿宋" w:cs="仿宋"/>
          <w:sz w:val="32"/>
          <w:szCs w:val="32"/>
        </w:rPr>
        <w:t>可采用划拨方式供地。研究制定鼓励“点状供地、垂直开发”试点、旅游配套的公益性城镇基础设施划拨方式供地，解决康养旅游发展用地。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三、组织管理保障</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0" w:name="_Toc12130"/>
      <w:r>
        <w:rPr>
          <w:rFonts w:hint="eastAsia"/>
          <w:sz w:val="32"/>
          <w:szCs w:val="32"/>
          <w:lang w:val="en-US" w:eastAsia="zh-CN"/>
        </w:rPr>
        <w:t>（一）加强组织领导，健全体制机制</w:t>
      </w:r>
      <w:bookmarkEnd w:id="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主要领导挂帅的组织领导机制，成立康养产业规划与发展实施领导小组，相关部门分工负责制，健全旅游发展领导、协调机制与办事结构，强化部门协作，明确相关部门和地方的责任和考核标准、考核机制和相应的奖惩措施。</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1" w:name="_Toc29933"/>
      <w:r>
        <w:rPr>
          <w:rFonts w:hint="eastAsia"/>
          <w:sz w:val="32"/>
          <w:szCs w:val="32"/>
          <w:lang w:val="en-US" w:eastAsia="zh-CN"/>
        </w:rPr>
        <w:t>（二）明确工作职责，推进项目落地</w:t>
      </w:r>
      <w:bookmarkEnd w:id="1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工作方案，落实协调交城康养产业建设与发展工作责任，大力推进重点项目建设工作，形成主要领导推进、整合沿线村庄、土地、景点等诸多资源，大力发展康养产业。调动各级党委的积极性，有效发挥综合协调的体</w:t>
      </w:r>
      <w:r>
        <w:rPr>
          <w:rFonts w:hint="eastAsia" w:ascii="仿宋" w:hAnsi="仿宋" w:eastAsia="仿宋" w:cs="仿宋"/>
          <w:sz w:val="32"/>
          <w:szCs w:val="32"/>
          <w:lang w:eastAsia="zh-CN"/>
        </w:rPr>
        <w:t>制</w:t>
      </w:r>
      <w:r>
        <w:rPr>
          <w:rFonts w:hint="eastAsia" w:ascii="仿宋" w:hAnsi="仿宋" w:eastAsia="仿宋" w:cs="仿宋"/>
          <w:sz w:val="32"/>
          <w:szCs w:val="32"/>
        </w:rPr>
        <w:t>机制。</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2" w:name="_Toc19063"/>
      <w:r>
        <w:rPr>
          <w:rFonts w:hint="eastAsia"/>
          <w:sz w:val="32"/>
          <w:szCs w:val="32"/>
          <w:lang w:val="en-US" w:eastAsia="zh-CN"/>
        </w:rPr>
        <w:t>（三）建立部门协作与产业联动机制</w:t>
      </w:r>
      <w:bookmarkEnd w:id="1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各有关部门之间加强分工合作，合力兴旅，加强各部门的统一认识，大力走出去与请进来，组织有关部门、乡村和企业外出学习考察先进模范地区的经验，借鉴成功康养示范区的管理模式和经验，邀请一批具有实战经验的专家和成功人士现身说法。</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3" w:name="_Toc13253"/>
      <w:r>
        <w:rPr>
          <w:rFonts w:hint="eastAsia"/>
          <w:sz w:val="32"/>
          <w:szCs w:val="32"/>
          <w:lang w:eastAsia="zh-CN"/>
        </w:rPr>
        <w:t>四、</w:t>
      </w:r>
      <w:r>
        <w:rPr>
          <w:rFonts w:hint="eastAsia"/>
          <w:sz w:val="32"/>
          <w:szCs w:val="32"/>
        </w:rPr>
        <w:t>资金保障</w:t>
      </w:r>
      <w:bookmarkEnd w:id="13"/>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4" w:name="_Toc25803"/>
      <w:r>
        <w:rPr>
          <w:rFonts w:hint="eastAsia"/>
          <w:sz w:val="32"/>
          <w:szCs w:val="32"/>
          <w:lang w:val="en-US" w:eastAsia="zh-CN"/>
        </w:rPr>
        <w:t>（一）加大康养产业资金投入力度</w:t>
      </w:r>
      <w:bookmarkEnd w:id="1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资金投入是交城康养产业项目建设及工作开展的重要基础，交城县政府应充分利用现有的资金渠道，加大旅游基础设施与公共服务设施建设投入力度，鼓励各乡镇统筹相关资金推进康养产业的建设发展。</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5" w:name="_Toc19162"/>
      <w:r>
        <w:rPr>
          <w:rFonts w:hint="eastAsia"/>
          <w:sz w:val="32"/>
          <w:szCs w:val="32"/>
          <w:lang w:val="en-US" w:eastAsia="zh-CN"/>
        </w:rPr>
        <w:t>（二）加强康养产业资金管理</w:t>
      </w:r>
      <w:bookmarkEnd w:id="1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财政性资金，县财政部门要积极与各相关部门进行沟通，出台相关的《交城县康养产业发展专项资金管理办法》，保证财政资金用到实处、用到适处。交城县政府应保持政策稳定性，建立长效机制与良好的可预期机制。</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6" w:name="_Toc11638"/>
      <w:r>
        <w:rPr>
          <w:rFonts w:hint="eastAsia"/>
          <w:sz w:val="32"/>
          <w:szCs w:val="32"/>
          <w:lang w:val="en-US" w:eastAsia="zh-CN"/>
        </w:rPr>
        <w:t>（三）拓宽康养产业融资渠道</w:t>
      </w:r>
      <w:bookmarkEnd w:id="1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政府积极主导、做好引导性投资</w:t>
      </w:r>
      <w:r>
        <w:rPr>
          <w:rFonts w:hint="eastAsia" w:ascii="仿宋" w:hAnsi="仿宋" w:eastAsia="仿宋" w:cs="仿宋"/>
          <w:sz w:val="32"/>
          <w:szCs w:val="32"/>
          <w:lang w:eastAsia="zh-CN"/>
        </w:rPr>
        <w:t>，</w:t>
      </w:r>
      <w:r>
        <w:rPr>
          <w:rFonts w:hint="eastAsia" w:ascii="仿宋" w:hAnsi="仿宋" w:eastAsia="仿宋" w:cs="仿宋"/>
          <w:sz w:val="32"/>
          <w:szCs w:val="32"/>
        </w:rPr>
        <w:t>积极拓展投资渠道</w:t>
      </w:r>
      <w:r>
        <w:rPr>
          <w:rFonts w:hint="eastAsia" w:ascii="仿宋" w:hAnsi="仿宋" w:eastAsia="仿宋" w:cs="仿宋"/>
          <w:sz w:val="32"/>
          <w:szCs w:val="32"/>
          <w:lang w:eastAsia="zh-CN"/>
        </w:rPr>
        <w:t>，</w:t>
      </w:r>
      <w:r>
        <w:rPr>
          <w:rFonts w:hint="eastAsia" w:ascii="仿宋" w:hAnsi="仿宋" w:eastAsia="仿宋" w:cs="仿宋"/>
          <w:sz w:val="32"/>
          <w:szCs w:val="32"/>
        </w:rPr>
        <w:t>充分利用企业债券、公司债券、企业短期融资券与中期票据、上市融资、私募股权融资、信托融资、金融租赁等七种直接融资方式融资。设立康养旅游发展基金、国家康养旅游发展论坛等</w:t>
      </w:r>
      <w:r>
        <w:rPr>
          <w:rFonts w:hint="eastAsia" w:ascii="仿宋" w:hAnsi="仿宋" w:eastAsia="仿宋" w:cs="仿宋"/>
          <w:sz w:val="32"/>
          <w:szCs w:val="32"/>
          <w:lang w:eastAsia="zh-CN"/>
        </w:rPr>
        <w:t>，</w:t>
      </w:r>
      <w:r>
        <w:rPr>
          <w:rFonts w:hint="eastAsia" w:ascii="仿宋" w:hAnsi="仿宋" w:eastAsia="仿宋" w:cs="仿宋"/>
          <w:sz w:val="32"/>
          <w:szCs w:val="32"/>
        </w:rPr>
        <w:t>利用PPP等投融资模式</w:t>
      </w:r>
      <w:r>
        <w:rPr>
          <w:rFonts w:hint="eastAsia" w:ascii="仿宋" w:hAnsi="仿宋" w:eastAsia="仿宋" w:cs="仿宋"/>
          <w:sz w:val="32"/>
          <w:szCs w:val="32"/>
          <w:lang w:eastAsia="zh-CN"/>
        </w:rPr>
        <w:t>，</w:t>
      </w:r>
      <w:r>
        <w:rPr>
          <w:rFonts w:hint="eastAsia" w:ascii="仿宋" w:hAnsi="仿宋" w:eastAsia="仿宋" w:cs="仿宋"/>
          <w:sz w:val="32"/>
          <w:szCs w:val="32"/>
        </w:rPr>
        <w:t>不断拓展投融资渠道。吸引保险资金、民间资本、国外资本等社会资金</w:t>
      </w:r>
      <w:r>
        <w:rPr>
          <w:rFonts w:hint="eastAsia" w:ascii="仿宋" w:hAnsi="仿宋" w:eastAsia="仿宋" w:cs="仿宋"/>
          <w:sz w:val="32"/>
          <w:szCs w:val="32"/>
          <w:lang w:eastAsia="zh-CN"/>
        </w:rPr>
        <w:t>，</w:t>
      </w:r>
      <w:r>
        <w:rPr>
          <w:rFonts w:hint="eastAsia" w:ascii="仿宋" w:hAnsi="仿宋" w:eastAsia="仿宋" w:cs="仿宋"/>
          <w:sz w:val="32"/>
          <w:szCs w:val="32"/>
        </w:rPr>
        <w:t>建立政府与社会主体建立“利益共享、风险共担、全城合作”共同体。</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7" w:name="_Toc1719"/>
      <w:r>
        <w:rPr>
          <w:rFonts w:hint="eastAsia"/>
          <w:sz w:val="32"/>
          <w:szCs w:val="32"/>
          <w:lang w:eastAsia="zh-CN"/>
        </w:rPr>
        <w:t>五、</w:t>
      </w:r>
      <w:r>
        <w:rPr>
          <w:rFonts w:hint="eastAsia"/>
          <w:sz w:val="32"/>
          <w:szCs w:val="32"/>
        </w:rPr>
        <w:t>人才保障</w:t>
      </w:r>
      <w:bookmarkEnd w:id="17"/>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8" w:name="_Toc31079"/>
      <w:r>
        <w:rPr>
          <w:rFonts w:hint="eastAsia"/>
          <w:sz w:val="32"/>
          <w:szCs w:val="32"/>
          <w:lang w:val="en-US" w:eastAsia="zh-CN"/>
        </w:rPr>
        <w:t>（一）优化人才环境，重视人才“引进来”</w:t>
      </w:r>
      <w:bookmarkEnd w:id="1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将旅游人才队伍建设纳入交城县重点人才支持计划，一方面推行“人才绿卡”政策，依托政府支持</w:t>
      </w:r>
      <w:r>
        <w:rPr>
          <w:rFonts w:hint="eastAsia" w:ascii="仿宋" w:hAnsi="仿宋" w:eastAsia="仿宋" w:cs="仿宋"/>
          <w:sz w:val="32"/>
          <w:szCs w:val="32"/>
          <w:lang w:eastAsia="zh-CN"/>
        </w:rPr>
        <w:t>，</w:t>
      </w:r>
      <w:r>
        <w:rPr>
          <w:rFonts w:hint="eastAsia" w:ascii="仿宋" w:hAnsi="仿宋" w:eastAsia="仿宋" w:cs="仿宋"/>
          <w:sz w:val="32"/>
          <w:szCs w:val="32"/>
        </w:rPr>
        <w:t>出台高级康养人才落户政策、住房补贴政策、完善医疗保险等优惠政策，吸引高端康养管理人才。做好康养行政管理、中高层企业管理人员的引进和培养，对康养产业急需的管理人才与专门人才，政府应给予优惠政策、简化手续，解决人才短缺问题，建立旅游人才库，促进人才“引进来”。另一方面</w:t>
      </w:r>
      <w:r>
        <w:rPr>
          <w:rFonts w:hint="eastAsia" w:ascii="仿宋" w:hAnsi="仿宋" w:eastAsia="仿宋" w:cs="仿宋"/>
          <w:sz w:val="32"/>
          <w:szCs w:val="32"/>
          <w:lang w:eastAsia="zh-CN"/>
        </w:rPr>
        <w:t>，</w:t>
      </w:r>
      <w:r>
        <w:rPr>
          <w:rFonts w:hint="eastAsia" w:ascii="仿宋" w:hAnsi="仿宋" w:eastAsia="仿宋" w:cs="仿宋"/>
          <w:sz w:val="32"/>
          <w:szCs w:val="32"/>
        </w:rPr>
        <w:t>通过聘请国内知名康养产业方面的专家、学者作为政府顾问和政府特聘专家</w:t>
      </w:r>
      <w:r>
        <w:rPr>
          <w:rFonts w:hint="eastAsia" w:ascii="仿宋" w:hAnsi="仿宋" w:eastAsia="仿宋" w:cs="仿宋"/>
          <w:sz w:val="32"/>
          <w:szCs w:val="32"/>
          <w:lang w:eastAsia="zh-CN"/>
        </w:rPr>
        <w:t>，</w:t>
      </w:r>
      <w:r>
        <w:rPr>
          <w:rFonts w:hint="eastAsia" w:ascii="仿宋" w:hAnsi="仿宋" w:eastAsia="仿宋" w:cs="仿宋"/>
          <w:sz w:val="32"/>
          <w:szCs w:val="32"/>
        </w:rPr>
        <w:t>参与和支持交城养老产业发展</w:t>
      </w:r>
      <w:r>
        <w:rPr>
          <w:rFonts w:hint="eastAsia" w:ascii="仿宋" w:hAnsi="仿宋" w:eastAsia="仿宋" w:cs="仿宋"/>
          <w:sz w:val="32"/>
          <w:szCs w:val="32"/>
          <w:lang w:eastAsia="zh-CN"/>
        </w:rPr>
        <w:t>，</w:t>
      </w:r>
      <w:r>
        <w:rPr>
          <w:rFonts w:hint="eastAsia" w:ascii="仿宋" w:hAnsi="仿宋" w:eastAsia="仿宋" w:cs="仿宋"/>
          <w:sz w:val="32"/>
          <w:szCs w:val="32"/>
        </w:rPr>
        <w:t>为康养产业发展提供良好智力支撑</w:t>
      </w:r>
      <w:r>
        <w:rPr>
          <w:rFonts w:hint="eastAsia" w:ascii="仿宋" w:hAnsi="仿宋" w:eastAsia="仿宋" w:cs="仿宋"/>
          <w:sz w:val="32"/>
          <w:szCs w:val="32"/>
          <w:lang w:eastAsia="zh-CN"/>
        </w:rPr>
        <w:t>；同时充分发挥社会组织作用，使文艺、体育等民间组织通过人才引进的方式积极参与到康养产业发展，为康养产业发展提供社会人才支持。</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9" w:name="_Toc24817"/>
      <w:r>
        <w:rPr>
          <w:rFonts w:hint="eastAsia"/>
          <w:sz w:val="32"/>
          <w:szCs w:val="32"/>
          <w:lang w:val="en-US" w:eastAsia="zh-CN"/>
        </w:rPr>
        <w:t>（二）培养人才队伍，鼓励人才“走出去”</w:t>
      </w:r>
      <w:bookmarkEnd w:id="1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培养康养旅游创业人才、旅游服务技能人才、旅游企业经营管理人才等队伍建设；建立竞争机制，坚持分配与业绩贡献挂钩，管理人员竞争上岗、多元化的工资分配制度等；有计划的选派旅游人才到康养产业发达国家和地区培训学习，鼓励人才“走出去”；加大区域互送人才力度。加大国企、央企与交城县开展干部双向挂职、任职交流工作的力度。</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20" w:name="_Toc31414"/>
      <w:r>
        <w:rPr>
          <w:rFonts w:hint="eastAsia"/>
          <w:sz w:val="32"/>
          <w:szCs w:val="32"/>
          <w:lang w:val="en-US" w:eastAsia="zh-CN"/>
        </w:rPr>
        <w:t>（三）开展院校扶持，深化校企合作</w:t>
      </w:r>
      <w:bookmarkEnd w:id="2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康养产业涉及的学科范围较广泛，包括林学、医学、环境学、旅游学等各个方面的学科知识，实施“交城县康养人才培训工程”，高等院校和中等职业学校要增设康养服务相关专业和课程</w:t>
      </w:r>
      <w:r>
        <w:rPr>
          <w:rFonts w:hint="eastAsia" w:ascii="仿宋" w:hAnsi="仿宋" w:eastAsia="仿宋" w:cs="仿宋"/>
          <w:sz w:val="32"/>
          <w:szCs w:val="32"/>
          <w:lang w:eastAsia="zh-CN"/>
        </w:rPr>
        <w:t>，</w:t>
      </w:r>
      <w:r>
        <w:rPr>
          <w:rFonts w:hint="eastAsia" w:ascii="仿宋" w:hAnsi="仿宋" w:eastAsia="仿宋" w:cs="仿宋"/>
          <w:sz w:val="32"/>
          <w:szCs w:val="32"/>
        </w:rPr>
        <w:t>对就读中等职业学校康养服务专业的学生免收学费</w:t>
      </w:r>
      <w:r>
        <w:rPr>
          <w:rFonts w:hint="eastAsia" w:ascii="仿宋" w:hAnsi="仿宋" w:eastAsia="仿宋" w:cs="仿宋"/>
          <w:sz w:val="32"/>
          <w:szCs w:val="32"/>
          <w:lang w:eastAsia="zh-CN"/>
        </w:rPr>
        <w:t>，</w:t>
      </w:r>
      <w:r>
        <w:rPr>
          <w:rFonts w:hint="eastAsia" w:ascii="仿宋" w:hAnsi="仿宋" w:eastAsia="仿宋" w:cs="仿宋"/>
          <w:sz w:val="32"/>
          <w:szCs w:val="32"/>
        </w:rPr>
        <w:t>把康养服务技能培训纳入城乡就业培训范围。支持建设人才培育机构</w:t>
      </w:r>
      <w:r>
        <w:rPr>
          <w:rFonts w:hint="eastAsia" w:ascii="仿宋" w:hAnsi="仿宋" w:eastAsia="仿宋" w:cs="仿宋"/>
          <w:sz w:val="32"/>
          <w:szCs w:val="32"/>
          <w:lang w:eastAsia="zh-CN"/>
        </w:rPr>
        <w:t>，</w:t>
      </w:r>
      <w:r>
        <w:rPr>
          <w:rFonts w:hint="eastAsia" w:ascii="仿宋" w:hAnsi="仿宋" w:eastAsia="仿宋" w:cs="仿宋"/>
          <w:sz w:val="32"/>
          <w:szCs w:val="32"/>
        </w:rPr>
        <w:t>建立地区附加津贴时予以政策和资金支持，企业应充分利用当地的教育资源，开设培训课程，为培养高素质人才提供充分条件，支持本地居民、大学生毕业生等通过旅游实现回家自主创业。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27B84"/>
    <w:multiLevelType w:val="singleLevel"/>
    <w:tmpl w:val="67527B84"/>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B73C4"/>
    <w:rsid w:val="4A5B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2021-12-17T07:21:00Z</dcterms:created>
  <dc:creator>蜡笔小新</dc:creator>
  <cp:lastModifiedBy>蜡笔小新</cp:lastModifiedBy>
  <dcterms:modified xsi:type="dcterms:W3CDTF">2021-12-17T07:21:56Z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029BF33A783E45C8A55C66269C69FBBB</vt:lpwstr>
  </property>
</Properties>
</file>