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 w:bidi="ar-SA"/>
        </w:rPr>
        <w:t>第七章 保障措施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Toc7321"/>
      <w:r>
        <w:rPr>
          <w:rFonts w:hint="eastAsia"/>
          <w:sz w:val="32"/>
          <w:szCs w:val="32"/>
          <w:lang w:val="en-US" w:eastAsia="zh-CN"/>
        </w:rPr>
        <w:t>一、加强体制机制保障</w:t>
      </w:r>
      <w:bookmarkEnd w:id="0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1" w:name="_Toc27530"/>
      <w:r>
        <w:rPr>
          <w:rFonts w:hint="eastAsia"/>
          <w:sz w:val="32"/>
          <w:szCs w:val="32"/>
          <w:lang w:val="en-US" w:eastAsia="zh-CN"/>
        </w:rPr>
        <w:t>（一）加强文旅部门组织领导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县委、县政府的统筹领导下，由文化和旅游局主要负责成立县文化旅游产业发展工作委员会，建立文旅发展工作联席会议制度，研究决策和协调解决文旅产业发展中的重大问题，制定相关扶持政策，推动全县文旅产业健康发展。高位推动文旅产业发展，突破管理瓶颈，解决文化和旅游部门在部门协调、资源整合、产业融合等方面困境。定期召开会议，研究重大事项和战略部署，形成决议，有效解决重大问题。把文旅工作纳入政府年度考核体系，并成为主要考核指标，有效推动其他部门主动与文化和旅游行政部门沟通协调工作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2" w:name="_Toc9943"/>
      <w:r>
        <w:rPr>
          <w:rFonts w:hint="eastAsia"/>
          <w:sz w:val="32"/>
          <w:szCs w:val="32"/>
          <w:lang w:val="en-US" w:eastAsia="zh-CN"/>
        </w:rPr>
        <w:t>（二）建立部门协调机制</w:t>
      </w:r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多部门共同参与文旅产业管理与发展的平台与载体，形成多部门“共管、共建、共享”的协调机制和发展合力，提高旅游业综合执法能力。建立健全文化和旅游部门与公安、市场监督局、法院、物价、交通、城管等相关部门联合执法，促进文化和旅游部门与相关监管部门协调配合、各司其职，形成既分工又合作的工作机制。继续做好旅游警察、旅游巡回法庭等旅游联合执法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3" w:name="_Toc27901"/>
      <w:r>
        <w:rPr>
          <w:rFonts w:hint="eastAsia"/>
          <w:sz w:val="32"/>
          <w:szCs w:val="32"/>
          <w:lang w:val="en-US" w:eastAsia="zh-CN"/>
        </w:rPr>
        <w:t>（三）提升综合管理能力</w:t>
      </w:r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化和旅游行政部门综合管理能力持续提升，承担起文旅资源整合与开发、文旅规划与产业促进、文旅监督管理与综合执法、文旅营销推广与形象提升、文旅公共服务与资金管理、文旅数据统计与综合考核等职能。建立社区、居民、游客参与文旅发展和监管的渠道或平台，并形成常态化的参与机制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4" w:name="_Toc8473"/>
      <w:r>
        <w:rPr>
          <w:rFonts w:hint="eastAsia"/>
          <w:sz w:val="32"/>
          <w:szCs w:val="32"/>
          <w:lang w:val="en-US" w:eastAsia="zh-CN"/>
        </w:rPr>
        <w:t>二、完善政策保障</w:t>
      </w:r>
      <w:bookmarkEnd w:id="4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5" w:name="_Toc23673"/>
      <w:r>
        <w:rPr>
          <w:rFonts w:hint="eastAsia"/>
          <w:sz w:val="32"/>
          <w:szCs w:val="32"/>
          <w:lang w:val="en-US" w:eastAsia="zh-CN"/>
        </w:rPr>
        <w:t>（一）资金政策保障</w:t>
      </w:r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立文化旅游发展专项资金，为文化和旅游业发展提供启动资金、引导资金，重点支持产业促进、前期研究和文旅营销等类型项目；改进和创新文化产业以及旅游发展专项资金投入方式，切实发挥财政资金对文化旅游资源开发和产品建设的引导带动作用；各类相关文化专项资金和旅游专项资金，要向文化旅游融合发展项目倾斜统筹各部门资金用于发展文旅产业，特别是乡村旅游以及文化旅游公共类项目，优先安排政府贷款贴息政策，并付诸实施；通过政府贷款贴息撬动社会资本，重点扶持中小企业的发展，支持旅游大众创新创业。组织召开银企对接会，鼓励各商业银行对参加改革创新的旅游景区（景点）进行融资倾斜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6" w:name="_Toc16323"/>
      <w:r>
        <w:rPr>
          <w:rFonts w:hint="eastAsia"/>
          <w:sz w:val="32"/>
          <w:szCs w:val="32"/>
          <w:lang w:val="en-US" w:eastAsia="zh-CN"/>
        </w:rPr>
        <w:t>（二）土地保障政策</w:t>
      </w:r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障文化和旅游产业发展用地新增建设用地指标，在年度用地计划中优先支持旅游项目用地的，突破旅游业用地制约。根据具体情况出台旅游用地支持政策或意见，盘活工矿企业存量用地、农村存量用地，提高土地利用效率，将低效地进行旅游利用，对其它产业用地进行旅游化综合利用。依法解决存在纠纷的土地权属问题，为文旅用地扫清障碍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7" w:name="_Toc16133"/>
      <w:r>
        <w:rPr>
          <w:rFonts w:hint="eastAsia"/>
          <w:sz w:val="32"/>
          <w:szCs w:val="32"/>
          <w:lang w:val="en-US" w:eastAsia="zh-CN"/>
        </w:rPr>
        <w:t>（三）市场保障政策</w:t>
      </w:r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放宽市场准入，鼓励和支持各类所有制经营主体参与文化旅游开发建设。支持开放招商，鼓励引导社会资本以投资、参股、控股、并购等方式参与文化旅游产品开发和项目建设，进入文化旅游演出市场。制定旅游消费鼓励政策，对达到旅游消费额度的旅游企业进行资金奖励，制定旅行社带客政策补贴政策；制定旅游发展奖励补助政策，制定重要领域的奖励政策，对已有的创建业绩进行奖励，同时引导旅游发展方向。制定重点项目建设奖励办法；对列入国家、省市重点项目进行奖励；对重大项目年度完成率60%以上的进行奖励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8" w:name="_Toc29904"/>
      <w:r>
        <w:rPr>
          <w:rFonts w:hint="eastAsia"/>
          <w:sz w:val="32"/>
          <w:szCs w:val="32"/>
          <w:lang w:val="en-US" w:eastAsia="zh-CN"/>
        </w:rPr>
        <w:t>（四）强化金融服务</w:t>
      </w:r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拓宽文化旅游产业融资渠道，鼓励建立“全产业链”的金融服务体系。重点加大对文化旅游融合发展示范项目、重点旅游项目、小微文化旅游企业的信贷投放。对信用状况良好的文化旅游企业，鼓励银行业金融机构加大信贷资金支持。推动金融机构设立文化产业服务部门，针对文化旅游业特点创新信贷产品，运用知识产权质押贷款等多种方式，支持文化旅游企业创新发展，积极拓宽文化旅游企业的直接融资渠道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9" w:name="_Toc27623"/>
      <w:r>
        <w:rPr>
          <w:rFonts w:hint="eastAsia"/>
          <w:sz w:val="32"/>
          <w:szCs w:val="32"/>
          <w:lang w:val="en-US" w:eastAsia="zh-CN"/>
        </w:rPr>
        <w:t>三、强化安全保障</w:t>
      </w:r>
      <w:bookmarkEnd w:id="9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10" w:name="_Toc25517"/>
      <w:r>
        <w:rPr>
          <w:rFonts w:hint="eastAsia"/>
          <w:sz w:val="32"/>
          <w:szCs w:val="32"/>
          <w:lang w:val="en-US" w:eastAsia="zh-CN"/>
        </w:rPr>
        <w:t>（一）安全保障制度建设</w:t>
      </w:r>
      <w:bookmarkEnd w:id="1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旅游应急预案体系，对可能潜在的各类旅游突发公共事件建立应急预案，并明确事前、事发、事中、事后的各个过程中相关部门和有关人员的职责，形成交通事故、治安事故、火灾事故、食物中毒、地震应急、水灾避险六类处置预案，并根据预案方案，每年进行至少一次的演练，确保一旦事故发生，能迅速做出反应和补救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11" w:name="_Toc12776"/>
      <w:r>
        <w:rPr>
          <w:rFonts w:hint="eastAsia"/>
          <w:sz w:val="32"/>
          <w:szCs w:val="32"/>
          <w:lang w:val="en-US" w:eastAsia="zh-CN"/>
        </w:rPr>
        <w:t>（二）加强旅游风险管控</w:t>
      </w:r>
      <w:bookmarkEnd w:id="1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于可能潜在的各种安全风险，需及时通过智慧平台传递给游客，通过广播、互联网、微信、手机短信等多种渠道发布预警信息。加强对旅游企业的监管，保证旅游企业规范经营，保证旅游企业有健全的安全管理制度并有效执行。对特种旅游设施设备应加强监管和定期检测，防止意外情况发生；旅游节庆活动期间，加强治安巡逻和安全监管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12" w:name="_Toc126"/>
      <w:r>
        <w:rPr>
          <w:rFonts w:hint="eastAsia"/>
          <w:sz w:val="32"/>
          <w:szCs w:val="32"/>
          <w:lang w:val="en-US" w:eastAsia="zh-CN"/>
        </w:rPr>
        <w:t>（三）建立旅游救援体系</w:t>
      </w:r>
      <w:bookmarkEnd w:id="1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建立旅游救援体系，与当地的安全部门、医疗部门、消防部门合作，建立较完善的救援体系。建立旅游保险制度，确保保险产品种类丰富、覆盖全面并能有效执行。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13" w:name="_Toc6937"/>
      <w:r>
        <w:rPr>
          <w:rFonts w:hint="eastAsia"/>
          <w:sz w:val="32"/>
          <w:szCs w:val="32"/>
          <w:lang w:val="en-US" w:eastAsia="zh-CN"/>
        </w:rPr>
        <w:t>四、加强生态环境保护建设</w:t>
      </w:r>
      <w:bookmarkEnd w:id="13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14" w:name="_Toc24995"/>
      <w:r>
        <w:rPr>
          <w:rFonts w:hint="eastAsia"/>
          <w:sz w:val="32"/>
          <w:szCs w:val="32"/>
          <w:lang w:val="en-US" w:eastAsia="zh-CN"/>
        </w:rPr>
        <w:t>（一）保护植被环境</w:t>
      </w:r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护重点景区及其外围的植被环境，实行封山育林，特别是对陡坡、险坡、山背、沟壑地的植物群落实行封育保护。改造整治林相对较差的植被环境，树种类型与区域内的现状植被相协调，绿化打造力求季相分明，注重景观价值的提高。严格森林防火制度，设置生物防火带，配防火设备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15" w:name="_Toc3742"/>
      <w:r>
        <w:rPr>
          <w:rFonts w:hint="eastAsia"/>
          <w:sz w:val="32"/>
          <w:szCs w:val="32"/>
          <w:lang w:val="en-US" w:eastAsia="zh-CN"/>
        </w:rPr>
        <w:t>（二）加强水污染防治</w:t>
      </w:r>
      <w:bookmarkEnd w:id="1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将水污染防治纳入城市国土空间总体规划，不断完善下水道系统，并予以规划、建设和运行维护。新建区域应采用雨水、污水分流制，加快城市污水处理厂的建设。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16" w:name="_Toc31445"/>
      <w:r>
        <w:rPr>
          <w:rFonts w:hint="eastAsia"/>
          <w:sz w:val="32"/>
          <w:szCs w:val="32"/>
          <w:lang w:val="en-US" w:eastAsia="zh-CN"/>
        </w:rPr>
        <w:t>（三）监测生态环境质量</w:t>
      </w:r>
      <w:bookmarkEnd w:id="1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在各功能区定点定期进行环境质量监测，并建立环境质量档案。重点监测各水库、河道的水质、水土环境。全县重点景区空气质量与全县环保监测数据共享，在城市和景区主要进出口显示。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17" w:name="_Toc15853"/>
      <w:r>
        <w:rPr>
          <w:rFonts w:hint="eastAsia"/>
          <w:sz w:val="32"/>
          <w:szCs w:val="32"/>
          <w:lang w:val="en-US" w:eastAsia="zh-CN"/>
        </w:rPr>
        <w:t>五、加强人才队伍建设</w:t>
      </w:r>
      <w:bookmarkEnd w:id="17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18" w:name="_Toc31199"/>
      <w:r>
        <w:rPr>
          <w:rFonts w:hint="eastAsia"/>
          <w:sz w:val="32"/>
          <w:szCs w:val="32"/>
          <w:lang w:val="en-US" w:eastAsia="zh-CN"/>
        </w:rPr>
        <w:t>（一）建立发展专家智库</w:t>
      </w:r>
      <w:bookmarkEnd w:id="1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建立文化和旅游产业发展专家智库，提高地方文化旅游业发展的专业化水平，争取智库专家达到5人以上，常态化开展活动，并记录相关活动内容纪要，尽量取得良好的咨询服务效果。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19" w:name="_Toc8457"/>
      <w:r>
        <w:rPr>
          <w:rFonts w:hint="eastAsia"/>
          <w:sz w:val="32"/>
          <w:szCs w:val="32"/>
          <w:lang w:val="en-US" w:eastAsia="zh-CN"/>
        </w:rPr>
        <w:t>（二）引进相关专业人</w:t>
      </w:r>
      <w:bookmarkStart w:id="22" w:name="_GoBack"/>
      <w:bookmarkEnd w:id="22"/>
      <w:r>
        <w:rPr>
          <w:rFonts w:hint="eastAsia"/>
          <w:sz w:val="32"/>
          <w:szCs w:val="32"/>
          <w:lang w:val="en-US" w:eastAsia="zh-CN"/>
        </w:rPr>
        <w:t>才</w:t>
      </w:r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进专业人才或专家短期工作，或开展人才交流、交换、挂职等交流活动。通过柔性用人制度引进专业人才或专家短期工作3人次/年；开展人才交流、交换、挂职等交流活动2人次/年，或直接引进旅游硕士以上人才1人次/年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20" w:name="_Toc6782"/>
      <w:r>
        <w:rPr>
          <w:rFonts w:hint="eastAsia"/>
          <w:sz w:val="32"/>
          <w:szCs w:val="32"/>
          <w:lang w:val="en-US" w:eastAsia="zh-CN"/>
        </w:rPr>
        <w:t>（三）定期开展相关培训</w:t>
      </w:r>
      <w:bookmarkEnd w:id="2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开展校企人才联合培养，建立文化和旅游人才培训基地。经常性开展培训活动、经验交流和研讨会，轮训乡村旅游骨干。强化本地干部和一线从业人员的培训，提高一线从业人员的素质。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21" w:name="_Toc8567"/>
      <w:r>
        <w:rPr>
          <w:rFonts w:hint="eastAsia"/>
          <w:sz w:val="32"/>
          <w:szCs w:val="32"/>
          <w:lang w:val="en-US" w:eastAsia="zh-CN"/>
        </w:rPr>
        <w:t>（四）设立旅游奖励机制</w:t>
      </w:r>
      <w:bookmarkEnd w:id="2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人才的奖励机制方面设立具体举措，建立以政府奖励为导向、用人单位和社会力量奖励为主体的人才奖励机制，出台人才考核奖励办法，建立稳定长效的奖励机制，定期对在经济社会发展中作出突出贡献的各类人才给予奖励。</w:t>
      </w:r>
    </w:p>
    <w:p>
      <w:pPr>
        <w:bidi w:val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A0F42"/>
    <w:rsid w:val="704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80" w:lineRule="auto"/>
      <w:ind w:firstLine="0" w:firstLineChars="0"/>
      <w:jc w:val="lef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left"/>
      <w:outlineLvl w:val="1"/>
    </w:pPr>
    <w:rPr>
      <w:rFonts w:ascii="Arial" w:hAnsi="Arial" w:eastAsia="楷体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2021-12-17T07:07:00Z</dcterms:created>
  <dc:creator>蜡笔小新</dc:creator>
  <cp:lastModifiedBy>蜡笔小新</cp:lastModifiedBy>
  <dcterms:modified xsi:type="dcterms:W3CDTF">2021-12-17T07:08:29Z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253AFB1F405447B4B5A31FBC1FC9B267</vt:lpwstr>
  </property>
</Properties>
</file>