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B331D">
      <w:pPr>
        <w:autoSpaceDE w:val="0"/>
        <w:autoSpaceDN w:val="0"/>
        <w:adjustRightInd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14:paraId="288EEC74">
      <w:pPr>
        <w:pStyle w:val="8"/>
        <w:ind w:left="0" w:leftChars="0" w:firstLine="0" w:firstLineChars="0"/>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县级火灾事故应急指挥机构及职责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528"/>
        <w:gridCol w:w="9796"/>
      </w:tblGrid>
      <w:tr w14:paraId="3942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160" w:type="dxa"/>
            <w:gridSpan w:val="2"/>
            <w:vAlign w:val="center"/>
          </w:tcPr>
          <w:p w14:paraId="0EBD360F">
            <w:pPr>
              <w:widowControl/>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指挥机构组成</w:t>
            </w:r>
          </w:p>
        </w:tc>
        <w:tc>
          <w:tcPr>
            <w:tcW w:w="9796" w:type="dxa"/>
            <w:vAlign w:val="center"/>
          </w:tcPr>
          <w:p w14:paraId="1B620FAA">
            <w:pPr>
              <w:widowControl/>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   要   职   责</w:t>
            </w:r>
          </w:p>
        </w:tc>
      </w:tr>
      <w:tr w14:paraId="6677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14:paraId="312B05DD">
            <w:pPr>
              <w:spacing w:line="500" w:lineRule="exact"/>
              <w:jc w:val="center"/>
              <w:rPr>
                <w:rFonts w:hint="eastAsia" w:ascii="仿宋" w:hAnsi="仿宋" w:eastAsia="仿宋" w:cs="仿宋"/>
                <w:sz w:val="24"/>
                <w:szCs w:val="24"/>
                <w:lang w:val="zh-CN"/>
              </w:rPr>
            </w:pPr>
            <w:r>
              <w:rPr>
                <w:rFonts w:hint="eastAsia" w:ascii="仿宋" w:hAnsi="仿宋" w:eastAsia="仿宋" w:cs="仿宋"/>
                <w:color w:val="000000"/>
                <w:kern w:val="0"/>
                <w:sz w:val="24"/>
                <w:szCs w:val="24"/>
              </w:rPr>
              <w:t>指挥长</w:t>
            </w:r>
          </w:p>
        </w:tc>
        <w:tc>
          <w:tcPr>
            <w:tcW w:w="2528" w:type="dxa"/>
            <w:vAlign w:val="center"/>
          </w:tcPr>
          <w:p w14:paraId="66AA0B4B">
            <w:pPr>
              <w:widowControl/>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县政府</w:t>
            </w:r>
          </w:p>
          <w:p w14:paraId="7979519C">
            <w:pPr>
              <w:spacing w:line="320" w:lineRule="exact"/>
              <w:jc w:val="center"/>
              <w:rPr>
                <w:rFonts w:hint="eastAsia" w:ascii="仿宋" w:hAnsi="仿宋" w:eastAsia="仿宋" w:cs="仿宋"/>
                <w:sz w:val="24"/>
                <w:szCs w:val="24"/>
                <w:lang w:val="zh-CN"/>
              </w:rPr>
            </w:pPr>
            <w:r>
              <w:rPr>
                <w:rFonts w:hint="eastAsia" w:ascii="仿宋" w:hAnsi="仿宋" w:eastAsia="仿宋" w:cs="仿宋"/>
                <w:color w:val="000000"/>
                <w:kern w:val="0"/>
                <w:sz w:val="24"/>
                <w:szCs w:val="24"/>
              </w:rPr>
              <w:t>分管副县长</w:t>
            </w:r>
          </w:p>
        </w:tc>
        <w:tc>
          <w:tcPr>
            <w:tcW w:w="9796" w:type="dxa"/>
            <w:vMerge w:val="restart"/>
            <w:vAlign w:val="center"/>
          </w:tcPr>
          <w:p w14:paraId="6DFBD9F4">
            <w:pPr>
              <w:tabs>
                <w:tab w:val="left" w:pos="742"/>
              </w:tabs>
              <w:spacing w:line="500" w:lineRule="exact"/>
              <w:ind w:firstLine="472" w:firstLineChars="196"/>
              <w:jc w:val="left"/>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县指挥部主要职责</w:t>
            </w:r>
            <w:r>
              <w:rPr>
                <w:rStyle w:val="9"/>
                <w:rFonts w:hint="eastAsia" w:ascii="仿宋" w:hAnsi="仿宋" w:eastAsia="仿宋" w:cs="仿宋"/>
                <w:sz w:val="24"/>
                <w:szCs w:val="24"/>
              </w:rPr>
              <w:t>：</w:t>
            </w:r>
            <w:r>
              <w:rPr>
                <w:rStyle w:val="10"/>
                <w:rFonts w:hint="eastAsia" w:ascii="仿宋" w:hAnsi="仿宋" w:eastAsia="仿宋" w:cs="仿宋"/>
                <w:sz w:val="24"/>
                <w:szCs w:val="24"/>
              </w:rPr>
              <w:t>贯彻落实党中央、国务院及省委、省、市、</w:t>
            </w:r>
            <w:bookmarkStart w:id="0" w:name="_GoBack"/>
            <w:bookmarkEnd w:id="0"/>
            <w:r>
              <w:rPr>
                <w:rStyle w:val="10"/>
                <w:rFonts w:hint="eastAsia" w:ascii="仿宋" w:hAnsi="仿宋" w:eastAsia="仿宋" w:cs="仿宋"/>
                <w:sz w:val="24"/>
                <w:szCs w:val="24"/>
                <w:lang w:eastAsia="zh-CN"/>
              </w:rPr>
              <w:t>县委县政府</w:t>
            </w:r>
            <w:r>
              <w:rPr>
                <w:rStyle w:val="10"/>
                <w:rFonts w:hint="eastAsia" w:ascii="仿宋" w:hAnsi="仿宋" w:eastAsia="仿宋" w:cs="仿宋"/>
                <w:sz w:val="24"/>
                <w:szCs w:val="24"/>
              </w:rPr>
              <w:t>关于消防安全工作的决策部署，统筹协调全县火灾风险防控和隐患排查治理工作，决定县级层面应急响应等级并组织落实响应措施，组织指挥火灾事故应急处置工作，指导一般火灾事故调查评估和善后处置工作，落实县委、县政府及县应急救援总指挥部交办的火灾事故应急处置的其他重大事项。</w:t>
            </w:r>
          </w:p>
          <w:p w14:paraId="336F8A7F">
            <w:pPr>
              <w:tabs>
                <w:tab w:val="left" w:pos="742"/>
              </w:tabs>
              <w:spacing w:line="500" w:lineRule="exact"/>
              <w:jc w:val="left"/>
              <w:rPr>
                <w:rStyle w:val="10"/>
                <w:rFonts w:hint="eastAsia" w:ascii="仿宋" w:hAnsi="仿宋" w:eastAsia="仿宋" w:cs="仿宋"/>
                <w:sz w:val="24"/>
                <w:szCs w:val="24"/>
              </w:rPr>
            </w:pPr>
          </w:p>
          <w:p w14:paraId="58AB094B">
            <w:pPr>
              <w:tabs>
                <w:tab w:val="left" w:pos="742"/>
              </w:tabs>
              <w:spacing w:line="500" w:lineRule="exact"/>
              <w:ind w:firstLine="472" w:firstLineChars="196"/>
              <w:jc w:val="left"/>
              <w:rPr>
                <w:rFonts w:hint="eastAsia" w:ascii="仿宋" w:hAnsi="仿宋" w:eastAsia="仿宋" w:cs="仿宋"/>
                <w:sz w:val="24"/>
                <w:szCs w:val="24"/>
                <w:lang w:val="zh-CN"/>
              </w:rPr>
            </w:pPr>
            <w:r>
              <w:rPr>
                <w:rFonts w:hint="eastAsia" w:ascii="仿宋" w:hAnsi="仿宋" w:eastAsia="仿宋" w:cs="仿宋"/>
                <w:b/>
                <w:bCs/>
                <w:kern w:val="0"/>
                <w:sz w:val="24"/>
                <w:szCs w:val="24"/>
              </w:rPr>
              <w:t>县指挥部办公室主要职责：</w:t>
            </w:r>
            <w:r>
              <w:rPr>
                <w:rFonts w:hint="eastAsia" w:ascii="仿宋" w:hAnsi="仿宋" w:eastAsia="仿宋" w:cs="仿宋"/>
                <w:kern w:val="0"/>
                <w:sz w:val="24"/>
                <w:szCs w:val="24"/>
              </w:rPr>
              <w:t>承担火灾事故应急指挥部日常工作，制定、修订火灾事故专项应急预案，组织火灾风险防控和</w:t>
            </w:r>
            <w:r>
              <w:rPr>
                <w:rStyle w:val="10"/>
                <w:rFonts w:hint="eastAsia" w:ascii="仿宋" w:hAnsi="仿宋" w:eastAsia="仿宋" w:cs="仿宋"/>
                <w:sz w:val="24"/>
                <w:szCs w:val="24"/>
              </w:rPr>
              <w:t>隐患排查治理</w:t>
            </w:r>
            <w:r>
              <w:rPr>
                <w:rFonts w:hint="eastAsia" w:ascii="仿宋" w:hAnsi="仿宋" w:eastAsia="仿宋" w:cs="仿宋"/>
                <w:kern w:val="0"/>
                <w:sz w:val="24"/>
                <w:szCs w:val="24"/>
              </w:rPr>
              <w:t>工作，开展桌面推演、实战演练等灭火救援专项训练，协调各方面力量参加火灾事故灭火救援行动，协助县委、县政府指定的负责同志组织火灾事故应急处置工作，配合做好火灾事故调查评估和善后处置工作，报告和发布一般火灾事故信息，指导事发地乡镇做好火灾事故应对等工作。</w:t>
            </w:r>
          </w:p>
        </w:tc>
      </w:tr>
      <w:tr w14:paraId="0D99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32" w:type="dxa"/>
            <w:vMerge w:val="restart"/>
            <w:vAlign w:val="center"/>
          </w:tcPr>
          <w:p w14:paraId="1F1F5219">
            <w:pPr>
              <w:jc w:val="center"/>
              <w:rPr>
                <w:rFonts w:hint="eastAsia" w:ascii="仿宋" w:hAnsi="仿宋" w:eastAsia="仿宋" w:cs="仿宋"/>
                <w:sz w:val="24"/>
                <w:szCs w:val="24"/>
                <w:lang w:val="zh-CN"/>
              </w:rPr>
            </w:pPr>
            <w:r>
              <w:rPr>
                <w:rFonts w:hint="eastAsia" w:ascii="黑体" w:hAnsi="黑体" w:eastAsia="黑体" w:cs="黑体"/>
                <w:sz w:val="32"/>
                <w:szCs w:val="32"/>
              </w:rPr>
              <mc:AlternateContent>
                <mc:Choice Requires="wps">
                  <w:drawing>
                    <wp:anchor distT="0" distB="0" distL="114300" distR="114300" simplePos="0" relativeHeight="251659264" behindDoc="1" locked="0" layoutInCell="1" allowOverlap="1">
                      <wp:simplePos x="0" y="0"/>
                      <wp:positionH relativeFrom="column">
                        <wp:posOffset>-4275455</wp:posOffset>
                      </wp:positionH>
                      <wp:positionV relativeFrom="paragraph">
                        <wp:posOffset>2722880</wp:posOffset>
                      </wp:positionV>
                      <wp:extent cx="3835400" cy="792480"/>
                      <wp:effectExtent l="0" t="0" r="12700" b="7620"/>
                      <wp:wrapNone/>
                      <wp:docPr id="3" name="文本框 3"/>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14:paraId="7D5B9DC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- 15 -</w:t>
                                  </w:r>
                                </w:p>
                              </w:txbxContent>
                            </wps:txbx>
                            <wps:bodyPr vert="eaVert" upright="1"/>
                          </wps:wsp>
                        </a:graphicData>
                      </a:graphic>
                    </wp:anchor>
                  </w:drawing>
                </mc:Choice>
                <mc:Fallback>
                  <w:pict>
                    <v:shape id="_x0000_s1026" o:spid="_x0000_s1026" o:spt="202" type="#_x0000_t202" style="position:absolute;left:0pt;margin-left:-336.65pt;margin-top:214.4pt;height:62.4pt;width:302pt;z-index:-251657216;mso-width-relative:page;mso-height-relative:page;" fillcolor="#FFFFFF" filled="t" stroked="f" coordsize="21600,21600" o:gfxdata="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AdETcAAAADAEAAA8AAAAAAAAAAQAgAAAA&#10;IgAAAGRycy9kb3ducmV2LnhtbFBLAQIUABQAAAAIAIdO4kDPT64bBwIAABYEAAAOAAAAAAAAAAEA&#10;IAAAACs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D5B9DC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- 15 -</w:t>
                            </w:r>
                          </w:p>
                        </w:txbxContent>
                      </v:textbox>
                    </v:shape>
                  </w:pict>
                </mc:Fallback>
              </mc:AlternateContent>
            </w:r>
            <w:r>
              <w:rPr>
                <w:rFonts w:hint="eastAsia" w:ascii="仿宋" w:hAnsi="仿宋" w:eastAsia="仿宋" w:cs="仿宋"/>
                <w:color w:val="000000"/>
                <w:kern w:val="0"/>
                <w:sz w:val="24"/>
                <w:szCs w:val="24"/>
              </w:rPr>
              <w:t>副指挥长</w:t>
            </w:r>
          </w:p>
        </w:tc>
        <w:tc>
          <w:tcPr>
            <w:tcW w:w="2528" w:type="dxa"/>
            <w:vAlign w:val="center"/>
          </w:tcPr>
          <w:p w14:paraId="758184FE">
            <w:pPr>
              <w:widowControl/>
              <w:spacing w:line="320" w:lineRule="exact"/>
              <w:jc w:val="center"/>
              <w:textAlignment w:val="center"/>
              <w:rPr>
                <w:rFonts w:hint="eastAsia" w:ascii="仿宋" w:hAnsi="仿宋" w:eastAsia="仿宋" w:cs="仿宋"/>
                <w:sz w:val="24"/>
                <w:szCs w:val="24"/>
                <w:lang w:val="zh-CN"/>
              </w:rPr>
            </w:pPr>
            <w:r>
              <w:rPr>
                <w:rFonts w:hint="eastAsia" w:ascii="仿宋" w:hAnsi="仿宋" w:eastAsia="仿宋" w:cs="仿宋"/>
                <w:color w:val="000000"/>
                <w:kern w:val="0"/>
                <w:sz w:val="24"/>
                <w:szCs w:val="24"/>
              </w:rPr>
              <w:t>县政府</w:t>
            </w:r>
            <w:r>
              <w:rPr>
                <w:rFonts w:hint="eastAsia" w:ascii="仿宋" w:hAnsi="仿宋" w:eastAsia="仿宋" w:cs="仿宋"/>
                <w:color w:val="000000"/>
                <w:kern w:val="0"/>
                <w:sz w:val="24"/>
                <w:szCs w:val="24"/>
                <w:lang w:eastAsia="zh-CN"/>
              </w:rPr>
              <w:t>办</w:t>
            </w:r>
            <w:r>
              <w:rPr>
                <w:rFonts w:hint="eastAsia" w:ascii="仿宋" w:hAnsi="仿宋" w:eastAsia="仿宋" w:cs="仿宋"/>
                <w:color w:val="000000"/>
                <w:kern w:val="0"/>
                <w:sz w:val="24"/>
                <w:szCs w:val="24"/>
              </w:rPr>
              <w:t>副主任</w:t>
            </w:r>
          </w:p>
        </w:tc>
        <w:tc>
          <w:tcPr>
            <w:tcW w:w="9796" w:type="dxa"/>
            <w:vMerge w:val="continue"/>
            <w:vAlign w:val="center"/>
          </w:tcPr>
          <w:p w14:paraId="50DEE1C1">
            <w:pPr>
              <w:jc w:val="center"/>
              <w:rPr>
                <w:rFonts w:hint="eastAsia" w:ascii="仿宋" w:hAnsi="仿宋" w:eastAsia="仿宋" w:cs="仿宋"/>
                <w:sz w:val="24"/>
                <w:szCs w:val="24"/>
                <w:lang w:val="zh-CN"/>
              </w:rPr>
            </w:pPr>
          </w:p>
        </w:tc>
      </w:tr>
      <w:tr w14:paraId="4948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2" w:type="dxa"/>
            <w:vMerge w:val="continue"/>
            <w:vAlign w:val="center"/>
          </w:tcPr>
          <w:p w14:paraId="24EDBBC8">
            <w:pPr>
              <w:jc w:val="center"/>
              <w:rPr>
                <w:rFonts w:hint="eastAsia" w:ascii="仿宋" w:hAnsi="仿宋" w:eastAsia="仿宋" w:cs="仿宋"/>
                <w:sz w:val="24"/>
                <w:szCs w:val="24"/>
                <w:lang w:val="zh-CN"/>
              </w:rPr>
            </w:pPr>
          </w:p>
        </w:tc>
        <w:tc>
          <w:tcPr>
            <w:tcW w:w="2528" w:type="dxa"/>
            <w:vAlign w:val="center"/>
          </w:tcPr>
          <w:p w14:paraId="279171AE">
            <w:pPr>
              <w:widowControl/>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县应急管理局</w:t>
            </w:r>
          </w:p>
          <w:p w14:paraId="2CB1400A">
            <w:pPr>
              <w:spacing w:line="320" w:lineRule="exact"/>
              <w:jc w:val="center"/>
              <w:rPr>
                <w:rFonts w:hint="eastAsia" w:ascii="仿宋" w:hAnsi="仿宋" w:eastAsia="仿宋" w:cs="仿宋"/>
                <w:sz w:val="24"/>
                <w:szCs w:val="24"/>
                <w:lang w:val="zh-CN"/>
              </w:rPr>
            </w:pPr>
            <w:r>
              <w:rPr>
                <w:rFonts w:hint="eastAsia" w:ascii="仿宋" w:hAnsi="仿宋" w:eastAsia="仿宋" w:cs="仿宋"/>
                <w:color w:val="000000"/>
                <w:kern w:val="0"/>
                <w:sz w:val="24"/>
                <w:szCs w:val="24"/>
              </w:rPr>
              <w:t>主要负责人</w:t>
            </w:r>
          </w:p>
        </w:tc>
        <w:tc>
          <w:tcPr>
            <w:tcW w:w="9796" w:type="dxa"/>
            <w:vMerge w:val="continue"/>
            <w:vAlign w:val="center"/>
          </w:tcPr>
          <w:p w14:paraId="44E894B0">
            <w:pPr>
              <w:jc w:val="center"/>
              <w:rPr>
                <w:rFonts w:hint="eastAsia" w:ascii="仿宋" w:hAnsi="仿宋" w:eastAsia="仿宋" w:cs="仿宋"/>
                <w:sz w:val="24"/>
                <w:szCs w:val="24"/>
                <w:lang w:val="zh-CN"/>
              </w:rPr>
            </w:pPr>
          </w:p>
        </w:tc>
      </w:tr>
      <w:tr w14:paraId="6B81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32" w:type="dxa"/>
            <w:vMerge w:val="continue"/>
            <w:vAlign w:val="center"/>
          </w:tcPr>
          <w:p w14:paraId="6AF059BC">
            <w:pPr>
              <w:jc w:val="center"/>
              <w:rPr>
                <w:rFonts w:hint="eastAsia" w:ascii="仿宋" w:hAnsi="仿宋" w:eastAsia="仿宋" w:cs="仿宋"/>
                <w:sz w:val="24"/>
                <w:szCs w:val="24"/>
                <w:lang w:val="zh-CN"/>
              </w:rPr>
            </w:pPr>
          </w:p>
        </w:tc>
        <w:tc>
          <w:tcPr>
            <w:tcW w:w="2528" w:type="dxa"/>
            <w:vAlign w:val="center"/>
          </w:tcPr>
          <w:p w14:paraId="45EEB5BB">
            <w:pPr>
              <w:widowControl/>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县住建局</w:t>
            </w:r>
          </w:p>
          <w:p w14:paraId="1E5A27DE">
            <w:pPr>
              <w:spacing w:line="320" w:lineRule="exact"/>
              <w:jc w:val="center"/>
              <w:rPr>
                <w:rFonts w:hint="eastAsia" w:ascii="仿宋" w:hAnsi="仿宋" w:eastAsia="仿宋" w:cs="仿宋"/>
                <w:sz w:val="24"/>
                <w:szCs w:val="24"/>
                <w:lang w:val="zh-CN"/>
              </w:rPr>
            </w:pPr>
            <w:r>
              <w:rPr>
                <w:rFonts w:hint="eastAsia" w:ascii="仿宋" w:hAnsi="仿宋" w:eastAsia="仿宋" w:cs="仿宋"/>
                <w:color w:val="000000"/>
                <w:kern w:val="0"/>
                <w:sz w:val="24"/>
                <w:szCs w:val="24"/>
              </w:rPr>
              <w:t>主要负责人</w:t>
            </w:r>
          </w:p>
        </w:tc>
        <w:tc>
          <w:tcPr>
            <w:tcW w:w="9796" w:type="dxa"/>
            <w:vMerge w:val="continue"/>
            <w:vAlign w:val="center"/>
          </w:tcPr>
          <w:p w14:paraId="711577BB">
            <w:pPr>
              <w:jc w:val="center"/>
              <w:rPr>
                <w:rFonts w:hint="eastAsia" w:ascii="仿宋" w:hAnsi="仿宋" w:eastAsia="仿宋" w:cs="仿宋"/>
                <w:sz w:val="24"/>
                <w:szCs w:val="24"/>
                <w:lang w:val="zh-CN"/>
              </w:rPr>
            </w:pPr>
          </w:p>
        </w:tc>
      </w:tr>
      <w:tr w14:paraId="5FA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32" w:type="dxa"/>
            <w:vMerge w:val="continue"/>
            <w:vAlign w:val="center"/>
          </w:tcPr>
          <w:p w14:paraId="014A195E">
            <w:pPr>
              <w:jc w:val="center"/>
              <w:rPr>
                <w:rFonts w:hint="eastAsia" w:ascii="仿宋" w:hAnsi="仿宋" w:eastAsia="仿宋" w:cs="仿宋"/>
                <w:sz w:val="24"/>
                <w:szCs w:val="24"/>
                <w:lang w:val="zh-CN"/>
              </w:rPr>
            </w:pPr>
          </w:p>
        </w:tc>
        <w:tc>
          <w:tcPr>
            <w:tcW w:w="2528" w:type="dxa"/>
            <w:vAlign w:val="center"/>
          </w:tcPr>
          <w:p w14:paraId="73B94B95">
            <w:pPr>
              <w:widowControl/>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县公安局</w:t>
            </w:r>
          </w:p>
          <w:p w14:paraId="44601E8F">
            <w:pPr>
              <w:spacing w:line="320" w:lineRule="exact"/>
              <w:jc w:val="center"/>
              <w:rPr>
                <w:rFonts w:hint="eastAsia" w:ascii="仿宋" w:hAnsi="仿宋" w:eastAsia="仿宋" w:cs="仿宋"/>
                <w:sz w:val="24"/>
                <w:szCs w:val="24"/>
                <w:lang w:val="zh-CN"/>
              </w:rPr>
            </w:pPr>
            <w:r>
              <w:rPr>
                <w:rFonts w:hint="eastAsia" w:ascii="仿宋" w:hAnsi="仿宋" w:eastAsia="仿宋" w:cs="仿宋"/>
                <w:color w:val="000000"/>
                <w:kern w:val="0"/>
                <w:sz w:val="24"/>
                <w:szCs w:val="24"/>
              </w:rPr>
              <w:t>副局长</w:t>
            </w:r>
          </w:p>
        </w:tc>
        <w:tc>
          <w:tcPr>
            <w:tcW w:w="9796" w:type="dxa"/>
            <w:vMerge w:val="continue"/>
            <w:vAlign w:val="center"/>
          </w:tcPr>
          <w:p w14:paraId="5060E0DC">
            <w:pPr>
              <w:jc w:val="center"/>
              <w:rPr>
                <w:rFonts w:hint="eastAsia" w:ascii="仿宋" w:hAnsi="仿宋" w:eastAsia="仿宋" w:cs="仿宋"/>
                <w:sz w:val="24"/>
                <w:szCs w:val="24"/>
                <w:lang w:val="zh-CN"/>
              </w:rPr>
            </w:pPr>
          </w:p>
        </w:tc>
      </w:tr>
      <w:tr w14:paraId="78B5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32" w:type="dxa"/>
            <w:vMerge w:val="continue"/>
            <w:vAlign w:val="center"/>
          </w:tcPr>
          <w:p w14:paraId="23BA4E26">
            <w:pPr>
              <w:jc w:val="center"/>
              <w:rPr>
                <w:rFonts w:hint="eastAsia" w:ascii="仿宋" w:hAnsi="仿宋" w:eastAsia="仿宋" w:cs="仿宋"/>
                <w:sz w:val="24"/>
                <w:szCs w:val="24"/>
                <w:lang w:val="zh-CN"/>
              </w:rPr>
            </w:pPr>
          </w:p>
        </w:tc>
        <w:tc>
          <w:tcPr>
            <w:tcW w:w="2528" w:type="dxa"/>
            <w:vAlign w:val="center"/>
          </w:tcPr>
          <w:p w14:paraId="4B3AD80E">
            <w:pPr>
              <w:widowControl/>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县消防救援大队</w:t>
            </w:r>
          </w:p>
          <w:p w14:paraId="23F16C02">
            <w:pPr>
              <w:spacing w:line="320" w:lineRule="exact"/>
              <w:jc w:val="center"/>
              <w:rPr>
                <w:rFonts w:hint="eastAsia" w:ascii="仿宋" w:hAnsi="仿宋" w:eastAsia="仿宋" w:cs="仿宋"/>
                <w:sz w:val="24"/>
                <w:szCs w:val="24"/>
                <w:lang w:val="zh-CN"/>
              </w:rPr>
            </w:pPr>
            <w:r>
              <w:rPr>
                <w:rFonts w:hint="eastAsia" w:ascii="仿宋" w:hAnsi="仿宋" w:eastAsia="仿宋" w:cs="仿宋"/>
                <w:color w:val="000000"/>
                <w:kern w:val="0"/>
                <w:sz w:val="24"/>
                <w:szCs w:val="24"/>
              </w:rPr>
              <w:t>大队长</w:t>
            </w:r>
          </w:p>
        </w:tc>
        <w:tc>
          <w:tcPr>
            <w:tcW w:w="9796" w:type="dxa"/>
            <w:vMerge w:val="continue"/>
            <w:vAlign w:val="center"/>
          </w:tcPr>
          <w:p w14:paraId="78ABED36">
            <w:pPr>
              <w:jc w:val="center"/>
              <w:rPr>
                <w:rFonts w:hint="eastAsia" w:ascii="仿宋" w:hAnsi="仿宋" w:eastAsia="仿宋" w:cs="仿宋"/>
                <w:sz w:val="24"/>
                <w:szCs w:val="24"/>
                <w:lang w:val="zh-CN"/>
              </w:rPr>
            </w:pPr>
          </w:p>
        </w:tc>
      </w:tr>
    </w:tbl>
    <w:p w14:paraId="045525A0">
      <w:pPr>
        <w:rPr>
          <w:rFonts w:ascii="Times New Roman" w:hAnsi="Times New Roman" w:cs="Times New Roman"/>
          <w:lang w:val="zh-CN"/>
        </w:rPr>
      </w:pPr>
    </w:p>
    <w:p w14:paraId="0F404A38">
      <w:pPr>
        <w:pStyle w:val="5"/>
        <w:rPr>
          <w:rFonts w:ascii="Times New Roman" w:hAnsi="Times New Roman" w:cs="Times New Roman"/>
          <w:lang w:val="zh-CN"/>
        </w:rPr>
        <w:sectPr>
          <w:headerReference r:id="rId3" w:type="default"/>
          <w:footerReference r:id="rId4" w:type="default"/>
          <w:pgSz w:w="16838" w:h="11906" w:orient="landscape"/>
          <w:pgMar w:top="1417" w:right="1417" w:bottom="1417" w:left="1417" w:header="851" w:footer="992" w:gutter="0"/>
          <w:pgNumType w:fmt="numberInDash"/>
          <w:cols w:space="720" w:num="1"/>
          <w:docGrid w:type="lines" w:linePitch="318"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476"/>
        <w:gridCol w:w="9861"/>
      </w:tblGrid>
      <w:tr w14:paraId="3A31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10" w:type="dxa"/>
            <w:gridSpan w:val="2"/>
            <w:vAlign w:val="bottom"/>
          </w:tcPr>
          <w:p w14:paraId="1CB84448">
            <w:pPr>
              <w:widowControl/>
              <w:jc w:val="center"/>
              <w:textAlignment w:val="center"/>
              <w:rPr>
                <w:rFonts w:hint="eastAsia" w:ascii="黑体" w:hAnsi="黑体" w:eastAsia="黑体" w:cs="黑体"/>
                <w:color w:val="000000"/>
                <w:kern w:val="0"/>
                <w:sz w:val="28"/>
                <w:szCs w:val="28"/>
              </w:rPr>
            </w:pPr>
            <w:r>
              <w:rPr>
                <w:sz w:val="24"/>
              </w:rPr>
              <mc:AlternateContent>
                <mc:Choice Requires="wps">
                  <w:drawing>
                    <wp:anchor distT="0" distB="0" distL="114300" distR="114300" simplePos="0" relativeHeight="251660288" behindDoc="1" locked="0" layoutInCell="1" allowOverlap="1">
                      <wp:simplePos x="0" y="0"/>
                      <wp:positionH relativeFrom="column">
                        <wp:posOffset>-4215130</wp:posOffset>
                      </wp:positionH>
                      <wp:positionV relativeFrom="paragraph">
                        <wp:posOffset>-6985</wp:posOffset>
                      </wp:positionV>
                      <wp:extent cx="3835400" cy="5220970"/>
                      <wp:effectExtent l="0" t="0" r="12700" b="17780"/>
                      <wp:wrapNone/>
                      <wp:docPr id="2" name="文本框 2"/>
                      <wp:cNvGraphicFramePr/>
                      <a:graphic xmlns:a="http://schemas.openxmlformats.org/drawingml/2006/main">
                        <a:graphicData uri="http://schemas.microsoft.com/office/word/2010/wordprocessingShape">
                          <wps:wsp>
                            <wps:cNvSpPr txBox="1"/>
                            <wps:spPr>
                              <a:xfrm>
                                <a:off x="0" y="0"/>
                                <a:ext cx="3835400" cy="5220970"/>
                              </a:xfrm>
                              <a:prstGeom prst="rect">
                                <a:avLst/>
                              </a:prstGeom>
                              <a:gradFill rotWithShape="0">
                                <a:gsLst>
                                  <a:gs pos="0">
                                    <a:srgbClr val="FFFFFF"/>
                                  </a:gs>
                                  <a:gs pos="100000">
                                    <a:srgbClr val="FFFFFF"/>
                                  </a:gs>
                                </a:gsLst>
                                <a:lin ang="0"/>
                                <a:tileRect/>
                              </a:gradFill>
                              <a:ln w="15875">
                                <a:noFill/>
                              </a:ln>
                            </wps:spPr>
                            <wps:txbx>
                              <w:txbxContent>
                                <w:p w14:paraId="426153C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- 16 -</w:t>
                                  </w:r>
                                </w:p>
                              </w:txbxContent>
                            </wps:txbx>
                            <wps:bodyPr vert="eaVert" upright="1"/>
                          </wps:wsp>
                        </a:graphicData>
                      </a:graphic>
                    </wp:anchor>
                  </w:drawing>
                </mc:Choice>
                <mc:Fallback>
                  <w:pict>
                    <v:shape id="_x0000_s1026" o:spid="_x0000_s1026" o:spt="202" type="#_x0000_t202" style="position:absolute;left:0pt;margin-left:-331.9pt;margin-top:-0.55pt;height:411.1pt;width:302pt;z-index:-251656192;mso-width-relative:page;mso-height-relative:page;" fillcolor="#FFFFFF" filled="t" stroked="f" coordsize="21600,21600" o:gfxdata="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rPOjZAAAACwEAAA8AAAAAAAAAAQAgAAAAIgAA&#10;AGRycy9kb3ducmV2LnhtbFBLAQIUABQAAAAIAIdO4kDaKepPBwIAABcEAAAOAAAAAAAAAAEAIAAA&#10;ACgBAABkcnMvZTJvRG9jLnhtbFBLBQYAAAAABgAGAFkBAAChBQAAAAA=&#10;">
                      <v:fill type="gradient" on="t" color2="#FFFFFF" angle="90" focus="100%" focussize="0,0">
                        <o:fill type="gradientUnscaled" v:ext="backwardCompatible"/>
                      </v:fill>
                      <v:stroke on="f" weight="1.25pt"/>
                      <v:imagedata o:title=""/>
                      <o:lock v:ext="edit" aspectratio="f"/>
                      <v:textbox style="layout-flow:vertical-ideographic;">
                        <w:txbxContent>
                          <w:p w14:paraId="426153C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- 16 -</w:t>
                            </w:r>
                          </w:p>
                        </w:txbxContent>
                      </v:textbox>
                    </v:shape>
                  </w:pict>
                </mc:Fallback>
              </mc:AlternateContent>
            </w:r>
            <w:r>
              <w:rPr>
                <w:rFonts w:hint="eastAsia" w:ascii="黑体" w:hAnsi="黑体" w:eastAsia="黑体" w:cs="黑体"/>
                <w:color w:val="000000"/>
                <w:kern w:val="0"/>
                <w:sz w:val="28"/>
                <w:szCs w:val="28"/>
              </w:rPr>
              <w:t>指挥机构组成</w:t>
            </w:r>
          </w:p>
        </w:tc>
        <w:tc>
          <w:tcPr>
            <w:tcW w:w="9861" w:type="dxa"/>
            <w:vAlign w:val="center"/>
          </w:tcPr>
          <w:p w14:paraId="651BD0AD">
            <w:pPr>
              <w:widowControl/>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   要   职   责</w:t>
            </w:r>
          </w:p>
        </w:tc>
      </w:tr>
      <w:tr w14:paraId="59E4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34" w:type="dxa"/>
            <w:vMerge w:val="restart"/>
            <w:vAlign w:val="center"/>
          </w:tcPr>
          <w:p w14:paraId="798D75F4">
            <w:pPr>
              <w:autoSpaceDE w:val="0"/>
              <w:autoSpaceDN w:val="0"/>
              <w:adjustRightInd w:val="0"/>
              <w:spacing w:line="600" w:lineRule="exact"/>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成员单位</w:t>
            </w:r>
          </w:p>
        </w:tc>
        <w:tc>
          <w:tcPr>
            <w:tcW w:w="2476" w:type="dxa"/>
            <w:vAlign w:val="center"/>
          </w:tcPr>
          <w:p w14:paraId="3383C81E">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县委宣传部</w:t>
            </w:r>
          </w:p>
        </w:tc>
        <w:tc>
          <w:tcPr>
            <w:tcW w:w="9861" w:type="dxa"/>
            <w:vAlign w:val="center"/>
          </w:tcPr>
          <w:p w14:paraId="3EFA9074">
            <w:pPr>
              <w:widowControl/>
              <w:spacing w:line="360" w:lineRule="exact"/>
              <w:ind w:firstLine="480" w:firstLineChars="200"/>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根据县现场指挥部的统一部署，组织协调新闻媒体开展应急新闻报道，积极引导舆论。</w:t>
            </w:r>
          </w:p>
        </w:tc>
      </w:tr>
      <w:tr w14:paraId="2EFE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34" w:type="dxa"/>
            <w:vMerge w:val="continue"/>
            <w:vAlign w:val="center"/>
          </w:tcPr>
          <w:p w14:paraId="4C9BB593">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46C397E1">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县工信局</w:t>
            </w:r>
          </w:p>
        </w:tc>
        <w:tc>
          <w:tcPr>
            <w:tcW w:w="9861" w:type="dxa"/>
            <w:vAlign w:val="center"/>
          </w:tcPr>
          <w:p w14:paraId="27E4ED85">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参与本系统火灾事故应急处置和调查处理等工作。</w:t>
            </w:r>
          </w:p>
        </w:tc>
      </w:tr>
      <w:tr w14:paraId="372F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34" w:type="dxa"/>
            <w:vMerge w:val="continue"/>
            <w:vAlign w:val="center"/>
          </w:tcPr>
          <w:p w14:paraId="1C1E9A68">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6DBE565C">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县公安局</w:t>
            </w:r>
          </w:p>
        </w:tc>
        <w:tc>
          <w:tcPr>
            <w:tcW w:w="9861" w:type="dxa"/>
            <w:vAlign w:val="center"/>
          </w:tcPr>
          <w:p w14:paraId="3DEDE05F">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负责组织和指导属地公安机关做好现场警戒、人员摸排、治安维护及火灾现场周边道路交通管理等工作，指导属地公安机关做好有关违法犯罪案件查处工作。</w:t>
            </w:r>
          </w:p>
        </w:tc>
      </w:tr>
      <w:tr w14:paraId="2B04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34" w:type="dxa"/>
            <w:vMerge w:val="continue"/>
            <w:vAlign w:val="center"/>
          </w:tcPr>
          <w:p w14:paraId="54E729C4">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26DE621A">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县财政局</w:t>
            </w:r>
          </w:p>
        </w:tc>
        <w:tc>
          <w:tcPr>
            <w:tcW w:w="9861" w:type="dxa"/>
            <w:vAlign w:val="center"/>
          </w:tcPr>
          <w:p w14:paraId="396C232B">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按照分级负担原则，负责落实扑救火灾所需经费，做好资金使用的监督管理工作。</w:t>
            </w:r>
          </w:p>
        </w:tc>
      </w:tr>
      <w:tr w14:paraId="2B64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34" w:type="dxa"/>
            <w:vMerge w:val="continue"/>
            <w:vAlign w:val="center"/>
          </w:tcPr>
          <w:p w14:paraId="03919AB9">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5182202B">
            <w:pPr>
              <w:ind w:firstLine="120" w:firstLineChars="50"/>
              <w:rPr>
                <w:rFonts w:hint="eastAsia" w:ascii="仿宋" w:hAnsi="仿宋" w:eastAsia="仿宋" w:cs="仿宋"/>
                <w:sz w:val="24"/>
                <w:szCs w:val="24"/>
              </w:rPr>
            </w:pPr>
            <w:r>
              <w:rPr>
                <w:rFonts w:hint="eastAsia" w:ascii="仿宋" w:hAnsi="仿宋" w:eastAsia="仿宋" w:cs="仿宋"/>
                <w:color w:val="000000"/>
                <w:kern w:val="0"/>
                <w:sz w:val="24"/>
                <w:szCs w:val="24"/>
              </w:rPr>
              <w:t>生态环境交城分局</w:t>
            </w:r>
          </w:p>
        </w:tc>
        <w:tc>
          <w:tcPr>
            <w:tcW w:w="9861" w:type="dxa"/>
            <w:vAlign w:val="center"/>
          </w:tcPr>
          <w:p w14:paraId="2EF2E0FE">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对火灾事故可能引发的次生环境污染开展应急监测，并提出污染防控建议。</w:t>
            </w:r>
          </w:p>
        </w:tc>
      </w:tr>
      <w:tr w14:paraId="1DD4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34" w:type="dxa"/>
            <w:vMerge w:val="continue"/>
            <w:vAlign w:val="center"/>
          </w:tcPr>
          <w:p w14:paraId="0B38F9A7">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6C90FFC9">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县住建局</w:t>
            </w:r>
          </w:p>
        </w:tc>
        <w:tc>
          <w:tcPr>
            <w:tcW w:w="9861" w:type="dxa"/>
            <w:vAlign w:val="center"/>
          </w:tcPr>
          <w:p w14:paraId="0DB35824">
            <w:pPr>
              <w:spacing w:line="32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负责指导全县城市市政公用设施建设、运行、安全和应急管理，指导市政供水管网覆盖范围内的火场供水工作，提供相关技术支援，视情调派建筑结构专家协助灭火救援工作。</w:t>
            </w:r>
          </w:p>
        </w:tc>
      </w:tr>
      <w:tr w14:paraId="5063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34" w:type="dxa"/>
            <w:vMerge w:val="continue"/>
            <w:vAlign w:val="center"/>
          </w:tcPr>
          <w:p w14:paraId="1B2973DB">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65E6F1A5">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县交通局</w:t>
            </w:r>
          </w:p>
        </w:tc>
        <w:tc>
          <w:tcPr>
            <w:tcW w:w="9861" w:type="dxa"/>
            <w:vAlign w:val="center"/>
          </w:tcPr>
          <w:p w14:paraId="366C3A06">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负责组织调派灭火救援所需的运输工具。</w:t>
            </w:r>
          </w:p>
        </w:tc>
      </w:tr>
      <w:tr w14:paraId="5566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34" w:type="dxa"/>
            <w:vMerge w:val="continue"/>
            <w:vAlign w:val="center"/>
          </w:tcPr>
          <w:p w14:paraId="0AD4F5A6">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631FFB16">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县卫健局</w:t>
            </w:r>
          </w:p>
        </w:tc>
        <w:tc>
          <w:tcPr>
            <w:tcW w:w="9861" w:type="dxa"/>
            <w:vAlign w:val="center"/>
          </w:tcPr>
          <w:p w14:paraId="03BF1510">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负责组织实施伤病员转运、医疗救治和心理危机干预等工作；对火灾事故现场实施必要的公共卫生处置。</w:t>
            </w:r>
          </w:p>
        </w:tc>
      </w:tr>
      <w:tr w14:paraId="7663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34" w:type="dxa"/>
            <w:vMerge w:val="continue"/>
            <w:vAlign w:val="center"/>
          </w:tcPr>
          <w:p w14:paraId="0EDD6C46">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4A5838FE">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县应急管理局</w:t>
            </w:r>
          </w:p>
        </w:tc>
        <w:tc>
          <w:tcPr>
            <w:tcW w:w="9861" w:type="dxa"/>
            <w:vAlign w:val="center"/>
          </w:tcPr>
          <w:p w14:paraId="1555F419">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负责统筹全县应急救援力量建设，统一协调指挥各类应急专业队伍，建立应急协调联动机制，组织指导火灾扑救工作。</w:t>
            </w:r>
          </w:p>
        </w:tc>
      </w:tr>
      <w:tr w14:paraId="11D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4" w:type="dxa"/>
            <w:vMerge w:val="continue"/>
          </w:tcPr>
          <w:p w14:paraId="5D350CB7">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312205E6">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县能源局</w:t>
            </w:r>
          </w:p>
        </w:tc>
        <w:tc>
          <w:tcPr>
            <w:tcW w:w="9861" w:type="dxa"/>
            <w:vAlign w:val="center"/>
          </w:tcPr>
          <w:p w14:paraId="6F0B559F">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参与本系统火灾事故应急处置和调查处理等工作。</w:t>
            </w:r>
          </w:p>
        </w:tc>
      </w:tr>
    </w:tbl>
    <w:p w14:paraId="01E0804E">
      <w:pPr>
        <w:autoSpaceDE w:val="0"/>
        <w:autoSpaceDN w:val="0"/>
        <w:adjustRightInd w:val="0"/>
        <w:spacing w:line="600" w:lineRule="exact"/>
        <w:jc w:val="center"/>
        <w:rPr>
          <w:rFonts w:hint="eastAsia" w:ascii="黑体" w:hAnsi="黑体" w:eastAsia="黑体" w:cs="黑体"/>
          <w:kern w:val="0"/>
          <w:sz w:val="28"/>
          <w:szCs w:val="28"/>
        </w:rPr>
        <w:sectPr>
          <w:footerReference r:id="rId5" w:type="default"/>
          <w:pgSz w:w="16838" w:h="11906" w:orient="landscape"/>
          <w:pgMar w:top="1587" w:right="2098" w:bottom="1474" w:left="1984" w:header="851" w:footer="992" w:gutter="0"/>
          <w:pgNumType w:fmt="numberInDash"/>
          <w:cols w:space="425" w:num="1"/>
          <w:docGrid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476"/>
        <w:gridCol w:w="9861"/>
      </w:tblGrid>
      <w:tr w14:paraId="3B47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34" w:type="dxa"/>
            <w:tcBorders>
              <w:right w:val="nil"/>
            </w:tcBorders>
          </w:tcPr>
          <w:p w14:paraId="5308826C">
            <w:pPr>
              <w:pStyle w:val="2"/>
              <w:rPr>
                <w:rFonts w:hint="eastAsia"/>
              </w:rPr>
            </w:pPr>
            <w:r>
              <w:rPr>
                <w:rFonts w:hint="eastAsia" w:ascii="黑体" w:hAnsi="黑体" w:eastAsia="黑体" w:cs="黑体"/>
                <w:sz w:val="32"/>
                <w:szCs w:val="32"/>
              </w:rPr>
              <mc:AlternateContent>
                <mc:Choice Requires="wps">
                  <w:drawing>
                    <wp:anchor distT="0" distB="0" distL="114300" distR="114300" simplePos="0" relativeHeight="251661312" behindDoc="1" locked="0" layoutInCell="1" allowOverlap="1">
                      <wp:simplePos x="0" y="0"/>
                      <wp:positionH relativeFrom="column">
                        <wp:posOffset>-4234180</wp:posOffset>
                      </wp:positionH>
                      <wp:positionV relativeFrom="paragraph">
                        <wp:posOffset>5022850</wp:posOffset>
                      </wp:positionV>
                      <wp:extent cx="3835400" cy="792480"/>
                      <wp:effectExtent l="0" t="0" r="12700" b="7620"/>
                      <wp:wrapNone/>
                      <wp:docPr id="1" name="文本框 1"/>
                      <wp:cNvGraphicFramePr/>
                      <a:graphic xmlns:a="http://schemas.openxmlformats.org/drawingml/2006/main">
                        <a:graphicData uri="http://schemas.microsoft.com/office/word/2010/wordprocessingShape">
                          <wps:wsp>
                            <wps:cNvSpPr txBox="1"/>
                            <wps:spPr>
                              <a:xfrm>
                                <a:off x="0" y="0"/>
                                <a:ext cx="3835400" cy="792480"/>
                              </a:xfrm>
                              <a:prstGeom prst="rect">
                                <a:avLst/>
                              </a:prstGeom>
                              <a:gradFill rotWithShape="0">
                                <a:gsLst>
                                  <a:gs pos="0">
                                    <a:srgbClr val="FFFFFF"/>
                                  </a:gs>
                                  <a:gs pos="100000">
                                    <a:srgbClr val="FFFFFF"/>
                                  </a:gs>
                                </a:gsLst>
                                <a:lin ang="0"/>
                                <a:tileRect/>
                              </a:gradFill>
                              <a:ln w="15875">
                                <a:noFill/>
                              </a:ln>
                            </wps:spPr>
                            <wps:txbx>
                              <w:txbxContent>
                                <w:p w14:paraId="2582F97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- 17 -</w:t>
                                  </w:r>
                                </w:p>
                              </w:txbxContent>
                            </wps:txbx>
                            <wps:bodyPr vert="eaVert" upright="1"/>
                          </wps:wsp>
                        </a:graphicData>
                      </a:graphic>
                    </wp:anchor>
                  </w:drawing>
                </mc:Choice>
                <mc:Fallback>
                  <w:pict>
                    <v:shape id="_x0000_s1026" o:spid="_x0000_s1026" o:spt="202" type="#_x0000_t202" style="position:absolute;left:0pt;margin-left:-333.4pt;margin-top:395.5pt;height:62.4pt;width:302pt;z-index:-251655168;mso-width-relative:page;mso-height-relative:page;" fillcolor="#FFFFFF" filled="t" stroked="f" coordsize="21600,21600" o:gfxdata="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FajkPaAAAADAEAAA8AAAAAAAAAAQAgAAAAIgAA&#10;AGRycy9kb3ducmV2LnhtbFBLAQIUABQAAAAIAIdO4kDDMMPhBgIAABYEAAAOAAAAAAAAAAEAIAAA&#10;ACkBAABkcnMvZTJvRG9jLnhtbFBLBQYAAAAABgAGAFkBAAChBQAAAAA=&#10;">
                      <v:fill type="gradient" on="t" color2="#FFFFFF" angle="90" focus="100%" focussize="0,0">
                        <o:fill type="gradientUnscaled" v:ext="backwardCompatible"/>
                      </v:fill>
                      <v:stroke on="f" weight="1.25pt"/>
                      <v:imagedata o:title=""/>
                      <o:lock v:ext="edit" aspectratio="f"/>
                      <v:textbox style="layout-flow:vertical-ideographic;">
                        <w:txbxContent>
                          <w:p w14:paraId="2582F97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- 17 -</w:t>
                            </w:r>
                          </w:p>
                        </w:txbxContent>
                      </v:textbox>
                    </v:shape>
                  </w:pict>
                </mc:Fallback>
              </mc:AlternateContent>
            </w:r>
          </w:p>
        </w:tc>
        <w:tc>
          <w:tcPr>
            <w:tcW w:w="2476" w:type="dxa"/>
            <w:tcBorders>
              <w:left w:val="nil"/>
            </w:tcBorders>
            <w:vAlign w:val="center"/>
          </w:tcPr>
          <w:p w14:paraId="1F0E3B58">
            <w:pPr>
              <w:widowControl/>
              <w:jc w:val="both"/>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指挥机构组成</w:t>
            </w:r>
          </w:p>
        </w:tc>
        <w:tc>
          <w:tcPr>
            <w:tcW w:w="9861" w:type="dxa"/>
            <w:vAlign w:val="center"/>
          </w:tcPr>
          <w:p w14:paraId="34FB88EA">
            <w:pPr>
              <w:widowControl/>
              <w:jc w:val="center"/>
              <w:textAlignment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   要   职   责</w:t>
            </w:r>
          </w:p>
        </w:tc>
      </w:tr>
      <w:tr w14:paraId="3650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34" w:type="dxa"/>
            <w:vMerge w:val="restart"/>
            <w:vAlign w:val="center"/>
          </w:tcPr>
          <w:p w14:paraId="09B6626F">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w:t>
            </w:r>
          </w:p>
          <w:p w14:paraId="790CE2AD">
            <w:pPr>
              <w:jc w:val="center"/>
              <w:rPr>
                <w:rFonts w:hint="eastAsia" w:ascii="仿宋" w:hAnsi="仿宋" w:eastAsia="仿宋" w:cs="仿宋"/>
                <w:color w:val="000000"/>
                <w:kern w:val="0"/>
                <w:sz w:val="24"/>
                <w:szCs w:val="24"/>
              </w:rPr>
            </w:pPr>
          </w:p>
          <w:p w14:paraId="348E955C">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w:t>
            </w:r>
          </w:p>
          <w:p w14:paraId="21313380">
            <w:pPr>
              <w:jc w:val="center"/>
              <w:rPr>
                <w:rFonts w:hint="eastAsia" w:ascii="仿宋" w:hAnsi="仿宋" w:eastAsia="仿宋" w:cs="仿宋"/>
                <w:color w:val="000000"/>
                <w:kern w:val="0"/>
                <w:sz w:val="24"/>
                <w:szCs w:val="24"/>
              </w:rPr>
            </w:pPr>
          </w:p>
          <w:p w14:paraId="4026EC3C">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w:t>
            </w:r>
          </w:p>
          <w:p w14:paraId="7142B807">
            <w:pPr>
              <w:jc w:val="center"/>
              <w:rPr>
                <w:rFonts w:hint="eastAsia" w:ascii="仿宋" w:hAnsi="仿宋" w:eastAsia="仿宋" w:cs="仿宋"/>
                <w:color w:val="000000"/>
                <w:kern w:val="0"/>
                <w:sz w:val="24"/>
                <w:szCs w:val="24"/>
              </w:rPr>
            </w:pPr>
          </w:p>
          <w:p w14:paraId="26958757">
            <w:pPr>
              <w:jc w:val="center"/>
              <w:rPr>
                <w:rFonts w:hint="eastAsia" w:ascii="仿宋" w:hAnsi="仿宋" w:eastAsia="仿宋" w:cs="仿宋"/>
                <w:sz w:val="24"/>
                <w:szCs w:val="24"/>
              </w:rPr>
            </w:pPr>
            <w:r>
              <w:rPr>
                <w:rFonts w:hint="eastAsia" w:ascii="仿宋" w:hAnsi="仿宋" w:eastAsia="仿宋" w:cs="仿宋"/>
                <w:color w:val="000000"/>
                <w:kern w:val="0"/>
                <w:sz w:val="24"/>
                <w:szCs w:val="24"/>
              </w:rPr>
              <w:t>位</w:t>
            </w:r>
          </w:p>
        </w:tc>
        <w:tc>
          <w:tcPr>
            <w:tcW w:w="2476" w:type="dxa"/>
            <w:vAlign w:val="center"/>
          </w:tcPr>
          <w:p w14:paraId="7A09B8C6">
            <w:pPr>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县文旅局</w:t>
            </w:r>
          </w:p>
        </w:tc>
        <w:tc>
          <w:tcPr>
            <w:tcW w:w="9861" w:type="dxa"/>
            <w:vAlign w:val="center"/>
          </w:tcPr>
          <w:p w14:paraId="1D8DE4AE">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参与文物、博物馆单位火灾事故应急处置和调查处理等工作。</w:t>
            </w:r>
          </w:p>
        </w:tc>
      </w:tr>
      <w:tr w14:paraId="450C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34" w:type="dxa"/>
            <w:vMerge w:val="continue"/>
          </w:tcPr>
          <w:p w14:paraId="3BA9CEA1">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55CCDBF6">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县人防办</w:t>
            </w:r>
          </w:p>
        </w:tc>
        <w:tc>
          <w:tcPr>
            <w:tcW w:w="9861" w:type="dxa"/>
            <w:vAlign w:val="center"/>
          </w:tcPr>
          <w:p w14:paraId="09336FEB">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参与城市地下空间火灾事故应急处置和调查处理等工作。</w:t>
            </w:r>
          </w:p>
        </w:tc>
      </w:tr>
      <w:tr w14:paraId="5930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34" w:type="dxa"/>
            <w:vMerge w:val="continue"/>
          </w:tcPr>
          <w:p w14:paraId="5B28291A">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7B802C7D">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县联通、移动、电信等通信部门</w:t>
            </w:r>
          </w:p>
        </w:tc>
        <w:tc>
          <w:tcPr>
            <w:tcW w:w="9861" w:type="dxa"/>
            <w:vAlign w:val="center"/>
          </w:tcPr>
          <w:p w14:paraId="5F3E2399">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负责组织开展火灾事故现场应急指挥通信保障，调动各种机动应急通信装备及保障力量，开展应急通信保障工作。</w:t>
            </w:r>
          </w:p>
        </w:tc>
      </w:tr>
      <w:tr w14:paraId="3693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34" w:type="dxa"/>
            <w:vMerge w:val="continue"/>
          </w:tcPr>
          <w:p w14:paraId="327C4A4E">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1A9BE11F">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县气象局</w:t>
            </w:r>
          </w:p>
        </w:tc>
        <w:tc>
          <w:tcPr>
            <w:tcW w:w="9861" w:type="dxa"/>
            <w:vAlign w:val="center"/>
          </w:tcPr>
          <w:p w14:paraId="563BCA2F">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负责为火灾扑救提供气象信息保障和相关技术支持。</w:t>
            </w:r>
          </w:p>
        </w:tc>
      </w:tr>
      <w:tr w14:paraId="096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34" w:type="dxa"/>
            <w:vMerge w:val="continue"/>
          </w:tcPr>
          <w:p w14:paraId="236660AA">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2D3F0191">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武警交城中队</w:t>
            </w:r>
          </w:p>
        </w:tc>
        <w:tc>
          <w:tcPr>
            <w:tcW w:w="9861" w:type="dxa"/>
            <w:vAlign w:val="center"/>
          </w:tcPr>
          <w:p w14:paraId="2CFF1667">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负责火灾现场抢险救援和维护秩序等工作。</w:t>
            </w:r>
          </w:p>
        </w:tc>
      </w:tr>
      <w:tr w14:paraId="137B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634" w:type="dxa"/>
            <w:vMerge w:val="continue"/>
          </w:tcPr>
          <w:p w14:paraId="217D9820">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5F346A78">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县消防救援大队</w:t>
            </w:r>
          </w:p>
        </w:tc>
        <w:tc>
          <w:tcPr>
            <w:tcW w:w="9861" w:type="dxa"/>
            <w:vAlign w:val="center"/>
          </w:tcPr>
          <w:p w14:paraId="2B08E9BF">
            <w:pPr>
              <w:spacing w:line="36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承担县指挥部办公室的日常工作；负责组织协调有关部门做好灭火救援各项工作；承担灭火救援信息的收集、分析、评估、审核和上传下达等工作；会同有关部门组织开展预案宣传、培训和演练，并根据实际情况，适时组织进行评估和修订；负责调查火灾原因，统计火灾损失，参与火灾事故的调查处理；完成市应急管理局、市防救援支队和县委、县政府交办的其他工作。</w:t>
            </w:r>
          </w:p>
        </w:tc>
      </w:tr>
      <w:tr w14:paraId="1CA0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34" w:type="dxa"/>
            <w:vMerge w:val="continue"/>
          </w:tcPr>
          <w:p w14:paraId="0FFFF097">
            <w:pPr>
              <w:autoSpaceDE w:val="0"/>
              <w:autoSpaceDN w:val="0"/>
              <w:adjustRightInd w:val="0"/>
              <w:spacing w:line="600" w:lineRule="exact"/>
              <w:jc w:val="center"/>
              <w:rPr>
                <w:rFonts w:hint="eastAsia" w:ascii="仿宋" w:hAnsi="仿宋" w:eastAsia="仿宋" w:cs="仿宋"/>
                <w:kern w:val="0"/>
                <w:sz w:val="24"/>
                <w:szCs w:val="24"/>
              </w:rPr>
            </w:pPr>
          </w:p>
        </w:tc>
        <w:tc>
          <w:tcPr>
            <w:tcW w:w="2476" w:type="dxa"/>
            <w:vAlign w:val="center"/>
          </w:tcPr>
          <w:p w14:paraId="43EDCAC6">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国网山西电力公司交城县供电公司</w:t>
            </w:r>
          </w:p>
        </w:tc>
        <w:tc>
          <w:tcPr>
            <w:tcW w:w="9861" w:type="dxa"/>
            <w:vAlign w:val="center"/>
          </w:tcPr>
          <w:p w14:paraId="04C307C9">
            <w:pPr>
              <w:widowControl/>
              <w:spacing w:line="360" w:lineRule="exact"/>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根据灭火救援需要实施供电、断电、架设临时线路和出动应急供电设备等措施；负责调派相关专家、技术人员和救援力量为火灾事故现场提供技术支持，排除火场中一切影响灭火战斗的带电因素。</w:t>
            </w:r>
          </w:p>
        </w:tc>
      </w:tr>
    </w:tbl>
    <w:p w14:paraId="579FF40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2815E">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43E1">
    <w:pPr>
      <w:pStyle w:val="3"/>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068A">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51621"/>
    <w:rsid w:val="0B1340F8"/>
    <w:rsid w:val="7CD5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560" w:lineRule="exact"/>
      <w:ind w:firstLine="640" w:firstLineChars="200"/>
    </w:pPr>
    <w:rPr>
      <w:rFonts w:ascii="仿宋_GB2312" w:eastAsia="仿宋_GB2312"/>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next w:val="1"/>
    <w:qFormat/>
    <w:uiPriority w:val="99"/>
    <w:pPr>
      <w:jc w:val="left"/>
    </w:pPr>
    <w:rPr>
      <w:rFonts w:eastAsia="仿宋_GB2312"/>
      <w:kern w:val="0"/>
      <w:sz w:val="24"/>
      <w:szCs w:val="24"/>
    </w:rPr>
  </w:style>
  <w:style w:type="paragraph" w:customStyle="1" w:styleId="8">
    <w:name w:val="正文首行缩进 21"/>
    <w:basedOn w:val="1"/>
    <w:next w:val="5"/>
    <w:qFormat/>
    <w:uiPriority w:val="99"/>
    <w:pPr>
      <w:widowControl/>
      <w:ind w:left="200" w:leftChars="200" w:firstLine="200" w:firstLineChars="200"/>
      <w:jc w:val="left"/>
    </w:pPr>
    <w:rPr>
      <w:rFonts w:eastAsia="仿宋_GB2312"/>
      <w:kern w:val="0"/>
      <w:sz w:val="24"/>
      <w:szCs w:val="24"/>
    </w:rPr>
  </w:style>
  <w:style w:type="character" w:customStyle="1" w:styleId="9">
    <w:name w:val="font01"/>
    <w:basedOn w:val="7"/>
    <w:qFormat/>
    <w:uiPriority w:val="99"/>
    <w:rPr>
      <w:rFonts w:ascii="宋体" w:hAnsi="宋体" w:eastAsia="宋体" w:cs="宋体"/>
      <w:color w:val="000000"/>
      <w:sz w:val="24"/>
      <w:szCs w:val="24"/>
      <w:u w:val="none"/>
    </w:rPr>
  </w:style>
  <w:style w:type="character" w:customStyle="1" w:styleId="10">
    <w:name w:val="font81"/>
    <w:basedOn w:val="7"/>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1369</Words>
  <Characters>1369</Characters>
  <Lines>0</Lines>
  <Paragraphs>0</Paragraphs>
  <TotalTime>0</TotalTime>
  <ScaleCrop>false</ScaleCrop>
  <LinksUpToDate>false</LinksUpToDate>
  <CharactersWithSpaces>1396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2021-11-15T07:16:00Z</dcterms:created>
  <dc:creator>蜡笔小新</dc:creator>
  <cp:lastModifiedBy>成</cp:lastModifiedBy>
  <dcterms:modified xsi:type="dcterms:W3CDTF">2025-06-06T01:15:17Z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30EC4A541653429AAC0E84E9B09903CF</vt:lpwstr>
  </property>
  <property fmtid="{D5CDD505-2E9C-101B-9397-08002B2CF9AE}" pid="4" name="KSOTemplateDocerSaveRecord">
    <vt:lpwstr>eyJoZGlkIjoiNWRhZTY3NGM0ZDg3ODk3NjQ3YjJjNDU4OTVlNDAwZjIiLCJ1c2VySWQiOiIxMTQ5OTg3NTc2In0=</vt:lpwstr>
  </property>
</Properties>
</file>