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-4234180</wp:posOffset>
                </wp:positionH>
                <wp:positionV relativeFrom="paragraph">
                  <wp:posOffset>5029200</wp:posOffset>
                </wp:positionV>
                <wp:extent cx="3835400" cy="792480"/>
                <wp:effectExtent l="0" t="0" r="1270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- 19 -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3.4pt;margin-top:396pt;height:62.4pt;width:302pt;z-index:-251657216;mso-width-relative:page;mso-height-relative:page;" fillcolor="#FFFFFF" filled="t" stroked="f" coordsize="21600,21600" o:gfxdata="UEsDBAoAAAAAAIdO4kAAAAAAAAAAAAAAAAAEAAAAZHJzL1BLAwQUAAAACACHTuJA2O0CPtcAAAAM&#10;AQAADwAAAGRycy9kb3ducmV2LnhtbE2PwU7DMBBE70j8g7VI3FInORgS4lSA4IZUWhBnN16SiHht&#10;Yrcpf89yosedGc2+adYnN4kjznH0pKFY5SCQOm9H6jW8vz1ntyBiMmTN5Ak1/GCEdXt50Zja+oW2&#10;eNylXnAJxdpoGFIKtZSxG9CZuPIBib1PPzuT+Jx7aWezcLmbZJnnSjozEn8YTMDHAbuv3cFpiNvw&#10;Wt0vm4f4gS9PRQy0+WY8fX1V5HcgEp7Sfxj+8BkdWmba+wPZKCYNmVKK2ZOGm6rkVRzJVMnKXkNV&#10;sCXbRp6PaH8BUEsDBBQAAAAIAIdO4kDDMMPhBgIAABYEAAAOAAAAZHJzL2Uyb0RvYy54bWytU82O&#10;0zAQviPxDpbvNGl3y3arpitBVS4IEMvP2XWcxJJjWzNuk74AvAEnLtx5rj4HYyfbXS0S2gM5JJP5&#10;+Wa+z+PVTd8adlCA2tmCTyc5Z8pKV2pbF/zzp+2LBWcYhC2FcVYV/KiQ36yfP1t1fqlmrnGmVMAI&#10;xOKy8wVvQvDLLEPZqFbgxHllKVg5aEWgX6izEkRH6K3JZnn+MusclB6cVIjk3QxBPiLCUwBdVWmp&#10;Nk7uW2XDgArKiECUsNEe+TpNW1VKhvdVhSowU3BiGtKbmpC9i+9svRLLGoRvtBxHEE8Z4RGnVmhL&#10;Tc9QGxEE24P+C6rVEhy6Kkyka7OBSFKEWEzzR9rcNsKrxIWkRn8WHf8frHx3+ABMl7QJnFnR0oGf&#10;fnw//fx9+vWNTaM8ncclZd16ygv9K9fH1NGP5Iys+wra+CU+jOIk7vEsruoDk+S8WFzML3MKSYpd&#10;Xc8uF0n97L7aA4Y3yrUsGgUHOrykqTi8xUAdKfUuZZS63GpjGLjwVYcmqRXbpiBSzWAw70iwwY1Q&#10;714bYAdB+7BNT+RCyDU+zJ7m8UlI/y5JlWMroy0T8RaNaxW0UR+JxNgARBo3tjGWdSTjfHE1Tz2s&#10;i0SGPGNpnij6IG60Qr/rKRjNnSuPdBB0f0khJb7Ql7O9B1035EgHk4ppXQZaw2rHfXz4n1rcX+f1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jtAj7XAAAADAEAAA8AAAAAAAAAAQAgAAAAIgAAAGRy&#10;cy9kb3ducmV2LnhtbFBLAQIUABQAAAAIAIdO4kDDMMPhBgIAABYEAAAOAAAAAAAAAAEAIAAAACYB&#10;AABkcnMvZTJvRG9jLnhtbFBLBQYAAAAABgAGAFkBAACeBQAAAAA=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- 19 -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4</w:t>
      </w:r>
    </w:p>
    <w:p>
      <w:pPr>
        <w:bidi w:val="0"/>
        <w:rPr>
          <w:rFonts w:hint="eastAsia"/>
          <w:lang w:val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CN"/>
        </w:rPr>
        <w:t>县级火灾事故应急响应条件</w:t>
      </w:r>
    </w:p>
    <w:p>
      <w:pPr>
        <w:bidi w:val="0"/>
        <w:rPr>
          <w:rFonts w:hint="eastAsia"/>
          <w:lang w:val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6"/>
        <w:gridCol w:w="3334"/>
        <w:gridCol w:w="3711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四级响应</w:t>
            </w:r>
          </w:p>
        </w:tc>
        <w:tc>
          <w:tcPr>
            <w:tcW w:w="33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三级响应</w:t>
            </w:r>
          </w:p>
        </w:tc>
        <w:tc>
          <w:tcPr>
            <w:tcW w:w="3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二级响应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  <w:jc w:val="center"/>
        </w:trPr>
        <w:tc>
          <w:tcPr>
            <w:tcW w:w="3506" w:type="dxa"/>
          </w:tcPr>
          <w:p>
            <w:pPr>
              <w:pStyle w:val="4"/>
              <w:spacing w:line="3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  <w:t>符合以下情形之一时，启动四级响应：</w:t>
            </w:r>
          </w:p>
          <w:p>
            <w:pPr>
              <w:pStyle w:val="4"/>
              <w:spacing w:line="3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  <w:t>1.已造成或有可能造成1人以上3人以下死亡，或者1人以上10人以下重伤；</w:t>
            </w:r>
          </w:p>
          <w:p>
            <w:pPr>
              <w:pStyle w:val="4"/>
              <w:spacing w:line="3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  <w:t>2.已造成或有可能造成100万元以上1000万元以下直接财产损失；</w:t>
            </w:r>
          </w:p>
          <w:p>
            <w:pPr>
              <w:pStyle w:val="4"/>
              <w:spacing w:line="3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  <w:t>3.扑救时间超过2小时；</w:t>
            </w:r>
          </w:p>
          <w:p>
            <w:pPr>
              <w:pStyle w:val="4"/>
              <w:spacing w:line="3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  <w:t>4.过火面积2000平方米以上；</w:t>
            </w:r>
          </w:p>
          <w:p>
            <w:pPr>
              <w:pStyle w:val="4"/>
              <w:spacing w:line="3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  <w:t>5.文物、博物馆三级风险单位发生的火灾；</w:t>
            </w:r>
          </w:p>
          <w:p>
            <w:pPr>
              <w:pStyle w:val="4"/>
              <w:spacing w:line="3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  <w:t>6.对周边重要目标物和重大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  <w:t>危险源构成威胁；</w:t>
            </w:r>
          </w:p>
          <w:p>
            <w:pPr>
              <w:pStyle w:val="4"/>
              <w:spacing w:line="3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/>
              </w:rPr>
              <w:t>7.通过研判认为应当响应。</w:t>
            </w:r>
          </w:p>
        </w:tc>
        <w:tc>
          <w:tcPr>
            <w:tcW w:w="3334" w:type="dxa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符合以下情形之一时，启动三级响应：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1.已造成或有可能造成3人以上10人以下死亡，或者10人以上50人以下重伤；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2.已造成或有可能造成1000万元以上5000万元以下直接财产损失；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3.需调集2个以上消防救援支队增援；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4.文物、博物馆二级风险单位发生的火灾；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5.恶劣气候条件下的火灾；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6.四级应急响应不能控制；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7.通过研判认为应当响应。</w:t>
            </w:r>
          </w:p>
        </w:tc>
        <w:tc>
          <w:tcPr>
            <w:tcW w:w="3711" w:type="dxa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符合以下情形之一时，启动二级响应：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1.已造成或有可能造成10人以上30人以下死亡，或者50人以上100人以下重伤；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2.已造成或有可能造成5000万元以上1亿元以下直接财产损失；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3.需调集5个以上消防救援支队增援；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4.文物、博物馆一级风险单位发生的火灾；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5.发生在重大节日、重要政治活动期间或消防安全重点单位、重要场所、政治敏感区域，有可能造成重大政治、社会影响；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6.三级应急响应不能控制；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7.通过研判认为应当响应。</w:t>
            </w:r>
          </w:p>
        </w:tc>
        <w:tc>
          <w:tcPr>
            <w:tcW w:w="3452" w:type="dxa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符合以下情形之一时，启动一级响应：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1.已造成或有可能造成30人以上死亡，或者100人以上重伤；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2.已造成或有可能造成1亿元以上直接财产损失；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3.发生在重大节日、重要政治活动期间或消防安全重点单位、重要场所、政治敏感区域，已造成重大政治、社会影响；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4.二级应急响应不能控制；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5.通过研判认为应当响应。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注：上述所称“以上”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包括本数，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“以下”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不包括本数。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E61C7"/>
    <w:rsid w:val="5D0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1"/>
    <w:qFormat/>
    <w:uiPriority w:val="99"/>
    <w:pPr>
      <w:jc w:val="left"/>
    </w:pPr>
    <w:rPr>
      <w:rFonts w:eastAsia="仿宋_GB2312"/>
      <w:kern w:val="0"/>
      <w:sz w:val="24"/>
      <w:szCs w:val="24"/>
    </w:rPr>
  </w:style>
  <w:style w:type="paragraph" w:customStyle="1" w:styleId="7">
    <w:name w:val="正文首行缩进 21"/>
    <w:basedOn w:val="1"/>
    <w:next w:val="4"/>
    <w:qFormat/>
    <w:uiPriority w:val="99"/>
    <w:pPr>
      <w:widowControl/>
      <w:ind w:left="200" w:leftChars="200" w:firstLine="200" w:firstLineChars="200"/>
      <w:jc w:val="left"/>
    </w:pPr>
    <w:rPr>
      <w:rFonts w:eastAsia="仿宋_GB231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2021-11-15T07:17:00Z</dcterms:created>
  <dc:creator>蜡笔小新</dc:creator>
  <cp:lastModifiedBy>蜡笔小新</cp:lastModifiedBy>
  <dcterms:modified xsi:type="dcterms:W3CDTF">2021-11-15T07:17:43Z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697BEE3A56D844879DAC717957B858F4</vt:lpwstr>
  </property>
</Properties>
</file>