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topLinePunct w:val="0"/>
        <w:bidi w:val="0"/>
        <w:spacing w:line="578" w:lineRule="exact"/>
        <w:ind w:left="0" w:leftChars="0" w:firstLine="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spacing w:line="540" w:lineRule="exact"/>
        <w:jc w:val="center"/>
        <w:rPr>
          <w:rFonts w:ascii="方正小标宋简体" w:hAnsi="宋体" w:eastAsia="方正小标宋简体" w:cs="宋体"/>
          <w:sz w:val="44"/>
          <w:szCs w:val="36"/>
        </w:rPr>
      </w:pPr>
      <w:r>
        <w:rPr>
          <w:rFonts w:ascii="方正小标宋简体" w:hAnsi="宋体" w:eastAsia="方正小标宋简体" w:cs="宋体"/>
          <w:sz w:val="44"/>
          <w:szCs w:val="36"/>
        </w:rPr>
        <w:t>2021年全</w:t>
      </w:r>
      <w:r>
        <w:rPr>
          <w:rFonts w:hint="eastAsia" w:ascii="方正小标宋简体" w:hAnsi="宋体" w:eastAsia="方正小标宋简体" w:cs="宋体"/>
          <w:sz w:val="44"/>
          <w:szCs w:val="36"/>
          <w:lang w:eastAsia="zh-CN"/>
        </w:rPr>
        <w:t>县</w:t>
      </w:r>
      <w:r>
        <w:rPr>
          <w:rFonts w:ascii="方正小标宋简体" w:hAnsi="宋体" w:eastAsia="方正小标宋简体" w:cs="宋体"/>
          <w:sz w:val="44"/>
          <w:szCs w:val="36"/>
        </w:rPr>
        <w:t>水污染防治重点工程明细表</w:t>
      </w:r>
    </w:p>
    <w:tbl>
      <w:tblPr>
        <w:tblStyle w:val="5"/>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25"/>
        <w:gridCol w:w="2175"/>
        <w:gridCol w:w="6360"/>
        <w:gridCol w:w="1185"/>
        <w:gridCol w:w="1185"/>
        <w:gridCol w:w="108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8"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25"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工程类别</w:t>
            </w:r>
          </w:p>
        </w:tc>
        <w:tc>
          <w:tcPr>
            <w:tcW w:w="2175"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kern w:val="0"/>
                <w:sz w:val="24"/>
                <w:szCs w:val="24"/>
                <w:lang w:bidi="ar"/>
              </w:rPr>
              <w:t>项目名称</w:t>
            </w:r>
          </w:p>
        </w:tc>
        <w:tc>
          <w:tcPr>
            <w:tcW w:w="6360"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治理任务</w:t>
            </w:r>
          </w:p>
        </w:tc>
        <w:tc>
          <w:tcPr>
            <w:tcW w:w="1185"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环保效益</w:t>
            </w:r>
          </w:p>
        </w:tc>
        <w:tc>
          <w:tcPr>
            <w:tcW w:w="1185"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投资概算</w:t>
            </w:r>
          </w:p>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（万元）</w:t>
            </w:r>
          </w:p>
        </w:tc>
        <w:tc>
          <w:tcPr>
            <w:tcW w:w="1080"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完成时限</w:t>
            </w:r>
          </w:p>
        </w:tc>
        <w:tc>
          <w:tcPr>
            <w:tcW w:w="840"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污水处理设施建设改造</w:t>
            </w:r>
          </w:p>
        </w:tc>
        <w:tc>
          <w:tcPr>
            <w:tcW w:w="2175" w:type="dxa"/>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3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交城县城西污水处理厂建设工程</w:t>
            </w:r>
          </w:p>
        </w:tc>
        <w:tc>
          <w:tcPr>
            <w:tcW w:w="636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rPr>
              <w:t>建成投运交城县城西污水处理厂，处理能力1万</w:t>
            </w:r>
            <w:r>
              <w:rPr>
                <w:rFonts w:hint="eastAsia" w:ascii="宋体" w:hAnsi="宋体" w:eastAsia="宋体" w:cs="宋体"/>
                <w:sz w:val="24"/>
                <w:szCs w:val="24"/>
              </w:rPr>
              <w:t>m³/d</w:t>
            </w:r>
            <w:r>
              <w:rPr>
                <w:rFonts w:hint="eastAsia" w:ascii="宋体" w:hAnsi="宋体" w:eastAsia="宋体" w:cs="宋体"/>
                <w:kern w:val="0"/>
                <w:sz w:val="24"/>
                <w:szCs w:val="24"/>
              </w:rPr>
              <w:t>。</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年消减COD1131.5吨，氨氮120.5吨。</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108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p>
        </w:tc>
        <w:tc>
          <w:tcPr>
            <w:tcW w:w="84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污水处理设施建设改造</w:t>
            </w:r>
          </w:p>
        </w:tc>
        <w:tc>
          <w:tcPr>
            <w:tcW w:w="2175" w:type="dxa"/>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3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交城县污水处理厂进水调节池建设工程</w:t>
            </w:r>
          </w:p>
        </w:tc>
        <w:tc>
          <w:tcPr>
            <w:tcW w:w="636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建成投运</w:t>
            </w:r>
            <w:r>
              <w:rPr>
                <w:rFonts w:hint="eastAsia" w:ascii="宋体" w:hAnsi="宋体" w:eastAsia="宋体" w:cs="宋体"/>
                <w:kern w:val="0"/>
                <w:sz w:val="24"/>
                <w:szCs w:val="24"/>
                <w:lang w:val="en-US" w:eastAsia="zh-CN"/>
              </w:rPr>
              <w:t>1.8万立方的进水调节池。</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进一步提高污水收集率。</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2400</w:t>
            </w:r>
          </w:p>
        </w:tc>
        <w:tc>
          <w:tcPr>
            <w:tcW w:w="108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p>
        </w:tc>
        <w:tc>
          <w:tcPr>
            <w:tcW w:w="84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污水管网</w:t>
            </w:r>
          </w:p>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改造</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交城县建成区污水收集管网改造工程</w:t>
            </w:r>
          </w:p>
        </w:tc>
        <w:tc>
          <w:tcPr>
            <w:tcW w:w="636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完成建成区改造雨污合流制管网8.4公里。</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进一步提高污水收集率，有效防止污水直排。</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2800</w:t>
            </w:r>
          </w:p>
        </w:tc>
        <w:tc>
          <w:tcPr>
            <w:tcW w:w="1080"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2021年10月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noWrap w:val="0"/>
            <w:vAlign w:val="center"/>
          </w:tcPr>
          <w:p>
            <w:pPr>
              <w:bidi w:val="0"/>
              <w:jc w:val="center"/>
              <w:rPr>
                <w:rFonts w:hint="eastAsia" w:ascii="宋体" w:hAnsi="宋体" w:eastAsia="宋体" w:cs="宋体"/>
                <w:szCs w:val="24"/>
                <w:lang w:eastAsia="zh-CN"/>
              </w:rPr>
            </w:pP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-3850640</wp:posOffset>
                      </wp:positionH>
                      <wp:positionV relativeFrom="paragraph">
                        <wp:posOffset>400685</wp:posOffset>
                      </wp:positionV>
                      <wp:extent cx="3835400" cy="792480"/>
                      <wp:effectExtent l="0" t="0" r="12700" b="7620"/>
                      <wp:wrapNone/>
                      <wp:docPr id="8" name="文本框 8"/>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- 1 -</w:t>
                                  </w:r>
                                </w:p>
                              </w:txbxContent>
                            </wps:txbx>
                            <wps:bodyPr vert="eaVert" upright="1"/>
                          </wps:wsp>
                        </a:graphicData>
                      </a:graphic>
                    </wp:anchor>
                  </w:drawing>
                </mc:Choice>
                <mc:Fallback>
                  <w:pict>
                    <v:shape id="_x0000_s1026" o:spid="_x0000_s1026" o:spt="202" type="#_x0000_t202" style="position:absolute;left:0pt;margin-left:-303.2pt;margin-top:31.55pt;height:62.4pt;width:302pt;z-index:-251657216;mso-width-relative:page;mso-height-relative:page;" fillcolor="#FFFFFF" filled="t" stroked="f" coordsize="21600,21600" o:gfxdata="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&#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2ILV9gAAAAKAQAADwAAAAAAAAABACAAAAAiAAAA&#10;ZHJzL2Rvd25yZXYueG1sUEsBAhQAFAAAAAgAh07iQPd/osMHAgAAFgQAAA4AAAAAAAAAAQAgAAAA&#10;Jw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- 1 -</w:t>
                            </w:r>
                          </w:p>
                        </w:txbxContent>
                      </v:textbox>
                    </v:shape>
                  </w:pict>
                </mc:Fallback>
              </mc:AlternateContent>
            </w:r>
            <w:r>
              <w:rPr>
                <w:rFonts w:hint="eastAsia" w:ascii="宋体" w:hAnsi="宋体" w:eastAsia="宋体" w:cs="宋体"/>
                <w:kern w:val="2"/>
                <w:sz w:val="24"/>
                <w:szCs w:val="24"/>
                <w:lang w:val="en-US" w:eastAsia="zh-CN" w:bidi="ar-SA"/>
              </w:rPr>
              <w:t>4</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农村污水治理</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庞泉沟镇建制镇生活污水处理设施及配套管网建设项目</w:t>
            </w:r>
          </w:p>
        </w:tc>
        <w:tc>
          <w:tcPr>
            <w:tcW w:w="6360" w:type="dxa"/>
            <w:noWrap w:val="0"/>
            <w:vAlign w:val="center"/>
          </w:tcPr>
          <w:p>
            <w:pPr>
              <w:keepNext w:val="0"/>
              <w:keepLines w:val="0"/>
              <w:pageBreakBefore w:val="0"/>
              <w:kinsoku/>
              <w:wordWrap/>
              <w:overflowPunct/>
              <w:topLinePunct w:val="0"/>
              <w:autoSpaceDE/>
              <w:autoSpaceDN/>
              <w:bidi w:val="0"/>
              <w:spacing w:line="300" w:lineRule="exact"/>
              <w:ind w:left="-63" w:leftChars="-30" w:right="-63" w:rightChars="-3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其中庞泉沟村污水处理站处理规模为300m³/d，DN300双壁波纹管长3060米；张沟村污水处理站处理规模为1000m³/d，DN300双壁波纹管长2200米；长立村污水处理站处理规模为500m³/d，DN300双壁波纹管长1220米。</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年消减COD33.9吨，氨氮3.6吨</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2385</w:t>
            </w:r>
          </w:p>
        </w:tc>
        <w:tc>
          <w:tcPr>
            <w:tcW w:w="108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2021年10月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庞泉沟镇</w:t>
            </w:r>
          </w:p>
        </w:tc>
      </w:tr>
    </w:tbl>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sectPr>
          <w:headerReference r:id="rId3" w:type="default"/>
          <w:footerReference r:id="rId4" w:type="default"/>
          <w:pgSz w:w="16838" w:h="11906" w:orient="landscape"/>
          <w:pgMar w:top="2098" w:right="1474" w:bottom="1984" w:left="1587" w:header="851" w:footer="992" w:gutter="0"/>
          <w:pgNumType w:fmt="numberInDash"/>
          <w:cols w:space="720" w:num="1"/>
          <w:docGrid w:type="lines" w:linePitch="312" w:charSpace="0"/>
        </w:sectPr>
      </w:pPr>
    </w:p>
    <w:tbl>
      <w:tblPr>
        <w:tblStyle w:val="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25"/>
        <w:gridCol w:w="2175"/>
        <w:gridCol w:w="6360"/>
        <w:gridCol w:w="1185"/>
        <w:gridCol w:w="1185"/>
        <w:gridCol w:w="108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1" locked="0" layoutInCell="1" allowOverlap="1">
                      <wp:simplePos x="0" y="0"/>
                      <wp:positionH relativeFrom="column">
                        <wp:posOffset>-3841115</wp:posOffset>
                      </wp:positionH>
                      <wp:positionV relativeFrom="paragraph">
                        <wp:posOffset>12065</wp:posOffset>
                      </wp:positionV>
                      <wp:extent cx="3835400" cy="5220970"/>
                      <wp:effectExtent l="0" t="0" r="12700" b="17780"/>
                      <wp:wrapNone/>
                      <wp:docPr id="9" name="文本框 9"/>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wps:txbx>
                            <wps:bodyPr vert="eaVert" upright="1"/>
                          </wps:wsp>
                        </a:graphicData>
                      </a:graphic>
                    </wp:anchor>
                  </w:drawing>
                </mc:Choice>
                <mc:Fallback>
                  <w:pict>
                    <v:shape id="_x0000_s1026" o:spid="_x0000_s1026" o:spt="202" type="#_x0000_t202" style="position:absolute;left:0pt;margin-left:-302.45pt;margin-top:0.95pt;height:411.1pt;width:302pt;z-index:-251656192;mso-width-relative:page;mso-height-relative:page;" fillcolor="#FFFFFF" filled="t" stroked="f" coordsize="21600,21600" o:gfxdata="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&#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Lzk4NcAAAAIAQAADwAAAAAAAAABACAAAAAiAAAA&#10;ZHJzL2Rvd25yZXYueG1sUEsBAhQAFAAAAAgAh07iQHSdMGcIAgAAFwQAAA4AAAAAAAAAAQAgAAAA&#10;Jg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v:textbox>
                    </v:shape>
                  </w:pict>
                </mc:Fallback>
              </mc:AlternateContent>
            </w:r>
            <w:r>
              <w:rPr>
                <w:rFonts w:hint="eastAsia" w:ascii="宋体" w:hAnsi="宋体" w:eastAsia="宋体" w:cs="宋体"/>
                <w:sz w:val="24"/>
                <w:szCs w:val="24"/>
                <w:lang w:val="en-US" w:eastAsia="zh-CN"/>
              </w:rPr>
              <w:t>5</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污水处理设施稳定运行</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西营镇污水处理厂托管运行</w:t>
            </w:r>
          </w:p>
        </w:tc>
        <w:tc>
          <w:tcPr>
            <w:tcW w:w="6360" w:type="dxa"/>
            <w:noWrap w:val="0"/>
            <w:vAlign w:val="center"/>
          </w:tcPr>
          <w:p>
            <w:pPr>
              <w:keepNext w:val="0"/>
              <w:keepLines w:val="0"/>
              <w:pageBreakBefore w:val="0"/>
              <w:tabs>
                <w:tab w:val="left" w:pos="827"/>
              </w:tabs>
              <w:kinsoku/>
              <w:wordWrap/>
              <w:overflowPunct/>
              <w:topLinePunct w:val="0"/>
              <w:autoSpaceDE/>
              <w:autoSpaceDN/>
              <w:bidi w:val="0"/>
              <w:spacing w:line="300" w:lineRule="exact"/>
              <w:ind w:left="-63" w:leftChars="-30" w:right="-63" w:rightChars="-3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对西营镇污水处理厂进行托管运行，由专业的第三方运行，保证污水处理厂稳定运行，出水达标。</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保障磁窑河武良段出境水质稳定达标。</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320</w:t>
            </w:r>
          </w:p>
        </w:tc>
        <w:tc>
          <w:tcPr>
            <w:tcW w:w="108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2021年10月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西营镇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源头治理</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磁窑河、瓦窑河河道治理工程</w:t>
            </w:r>
          </w:p>
        </w:tc>
        <w:tc>
          <w:tcPr>
            <w:tcW w:w="6360" w:type="dxa"/>
            <w:noWrap w:val="0"/>
            <w:vAlign w:val="center"/>
          </w:tcPr>
          <w:p>
            <w:pPr>
              <w:keepNext w:val="0"/>
              <w:keepLines w:val="0"/>
              <w:pageBreakBefore w:val="0"/>
              <w:kinsoku/>
              <w:wordWrap/>
              <w:overflowPunct/>
              <w:topLinePunct w:val="0"/>
              <w:autoSpaceDE/>
              <w:autoSpaceDN/>
              <w:bidi w:val="0"/>
              <w:spacing w:line="300" w:lineRule="exact"/>
              <w:ind w:left="-63" w:leftChars="-30" w:right="-63" w:rightChars="-3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全力推进磁窑河、瓦窑河河道治理工程，2021年要完成磁窑河一、二号坝蓄水景观的建设。</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保障磁窑河源头水质好转。</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19000</w:t>
            </w:r>
          </w:p>
        </w:tc>
        <w:tc>
          <w:tcPr>
            <w:tcW w:w="108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2021年1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水质污染控制和生态修复</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b w:val="0"/>
                <w:bCs w:val="0"/>
                <w:sz w:val="24"/>
                <w:szCs w:val="24"/>
                <w:lang w:eastAsia="zh-CN"/>
              </w:rPr>
              <w:t>磁窑河交城段</w:t>
            </w:r>
            <w:r>
              <w:rPr>
                <w:rFonts w:hint="eastAsia" w:ascii="宋体" w:hAnsi="宋体" w:eastAsia="宋体" w:cs="宋体"/>
                <w:b w:val="0"/>
                <w:bCs w:val="0"/>
                <w:sz w:val="24"/>
                <w:szCs w:val="24"/>
              </w:rPr>
              <w:t>水质污染控制和生态修复工程</w:t>
            </w:r>
          </w:p>
        </w:tc>
        <w:tc>
          <w:tcPr>
            <w:tcW w:w="6360" w:type="dxa"/>
            <w:noWrap w:val="0"/>
            <w:vAlign w:val="center"/>
          </w:tcPr>
          <w:p>
            <w:pPr>
              <w:keepNext w:val="0"/>
              <w:keepLines w:val="0"/>
              <w:pageBreakBefore w:val="0"/>
              <w:kinsoku/>
              <w:wordWrap/>
              <w:overflowPunct/>
              <w:topLinePunct w:val="0"/>
              <w:autoSpaceDE/>
              <w:autoSpaceDN/>
              <w:bidi w:val="0"/>
              <w:spacing w:line="300" w:lineRule="exact"/>
              <w:ind w:left="-63" w:leftChars="-30" w:right="-63" w:rightChars="-3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对五村公渠交城县污水处理厂溢流口产生的溢流污水和县城区域内的初期雨水截留收集，通过管网送入白石南河进入水质提升工程处理。在磁窑河和白石南河各建设两座合页坝，提高污水续存能力，起到调节作用，有效保证上游突发高浓度水对工程的冲击，从而保证磁窑河武良出境断面稳定达标。</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有效保证上游突发高浓度水对工程的冲击，从而保证磁窑河武良出境断面稳定达标</w:t>
            </w:r>
            <w:r>
              <w:rPr>
                <w:rFonts w:hint="eastAsia" w:ascii="宋体" w:hAnsi="宋体" w:eastAsia="宋体" w:cs="宋体"/>
                <w:sz w:val="24"/>
                <w:szCs w:val="24"/>
                <w:lang w:val="en-US" w:eastAsia="zh-CN"/>
              </w:rPr>
              <w:t>.</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4200</w:t>
            </w:r>
          </w:p>
        </w:tc>
        <w:tc>
          <w:tcPr>
            <w:tcW w:w="108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2023年10月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市生态环境交城分局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18"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2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污水处理设施稳定运行</w:t>
            </w:r>
          </w:p>
        </w:tc>
        <w:tc>
          <w:tcPr>
            <w:tcW w:w="217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庞泉沟镇污水处理厂进水调试并运行</w:t>
            </w:r>
          </w:p>
        </w:tc>
        <w:tc>
          <w:tcPr>
            <w:tcW w:w="6360" w:type="dxa"/>
            <w:noWrap w:val="0"/>
            <w:vAlign w:val="center"/>
          </w:tcPr>
          <w:p>
            <w:pPr>
              <w:keepNext w:val="0"/>
              <w:keepLines w:val="0"/>
              <w:pageBreakBefore w:val="0"/>
              <w:kinsoku/>
              <w:wordWrap/>
              <w:overflowPunct/>
              <w:topLinePunct w:val="0"/>
              <w:autoSpaceDE/>
              <w:autoSpaceDN/>
              <w:bidi w:val="0"/>
              <w:spacing w:line="300" w:lineRule="exact"/>
              <w:ind w:right="-63" w:rightChars="-3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尽快完善庞泉沟镇</w:t>
            </w:r>
            <w:r>
              <w:rPr>
                <w:rFonts w:hint="eastAsia" w:ascii="宋体" w:hAnsi="宋体" w:eastAsia="宋体" w:cs="宋体"/>
                <w:color w:val="000000"/>
                <w:sz w:val="24"/>
                <w:szCs w:val="24"/>
                <w:lang w:val="en-US" w:eastAsia="zh-CN"/>
              </w:rPr>
              <w:t>3座污水处理站及配套管网建设任务，于2021年10月底前进水调试。</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年消减COD</w:t>
            </w:r>
            <w:r>
              <w:rPr>
                <w:rFonts w:hint="eastAsia" w:ascii="宋体" w:hAnsi="宋体" w:eastAsia="宋体" w:cs="宋体"/>
                <w:sz w:val="24"/>
                <w:szCs w:val="24"/>
                <w:lang w:val="en-US" w:eastAsia="zh-CN"/>
              </w:rPr>
              <w:t>239.81</w:t>
            </w:r>
            <w:r>
              <w:rPr>
                <w:rFonts w:hint="eastAsia" w:ascii="宋体" w:hAnsi="宋体" w:eastAsia="宋体" w:cs="宋体"/>
                <w:sz w:val="24"/>
                <w:szCs w:val="24"/>
              </w:rPr>
              <w:t>吨，氨氮</w:t>
            </w:r>
            <w:r>
              <w:rPr>
                <w:rFonts w:hint="eastAsia" w:ascii="宋体" w:hAnsi="宋体" w:eastAsia="宋体" w:cs="宋体"/>
                <w:sz w:val="24"/>
                <w:szCs w:val="24"/>
                <w:lang w:val="en-US" w:eastAsia="zh-CN"/>
              </w:rPr>
              <w:t>6.05</w:t>
            </w:r>
            <w:r>
              <w:rPr>
                <w:rFonts w:hint="eastAsia" w:ascii="宋体" w:hAnsi="宋体" w:eastAsia="宋体" w:cs="宋体"/>
                <w:sz w:val="24"/>
                <w:szCs w:val="24"/>
              </w:rPr>
              <w:t>吨。</w:t>
            </w:r>
          </w:p>
        </w:tc>
        <w:tc>
          <w:tcPr>
            <w:tcW w:w="1185" w:type="dxa"/>
            <w:noWrap w:val="0"/>
            <w:vAlign w:val="center"/>
          </w:tcPr>
          <w:p>
            <w:pPr>
              <w:pStyle w:val="7"/>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w:t>
            </w:r>
          </w:p>
        </w:tc>
        <w:tc>
          <w:tcPr>
            <w:tcW w:w="108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2021年10月</w:t>
            </w:r>
          </w:p>
        </w:tc>
        <w:tc>
          <w:tcPr>
            <w:tcW w:w="84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庞泉沟镇</w:t>
            </w:r>
          </w:p>
        </w:tc>
      </w:tr>
    </w:tbl>
    <w:p>
      <w:pPr>
        <w:pStyle w:val="7"/>
        <w:keepNext w:val="0"/>
        <w:keepLines w:val="0"/>
        <w:pageBreakBefore w:val="0"/>
        <w:widowControl w:val="0"/>
        <w:kinsoku/>
        <w:wordWrap/>
        <w:topLinePunct w:val="0"/>
        <w:bidi w:val="0"/>
        <w:spacing w:line="578" w:lineRule="exact"/>
        <w:ind w:left="0" w:leftChars="0" w:firstLine="0" w:firstLineChars="0"/>
        <w:textAlignment w:val="auto"/>
        <w:rPr>
          <w:rFonts w:hint="eastAsia" w:ascii="黑体" w:hAnsi="黑体" w:eastAsia="黑体" w:cs="黑体"/>
          <w:kern w:val="2"/>
          <w:sz w:val="32"/>
          <w:szCs w:val="32"/>
          <w:lang w:val="en-US" w:eastAsia="zh-CN" w:bidi="ar-SA"/>
        </w:rPr>
        <w:sectPr>
          <w:footerReference r:id="rId5" w:type="default"/>
          <w:pgSz w:w="16838" w:h="11906" w:orient="landscape"/>
          <w:pgMar w:top="2098" w:right="1474" w:bottom="1984" w:left="1587" w:header="851" w:footer="992"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87E75"/>
    <w:rsid w:val="3998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 First Indent 21"/>
    <w:basedOn w:val="8"/>
    <w:next w:val="1"/>
    <w:qFormat/>
    <w:uiPriority w:val="0"/>
    <w:pPr>
      <w:ind w:firstLine="420" w:firstLineChars="200"/>
    </w:pPr>
    <w:rPr>
      <w:rFonts w:ascii="Times New Roman" w:hAnsi="Times New Roman" w:eastAsia="宋体" w:cs="Times New Roman"/>
    </w:rPr>
  </w:style>
  <w:style w:type="paragraph" w:customStyle="1" w:styleId="8">
    <w:name w:val="正文文本缩进1"/>
    <w:basedOn w:val="1"/>
    <w:qFormat/>
    <w:uiPriority w:val="0"/>
    <w:pPr>
      <w:ind w:left="420" w:left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2021-09-29T01:32:00Z</dcterms:created>
  <dc:creator>蜡笔小新</dc:creator>
  <cp:lastModifiedBy>蜡笔小新</cp:lastModifiedBy>
  <dcterms:modified xsi:type="dcterms:W3CDTF">2021-09-29T01:33:44Z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30E77ABE42844D5388E7D24C7EA62660</vt:lpwstr>
  </property>
</Properties>
</file>