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pacing w:before="0" w:beforeLines="0" w:line="560" w:lineRule="exact"/>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eastAsia="zh-CN"/>
        </w:rPr>
        <w:t>附件</w:t>
      </w:r>
      <w:r>
        <w:rPr>
          <w:rFonts w:hint="eastAsia" w:ascii="黑体" w:hAnsi="黑体" w:eastAsia="黑体" w:cs="黑体"/>
          <w:sz w:val="30"/>
          <w:szCs w:val="30"/>
          <w:lang w:val="en-US" w:eastAsia="zh-CN"/>
        </w:rPr>
        <w:t>8</w:t>
      </w:r>
    </w:p>
    <w:p>
      <w:pPr>
        <w:pStyle w:val="3"/>
        <w:keepNext w:val="0"/>
        <w:keepLines w:val="0"/>
        <w:pageBreakBefore w:val="0"/>
        <w:widowControl w:val="0"/>
        <w:kinsoku/>
        <w:wordWrap/>
        <w:overflowPunct/>
        <w:topLinePunct w:val="0"/>
        <w:autoSpaceDE/>
        <w:autoSpaceDN/>
        <w:bidi w:val="0"/>
        <w:adjustRightInd/>
        <w:spacing w:before="0" w:beforeLines="0" w:line="560" w:lineRule="exac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交城县辐射事故应急预案修改说明</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2021年9月9日，2名环保专家对《交城县辐射事故应急预案》进行技术审查，专家对本报告出具了技术评估意见。根据专家意见，对预案进行了认真的补充修改，具体修改内容见预案，修改说明清单见下表。</w:t>
      </w:r>
    </w:p>
    <w:p>
      <w:pPr>
        <w:pStyle w:val="4"/>
        <w:adjustRightInd w:val="0"/>
        <w:snapToGrid w:val="0"/>
        <w:jc w:val="center"/>
        <w:rPr>
          <w:rFonts w:hint="eastAsia" w:eastAsia="黑体"/>
          <w:sz w:val="24"/>
        </w:rPr>
      </w:pPr>
      <w:r>
        <w:rPr>
          <w:rFonts w:hint="eastAsia" w:eastAsia="黑体"/>
          <w:sz w:val="24"/>
        </w:rPr>
        <w:t>修改说明清单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6"/>
        <w:gridCol w:w="4380"/>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36" w:type="dxa"/>
            <w:noWrap w:val="0"/>
            <w:vAlign w:val="center"/>
          </w:tcPr>
          <w:p>
            <w:pPr>
              <w:pStyle w:val="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eastAsia="仿宋"/>
                <w:szCs w:val="21"/>
              </w:rPr>
            </w:pPr>
            <w:r>
              <w:rPr>
                <w:rFonts w:hint="eastAsia" w:eastAsia="仿宋"/>
                <w:szCs w:val="21"/>
              </w:rPr>
              <w:t>专家意见</w:t>
            </w:r>
          </w:p>
        </w:tc>
        <w:tc>
          <w:tcPr>
            <w:tcW w:w="4380" w:type="dxa"/>
            <w:noWrap w:val="0"/>
            <w:vAlign w:val="center"/>
          </w:tcPr>
          <w:p>
            <w:pPr>
              <w:pStyle w:val="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eastAsia="仿宋"/>
                <w:szCs w:val="21"/>
              </w:rPr>
            </w:pPr>
            <w:r>
              <w:rPr>
                <w:rFonts w:hint="eastAsia" w:eastAsia="仿宋"/>
                <w:szCs w:val="21"/>
              </w:rPr>
              <w:t>修改说明</w:t>
            </w:r>
          </w:p>
        </w:tc>
        <w:tc>
          <w:tcPr>
            <w:tcW w:w="1146" w:type="dxa"/>
            <w:noWrap w:val="0"/>
            <w:vAlign w:val="center"/>
          </w:tcPr>
          <w:p>
            <w:pPr>
              <w:pStyle w:val="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eastAsia="仿宋"/>
                <w:szCs w:val="21"/>
              </w:rPr>
            </w:pPr>
            <w:r>
              <w:rPr>
                <w:rFonts w:hint="eastAsia" w:eastAsia="仿宋"/>
                <w:szCs w:val="21"/>
              </w:rPr>
              <w:t>修改页码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3136" w:type="dxa"/>
            <w:vMerge w:val="restart"/>
            <w:noWrap w:val="0"/>
            <w:vAlign w:val="center"/>
          </w:tcPr>
          <w:p>
            <w:pPr>
              <w:pStyle w:val="4"/>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eastAsia="仿宋"/>
                <w:bCs/>
                <w:szCs w:val="21"/>
              </w:rPr>
            </w:pPr>
            <w:r>
              <w:rPr>
                <w:rFonts w:hint="eastAsia" w:eastAsia="仿宋"/>
                <w:bCs/>
                <w:szCs w:val="21"/>
              </w:rPr>
              <w:t>1、进一步明确预警信息发布部门或单位；核实应急监测单位，明确辐射事故报告时限和程序。</w:t>
            </w:r>
          </w:p>
        </w:tc>
        <w:tc>
          <w:tcPr>
            <w:tcW w:w="4380" w:type="dxa"/>
            <w:noWrap w:val="0"/>
            <w:vAlign w:val="center"/>
          </w:tcPr>
          <w:p>
            <w:pPr>
              <w:pStyle w:val="4"/>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eastAsia="仿宋"/>
                <w:bCs/>
                <w:szCs w:val="21"/>
              </w:rPr>
            </w:pPr>
            <w:r>
              <w:rPr>
                <w:rFonts w:hint="eastAsia" w:eastAsia="仿宋"/>
                <w:bCs/>
                <w:szCs w:val="21"/>
              </w:rPr>
              <w:t>核实了预警信息发布部门，Ⅰ</w:t>
            </w:r>
            <w:r>
              <w:rPr>
                <w:rFonts w:eastAsia="仿宋"/>
                <w:bCs/>
                <w:szCs w:val="21"/>
              </w:rPr>
              <w:t>级</w:t>
            </w:r>
            <w:r>
              <w:rPr>
                <w:rFonts w:hint="eastAsia" w:eastAsia="仿宋"/>
                <w:bCs/>
                <w:szCs w:val="21"/>
              </w:rPr>
              <w:t>预警信息经省政府授权由省指挥部负责发布，同时向国务院及生态环境部（国家核安全局）报告；Ⅱ</w:t>
            </w:r>
            <w:r>
              <w:rPr>
                <w:rFonts w:eastAsia="仿宋"/>
                <w:bCs/>
                <w:szCs w:val="21"/>
              </w:rPr>
              <w:t>级</w:t>
            </w:r>
            <w:r>
              <w:rPr>
                <w:rFonts w:hint="eastAsia" w:eastAsia="仿宋"/>
                <w:bCs/>
                <w:szCs w:val="21"/>
              </w:rPr>
              <w:t>预警信息经省政府授权由省指挥部负责发布，同时向生态环境部（国家核安全局）报告；Ⅲ</w:t>
            </w:r>
            <w:r>
              <w:rPr>
                <w:rFonts w:eastAsia="仿宋"/>
                <w:bCs/>
                <w:szCs w:val="21"/>
              </w:rPr>
              <w:t>级</w:t>
            </w:r>
            <w:r>
              <w:rPr>
                <w:rFonts w:hint="eastAsia" w:eastAsia="仿宋"/>
                <w:bCs/>
                <w:szCs w:val="21"/>
              </w:rPr>
              <w:t>预警信息由吕梁市政府负责发布；Ⅳ</w:t>
            </w:r>
            <w:r>
              <w:rPr>
                <w:rFonts w:eastAsia="仿宋"/>
                <w:bCs/>
                <w:szCs w:val="21"/>
              </w:rPr>
              <w:t>级</w:t>
            </w:r>
            <w:r>
              <w:rPr>
                <w:rFonts w:hint="eastAsia" w:eastAsia="仿宋"/>
                <w:bCs/>
                <w:szCs w:val="21"/>
              </w:rPr>
              <w:t>预警信息由交城县政府负责发布。</w:t>
            </w:r>
          </w:p>
        </w:tc>
        <w:tc>
          <w:tcPr>
            <w:tcW w:w="1146" w:type="dxa"/>
            <w:noWrap w:val="0"/>
            <w:vAlign w:val="center"/>
          </w:tcPr>
          <w:p>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bCs/>
                <w:szCs w:val="21"/>
              </w:rPr>
            </w:pPr>
            <w:r>
              <w:rPr>
                <w:rFonts w:hint="eastAsia" w:eastAsia="仿宋"/>
                <w:bCs/>
                <w:szCs w:val="21"/>
              </w:rPr>
              <w:t>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3136" w:type="dxa"/>
            <w:vMerge w:val="continue"/>
            <w:noWrap w:val="0"/>
            <w:vAlign w:val="center"/>
          </w:tcPr>
          <w:p>
            <w:pPr>
              <w:pStyle w:val="4"/>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eastAsia="仿宋"/>
                <w:bCs/>
                <w:szCs w:val="21"/>
              </w:rPr>
            </w:pPr>
          </w:p>
        </w:tc>
        <w:tc>
          <w:tcPr>
            <w:tcW w:w="4380" w:type="dxa"/>
            <w:noWrap w:val="0"/>
            <w:vAlign w:val="center"/>
          </w:tcPr>
          <w:p>
            <w:pPr>
              <w:pStyle w:val="4"/>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eastAsia="仿宋"/>
                <w:bCs/>
                <w:szCs w:val="21"/>
              </w:rPr>
            </w:pPr>
            <w:r>
              <w:rPr>
                <w:rFonts w:hint="eastAsia" w:eastAsia="仿宋"/>
                <w:bCs/>
                <w:szCs w:val="21"/>
              </w:rPr>
              <w:t>应急监测单位为吕梁市生态环境局交城分局。</w:t>
            </w:r>
          </w:p>
        </w:tc>
        <w:tc>
          <w:tcPr>
            <w:tcW w:w="1146" w:type="dxa"/>
            <w:noWrap w:val="0"/>
            <w:vAlign w:val="center"/>
          </w:tcPr>
          <w:p>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bCs/>
                <w:szCs w:val="21"/>
              </w:rPr>
            </w:pPr>
            <w:r>
              <w:rPr>
                <w:rFonts w:hint="eastAsia" w:eastAsia="仿宋"/>
                <w:bCs/>
                <w:szCs w:val="21"/>
              </w:rPr>
              <w:t>P12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136" w:type="dxa"/>
            <w:vMerge w:val="continue"/>
            <w:noWrap w:val="0"/>
            <w:vAlign w:val="center"/>
          </w:tcPr>
          <w:p>
            <w:pPr>
              <w:pStyle w:val="4"/>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eastAsia="仿宋"/>
                <w:bCs/>
                <w:szCs w:val="21"/>
              </w:rPr>
            </w:pPr>
          </w:p>
        </w:tc>
        <w:tc>
          <w:tcPr>
            <w:tcW w:w="4380" w:type="dxa"/>
            <w:noWrap w:val="0"/>
            <w:vAlign w:val="center"/>
          </w:tcPr>
          <w:p>
            <w:pPr>
              <w:pStyle w:val="4"/>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eastAsia="仿宋"/>
                <w:bCs/>
                <w:szCs w:val="21"/>
              </w:rPr>
            </w:pPr>
            <w:r>
              <w:rPr>
                <w:rFonts w:hint="eastAsia" w:eastAsia="仿宋"/>
                <w:bCs/>
                <w:szCs w:val="21"/>
              </w:rPr>
              <w:t>明确了辐射事故报告程序，报告时限为发生事件时立即上报县人民政府及相关部门。</w:t>
            </w:r>
          </w:p>
        </w:tc>
        <w:tc>
          <w:tcPr>
            <w:tcW w:w="1146" w:type="dxa"/>
            <w:noWrap w:val="0"/>
            <w:vAlign w:val="center"/>
          </w:tcPr>
          <w:p>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bCs/>
                <w:szCs w:val="21"/>
              </w:rPr>
            </w:pPr>
            <w:r>
              <w:rPr>
                <w:rFonts w:hint="eastAsia" w:eastAsia="仿宋"/>
                <w:bCs/>
                <w:szCs w:val="21"/>
              </w:rPr>
              <w:t>P7-8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36" w:type="dxa"/>
            <w:noWrap w:val="0"/>
            <w:vAlign w:val="center"/>
          </w:tcPr>
          <w:p>
            <w:pPr>
              <w:pStyle w:val="4"/>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eastAsia="仿宋"/>
                <w:bCs/>
                <w:szCs w:val="21"/>
              </w:rPr>
            </w:pPr>
            <w:r>
              <w:rPr>
                <w:rFonts w:hint="eastAsia" w:eastAsia="仿宋"/>
                <w:bCs/>
                <w:szCs w:val="21"/>
              </w:rPr>
              <w:t>2、明确现场应急指挥部、现场应急指挥部办公室组成情况，现场救援组应有技术后援单位参与，对事故现场提出调查或处置方案，并负责实施。</w:t>
            </w:r>
          </w:p>
        </w:tc>
        <w:tc>
          <w:tcPr>
            <w:tcW w:w="4380" w:type="dxa"/>
            <w:noWrap w:val="0"/>
            <w:vAlign w:val="center"/>
          </w:tcPr>
          <w:p>
            <w:pPr>
              <w:pStyle w:val="4"/>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eastAsia="仿宋"/>
                <w:bCs/>
                <w:szCs w:val="21"/>
              </w:rPr>
            </w:pPr>
            <w:r>
              <w:rPr>
                <w:rFonts w:hint="eastAsia" w:eastAsia="仿宋"/>
                <w:bCs/>
                <w:szCs w:val="21"/>
              </w:rPr>
              <w:t>明确了应急指挥部、应急指挥部办公室设置和组成情况，现场处置组增加了技术后援单位，补充了技术后援单位的职责。</w:t>
            </w:r>
          </w:p>
        </w:tc>
        <w:tc>
          <w:tcPr>
            <w:tcW w:w="1146" w:type="dxa"/>
            <w:noWrap w:val="0"/>
            <w:vAlign w:val="center"/>
          </w:tcPr>
          <w:p>
            <w:pPr>
              <w:pStyle w:val="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eastAsia="仿宋"/>
                <w:bCs/>
                <w:szCs w:val="21"/>
              </w:rPr>
            </w:pPr>
            <w:r>
              <w:rPr>
                <w:rFonts w:hint="eastAsia" w:eastAsia="仿宋"/>
                <w:bCs/>
                <w:szCs w:val="21"/>
              </w:rPr>
              <w:t>P3-4；</w:t>
            </w:r>
          </w:p>
          <w:p>
            <w:pPr>
              <w:pStyle w:val="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eastAsia="仿宋"/>
                <w:bCs/>
                <w:szCs w:val="21"/>
              </w:rPr>
            </w:pPr>
            <w:r>
              <w:rPr>
                <w:rFonts w:hint="eastAsia" w:eastAsia="仿宋"/>
                <w:bCs/>
                <w:szCs w:val="21"/>
              </w:rPr>
              <w:t>附件3、</w:t>
            </w:r>
          </w:p>
          <w:p>
            <w:pPr>
              <w:pStyle w:val="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eastAsia="仿宋"/>
                <w:bCs/>
                <w:szCs w:val="21"/>
              </w:rPr>
            </w:pPr>
            <w:r>
              <w:rPr>
                <w:rFonts w:hint="eastAsia" w:eastAsia="仿宋"/>
                <w:bCs/>
                <w:szCs w:val="21"/>
              </w:rPr>
              <w:t>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3136" w:type="dxa"/>
            <w:vMerge w:val="restart"/>
            <w:noWrap w:val="0"/>
            <w:vAlign w:val="center"/>
          </w:tcPr>
          <w:p>
            <w:pPr>
              <w:pStyle w:val="4"/>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eastAsia="仿宋"/>
                <w:bCs/>
                <w:szCs w:val="21"/>
              </w:rPr>
            </w:pPr>
            <w:r>
              <w:rPr>
                <w:rFonts w:hint="eastAsia" w:eastAsia="仿宋"/>
                <w:bCs/>
                <w:szCs w:val="21"/>
              </w:rPr>
              <w:t>3、细化辐射事故应急措施，应根据应急工作组的职能划分完善现场救援组等各小组的具体措施。明确善后处置、应急宣传教育与培训的实施主体。</w:t>
            </w:r>
          </w:p>
        </w:tc>
        <w:tc>
          <w:tcPr>
            <w:tcW w:w="4380" w:type="dxa"/>
            <w:noWrap w:val="0"/>
            <w:vAlign w:val="center"/>
          </w:tcPr>
          <w:p>
            <w:pPr>
              <w:pStyle w:val="4"/>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eastAsia="仿宋"/>
                <w:bCs/>
                <w:szCs w:val="21"/>
              </w:rPr>
            </w:pPr>
            <w:r>
              <w:rPr>
                <w:rFonts w:hint="eastAsia" w:eastAsia="仿宋"/>
                <w:bCs/>
                <w:szCs w:val="21"/>
              </w:rPr>
              <w:t>细化了辐射事故的应急处置措施，完善了个应急工作组的组成，细化了应急工作组的应急职责。</w:t>
            </w:r>
          </w:p>
        </w:tc>
        <w:tc>
          <w:tcPr>
            <w:tcW w:w="1146" w:type="dxa"/>
            <w:noWrap w:val="0"/>
            <w:vAlign w:val="center"/>
          </w:tcPr>
          <w:p>
            <w:pPr>
              <w:pStyle w:val="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eastAsia="仿宋"/>
                <w:bCs/>
                <w:szCs w:val="21"/>
              </w:rPr>
            </w:pPr>
            <w:r>
              <w:rPr>
                <w:rFonts w:hint="eastAsia" w:eastAsia="仿宋"/>
                <w:bCs/>
                <w:szCs w:val="21"/>
              </w:rPr>
              <w:t>P9-11；</w:t>
            </w:r>
          </w:p>
          <w:p>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bCs/>
                <w:szCs w:val="21"/>
              </w:rPr>
            </w:pPr>
            <w:r>
              <w:rPr>
                <w:rFonts w:hint="eastAsia" w:eastAsia="仿宋"/>
                <w:bCs/>
                <w:szCs w:val="21"/>
              </w:rPr>
              <w:t>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136" w:type="dxa"/>
            <w:vMerge w:val="continue"/>
            <w:noWrap w:val="0"/>
            <w:vAlign w:val="center"/>
          </w:tcPr>
          <w:p>
            <w:pPr>
              <w:pStyle w:val="4"/>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eastAsia="仿宋"/>
                <w:bCs/>
                <w:szCs w:val="21"/>
              </w:rPr>
            </w:pPr>
          </w:p>
        </w:tc>
        <w:tc>
          <w:tcPr>
            <w:tcW w:w="4380" w:type="dxa"/>
            <w:noWrap w:val="0"/>
            <w:vAlign w:val="center"/>
          </w:tcPr>
          <w:p>
            <w:pPr>
              <w:pStyle w:val="4"/>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eastAsia="仿宋"/>
                <w:bCs/>
                <w:color w:val="auto"/>
                <w:szCs w:val="21"/>
              </w:rPr>
            </w:pPr>
            <w:r>
              <w:rPr>
                <w:rFonts w:hint="eastAsia" w:eastAsia="仿宋"/>
                <w:bCs/>
                <w:color w:val="auto"/>
                <w:szCs w:val="21"/>
              </w:rPr>
              <w:t>县人民政府和县民政局负责善后处置工作，县人民政府组织组织和指导开展核与辐射事故应急防护宣传教育活动。</w:t>
            </w:r>
          </w:p>
        </w:tc>
        <w:tc>
          <w:tcPr>
            <w:tcW w:w="1146" w:type="dxa"/>
            <w:noWrap w:val="0"/>
            <w:vAlign w:val="center"/>
          </w:tcPr>
          <w:p>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仿宋"/>
                <w:bCs/>
                <w:color w:val="auto"/>
                <w:szCs w:val="21"/>
                <w:lang w:eastAsia="zh-CN"/>
              </w:rPr>
            </w:pPr>
            <w:r>
              <w:rPr>
                <w:rFonts w:hint="eastAsia" w:eastAsia="仿宋"/>
                <w:bCs/>
                <w:color w:val="auto"/>
                <w:szCs w:val="21"/>
              </w:rPr>
              <w:t>P1</w:t>
            </w:r>
            <w:r>
              <w:rPr>
                <w:rFonts w:hint="eastAsia" w:eastAsia="仿宋"/>
                <w:bCs/>
                <w:color w:val="auto"/>
                <w:szCs w:val="21"/>
                <w:lang w:val="en-US" w:eastAsia="zh-CN"/>
              </w:rPr>
              <w:t>5</w:t>
            </w:r>
            <w:r>
              <w:rPr>
                <w:rFonts w:hint="eastAsia" w:eastAsia="仿宋"/>
                <w:bCs/>
                <w:color w:val="auto"/>
                <w:szCs w:val="21"/>
              </w:rPr>
              <w:t>；P1</w:t>
            </w:r>
            <w:r>
              <w:rPr>
                <w:rFonts w:hint="eastAsia" w:eastAsia="仿宋"/>
                <w:bCs/>
                <w:color w:val="auto"/>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36" w:type="dxa"/>
            <w:noWrap w:val="0"/>
            <w:vAlign w:val="center"/>
          </w:tcPr>
          <w:p>
            <w:pPr>
              <w:pStyle w:val="4"/>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eastAsia="仿宋"/>
                <w:bCs/>
                <w:szCs w:val="21"/>
              </w:rPr>
            </w:pPr>
            <w:r>
              <w:rPr>
                <w:rFonts w:hint="eastAsia" w:eastAsia="仿宋"/>
                <w:bCs/>
                <w:szCs w:val="21"/>
              </w:rPr>
              <w:t>4、核准物资保障及人员保障。完善应急演练参加单位，应邀请技术后援单位参加。</w:t>
            </w:r>
          </w:p>
        </w:tc>
        <w:tc>
          <w:tcPr>
            <w:tcW w:w="4380" w:type="dxa"/>
            <w:noWrap w:val="0"/>
            <w:vAlign w:val="center"/>
          </w:tcPr>
          <w:p>
            <w:pPr>
              <w:pStyle w:val="4"/>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eastAsia="仿宋"/>
                <w:bCs/>
                <w:color w:val="auto"/>
                <w:szCs w:val="21"/>
              </w:rPr>
            </w:pPr>
            <w:r>
              <w:rPr>
                <w:rFonts w:hint="eastAsia" w:eastAsia="仿宋"/>
                <w:bCs/>
                <w:color w:val="auto"/>
                <w:szCs w:val="21"/>
              </w:rPr>
              <w:t>核准了物资保障及人员保障。完善了应急演练参加单位，由</w:t>
            </w:r>
            <w:r>
              <w:rPr>
                <w:rFonts w:eastAsia="仿宋"/>
                <w:bCs/>
                <w:color w:val="auto"/>
                <w:szCs w:val="21"/>
              </w:rPr>
              <w:t>县突发环境事件应急指挥部各成员单位</w:t>
            </w:r>
            <w:r>
              <w:rPr>
                <w:rFonts w:hint="eastAsia" w:eastAsia="仿宋"/>
                <w:bCs/>
                <w:color w:val="auto"/>
                <w:szCs w:val="21"/>
              </w:rPr>
              <w:t>及技术后援单位组成。</w:t>
            </w:r>
          </w:p>
        </w:tc>
        <w:tc>
          <w:tcPr>
            <w:tcW w:w="1146" w:type="dxa"/>
            <w:noWrap w:val="0"/>
            <w:vAlign w:val="center"/>
          </w:tcPr>
          <w:p>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仿宋"/>
                <w:bCs/>
                <w:color w:val="auto"/>
                <w:szCs w:val="21"/>
                <w:lang w:val="en-US" w:eastAsia="zh-CN"/>
              </w:rPr>
            </w:pPr>
            <w:r>
              <w:rPr>
                <w:rFonts w:hint="eastAsia" w:eastAsia="仿宋"/>
                <w:bCs/>
                <w:color w:val="auto"/>
                <w:szCs w:val="21"/>
              </w:rPr>
              <w:t>P18；P</w:t>
            </w:r>
            <w:r>
              <w:rPr>
                <w:rFonts w:hint="eastAsia" w:eastAsia="仿宋"/>
                <w:bCs/>
                <w:color w:val="auto"/>
                <w:szCs w:val="21"/>
                <w:lang w:val="en-US" w:eastAsia="zh-CN"/>
              </w:rPr>
              <w:t>17</w:t>
            </w:r>
          </w:p>
        </w:tc>
      </w:tr>
    </w:tbl>
    <w:p>
      <w:pPr>
        <w:pStyle w:val="4"/>
        <w:snapToGrid w:val="0"/>
        <w:spacing w:after="0" w:line="420" w:lineRule="exact"/>
        <w:contextualSpacing/>
        <w:sectPr>
          <w:pgSz w:w="11906" w:h="16838"/>
          <w:pgMar w:top="2098" w:right="1474" w:bottom="1984" w:left="1587" w:header="851" w:footer="1417" w:gutter="0"/>
          <w:pgNumType w:fmt="numberInDash"/>
          <w:cols w:space="720" w:num="1"/>
          <w:docGrid w:type="lines" w:linePitch="312" w:charSpace="0"/>
        </w:sectPr>
      </w:pPr>
    </w:p>
    <w:p>
      <w:bookmarkStart w:id="0" w:name="_GoBack"/>
      <w:bookmarkEnd w:id="0"/>
      <w:r>
        <w:drawing>
          <wp:anchor distT="0" distB="0" distL="114300" distR="114300" simplePos="0" relativeHeight="251659264" behindDoc="1" locked="0" layoutInCell="1" allowOverlap="1">
            <wp:simplePos x="0" y="0"/>
            <wp:positionH relativeFrom="column">
              <wp:posOffset>409575</wp:posOffset>
            </wp:positionH>
            <wp:positionV relativeFrom="paragraph">
              <wp:posOffset>31750</wp:posOffset>
            </wp:positionV>
            <wp:extent cx="6785610" cy="9619615"/>
            <wp:effectExtent l="0" t="0" r="15240" b="635"/>
            <wp:wrapNone/>
            <wp:docPr id="1" name="图片 3" descr="专家意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专家意见"/>
                    <pic:cNvPicPr>
                      <a:picLocks noChangeAspect="1"/>
                    </pic:cNvPicPr>
                  </pic:nvPicPr>
                  <pic:blipFill>
                    <a:blip r:embed="rId4"/>
                    <a:stretch>
                      <a:fillRect/>
                    </a:stretch>
                  </pic:blipFill>
                  <pic:spPr>
                    <a:xfrm>
                      <a:off x="0" y="0"/>
                      <a:ext cx="6785610" cy="9619615"/>
                    </a:xfrm>
                    <a:prstGeom prst="rect">
                      <a:avLst/>
                    </a:prstGeom>
                    <a:noFill/>
                    <a:ln>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B115B"/>
    <w:rsid w:val="7CFB1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3"/>
    <w:basedOn w:val="1"/>
    <w:qFormat/>
    <w:uiPriority w:val="0"/>
    <w:pPr>
      <w:snapToGrid w:val="0"/>
      <w:spacing w:before="156" w:beforeLines="50" w:line="300" w:lineRule="auto"/>
      <w:jc w:val="center"/>
    </w:pPr>
    <w:rPr>
      <w:rFonts w:ascii="黑体" w:hAnsi="Times New Roman" w:eastAsia="黑体"/>
      <w:bCs/>
      <w:sz w:val="36"/>
      <w:szCs w:val="36"/>
    </w:rPr>
  </w:style>
  <w:style w:type="paragraph" w:styleId="4">
    <w:name w:val="Body Text"/>
    <w:basedOn w:val="1"/>
    <w:qFormat/>
    <w:uiPriority w:val="99"/>
    <w:pPr>
      <w:spacing w:after="120"/>
    </w:pPr>
    <w:rPr>
      <w:rFonts w:ascii="Times New Roman" w:hAnsi="Times New Roman"/>
      <w:color w:val="auto"/>
      <w:sz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2021-09-22T02:22:00Z</dcterms:created>
  <dc:creator>蜡笔小新</dc:creator>
  <cp:lastModifiedBy>蜡笔小新</cp:lastModifiedBy>
  <dcterms:modified xsi:type="dcterms:W3CDTF">2021-09-22T02:23:14Z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B4825B5F8A6945CDBC110675DD9D985C</vt:lpwstr>
  </property>
</Properties>
</file>